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4988D" w14:textId="1E375E07" w:rsidR="00953F61" w:rsidRPr="00953F61" w:rsidRDefault="00953F61" w:rsidP="001604A3">
      <w:pPr>
        <w:pStyle w:val="Vrazncitt"/>
        <w:ind w:left="0" w:right="0"/>
      </w:pPr>
      <w:r w:rsidRPr="00953F61">
        <w:t>Vyhlášení</w:t>
      </w:r>
      <w:r>
        <w:t xml:space="preserve"> </w:t>
      </w:r>
      <w:bookmarkStart w:id="0" w:name="_Hlk46241589"/>
      <w:r>
        <w:t xml:space="preserve">mimořádného </w:t>
      </w:r>
      <w:r w:rsidRPr="00953F61">
        <w:t xml:space="preserve">dotačního řízení MPSV pro rok 2020 </w:t>
      </w:r>
      <w:r w:rsidR="00CC5CBA">
        <w:t>na</w:t>
      </w:r>
      <w:r w:rsidR="0088777B">
        <w:t> </w:t>
      </w:r>
      <w:r w:rsidR="00CC5CBA">
        <w:t>podporu</w:t>
      </w:r>
      <w:r>
        <w:t xml:space="preserve"> mimořádného finančního ohodnocení </w:t>
      </w:r>
      <w:r w:rsidR="0088777B">
        <w:t xml:space="preserve">sociálních pracovníků na </w:t>
      </w:r>
      <w:r w:rsidR="00A3031A">
        <w:t>krajských</w:t>
      </w:r>
      <w:r w:rsidR="0088777B">
        <w:t xml:space="preserve"> úřadech </w:t>
      </w:r>
      <w:r>
        <w:t>v souvislosti s epidemií COVID_19</w:t>
      </w:r>
      <w:bookmarkEnd w:id="0"/>
    </w:p>
    <w:p w14:paraId="008D396F" w14:textId="77777777" w:rsidR="00F72144" w:rsidRPr="00F40253" w:rsidRDefault="00953F61" w:rsidP="002F0DA5">
      <w:pPr>
        <w:spacing w:before="120" w:after="120"/>
        <w:jc w:val="center"/>
        <w:rPr>
          <w:b/>
          <w:sz w:val="32"/>
          <w:szCs w:val="32"/>
        </w:rPr>
      </w:pPr>
      <w:r w:rsidRPr="00F40253">
        <w:rPr>
          <w:b/>
          <w:sz w:val="32"/>
          <w:szCs w:val="32"/>
        </w:rPr>
        <w:t xml:space="preserve">Ministerstvo práce a sociálních věcí </w:t>
      </w:r>
    </w:p>
    <w:p w14:paraId="44E1137E" w14:textId="77777777" w:rsidR="00953F61" w:rsidRPr="00F40253" w:rsidRDefault="00953F61" w:rsidP="002F0DA5">
      <w:pPr>
        <w:spacing w:before="120" w:after="120"/>
        <w:jc w:val="center"/>
        <w:rPr>
          <w:b/>
          <w:sz w:val="32"/>
          <w:szCs w:val="32"/>
        </w:rPr>
      </w:pPr>
      <w:r w:rsidRPr="00F40253">
        <w:rPr>
          <w:b/>
          <w:sz w:val="32"/>
          <w:szCs w:val="32"/>
        </w:rPr>
        <w:t>odbor sociálních služeb a sociální práce</w:t>
      </w:r>
    </w:p>
    <w:p w14:paraId="09B59D26" w14:textId="77777777" w:rsidR="00953F61" w:rsidRPr="00F40253" w:rsidRDefault="00953F61" w:rsidP="002F0DA5">
      <w:pPr>
        <w:spacing w:before="120" w:after="120"/>
        <w:jc w:val="center"/>
        <w:rPr>
          <w:b/>
          <w:sz w:val="32"/>
          <w:szCs w:val="32"/>
        </w:rPr>
      </w:pPr>
      <w:r w:rsidRPr="00F40253">
        <w:rPr>
          <w:b/>
          <w:sz w:val="32"/>
          <w:szCs w:val="32"/>
        </w:rPr>
        <w:t>VYHLAŠUJE PRO ROK 2020</w:t>
      </w:r>
    </w:p>
    <w:p w14:paraId="0245BD58" w14:textId="4FC6C3C9" w:rsidR="0099395A" w:rsidRDefault="00F72144" w:rsidP="00517D5B">
      <w:r>
        <w:t xml:space="preserve">mimořádné </w:t>
      </w:r>
      <w:r w:rsidR="00953F61" w:rsidRPr="00953F61">
        <w:t>dotační řízení k</w:t>
      </w:r>
      <w:r w:rsidR="00953F61">
        <w:t> </w:t>
      </w:r>
      <w:r w:rsidR="00953F61" w:rsidRPr="00953F61">
        <w:t>poskytnutí</w:t>
      </w:r>
      <w:r w:rsidR="00953F61">
        <w:t xml:space="preserve"> mimořádné</w:t>
      </w:r>
      <w:r w:rsidR="00953F61" w:rsidRPr="00953F61">
        <w:t xml:space="preserve"> dotace ze státního rozpočtu na rok 2020 </w:t>
      </w:r>
      <w:r w:rsidR="00A3031A">
        <w:t>krajům</w:t>
      </w:r>
      <w:r w:rsidR="0088777B" w:rsidRPr="00DB536E">
        <w:t>.</w:t>
      </w:r>
      <w:r w:rsidR="004C03A4">
        <w:t xml:space="preserve"> </w:t>
      </w:r>
      <w:bookmarkStart w:id="1" w:name="_Hlk47444615"/>
      <w:r w:rsidR="00953F61" w:rsidRPr="00953F61">
        <w:t>Dotační řízení MPSV je vyhlášeno v</w:t>
      </w:r>
      <w:r>
        <w:t> </w:t>
      </w:r>
      <w:r w:rsidR="00953F61" w:rsidRPr="00953F61">
        <w:t>návaznosti na</w:t>
      </w:r>
      <w:r w:rsidR="00953F61">
        <w:t>:</w:t>
      </w:r>
      <w:r w:rsidR="00A3031A">
        <w:t> </w:t>
      </w:r>
      <w:r w:rsidR="00517D5B" w:rsidRPr="000966DC">
        <w:t>Usnesení PS č. 1208</w:t>
      </w:r>
      <w:r w:rsidR="00517D5B">
        <w:t xml:space="preserve"> k vládnímu návrhu zákona, kterým se mění zákon č.</w:t>
      </w:r>
      <w:r w:rsidR="00A3031A">
        <w:t> </w:t>
      </w:r>
      <w:r w:rsidR="00517D5B">
        <w:t>355/2019 Sb., o státním rozpočtu České republiky na rok 2020, ve znění pozdějších předpisů</w:t>
      </w:r>
      <w:r w:rsidR="00727603">
        <w:t>,</w:t>
      </w:r>
      <w:r w:rsidR="00517D5B">
        <w:t xml:space="preserve"> </w:t>
      </w:r>
      <w:bookmarkEnd w:id="1"/>
      <w:r w:rsidR="00727603">
        <w:t xml:space="preserve">na </w:t>
      </w:r>
      <w:r w:rsidR="00727603" w:rsidRPr="00DB536E">
        <w:t>§ 10</w:t>
      </w:r>
      <w:r w:rsidR="00A3031A">
        <w:t>2</w:t>
      </w:r>
      <w:r w:rsidR="00727603" w:rsidRPr="00DB536E">
        <w:t xml:space="preserve"> zákona č.108/2006 Sb., o sociálních službách, ve znění pozdějších předpisů (dále jen „zákon o sociálních službách“), </w:t>
      </w:r>
      <w:r w:rsidR="00727603">
        <w:t>a</w:t>
      </w:r>
      <w:r w:rsidR="00A3031A">
        <w:t> </w:t>
      </w:r>
      <w:r w:rsidR="00517D5B" w:rsidRPr="00DB536E">
        <w:t>na</w:t>
      </w:r>
      <w:r w:rsidR="00517D5B">
        <w:t> </w:t>
      </w:r>
      <w:r w:rsidR="00517D5B" w:rsidRPr="00DB536E">
        <w:t>zákon č. 218/2000 Sb., o rozpočtových pravidlech a</w:t>
      </w:r>
      <w:r w:rsidR="004C03A4">
        <w:t> </w:t>
      </w:r>
      <w:r w:rsidR="00517D5B" w:rsidRPr="00DB536E">
        <w:t>o změně některých souvisejících zákonů</w:t>
      </w:r>
      <w:r w:rsidR="00517D5B">
        <w:t xml:space="preserve"> v</w:t>
      </w:r>
      <w:r w:rsidR="00517D5B" w:rsidRPr="00DB536E">
        <w:t>e znění pozdějších předpisů (dále jen „rozpočtová pravidla“)</w:t>
      </w:r>
      <w:r w:rsidR="00517D5B">
        <w:t xml:space="preserve">. </w:t>
      </w:r>
    </w:p>
    <w:p w14:paraId="487D7B23" w14:textId="77777777" w:rsidR="00953F61" w:rsidRPr="00AC639D" w:rsidRDefault="00953F61" w:rsidP="00AC639D">
      <w:pPr>
        <w:pStyle w:val="Nadpis1"/>
      </w:pPr>
      <w:r w:rsidRPr="00AC639D">
        <w:t xml:space="preserve">Účel </w:t>
      </w:r>
      <w:r w:rsidR="00F40253">
        <w:t xml:space="preserve">a podmínky </w:t>
      </w:r>
      <w:r w:rsidRPr="00AC639D">
        <w:t>dotace</w:t>
      </w:r>
    </w:p>
    <w:p w14:paraId="729C86A4" w14:textId="048DA6F4" w:rsidR="007B6861" w:rsidRDefault="00A66ED6" w:rsidP="004C03A4">
      <w:r>
        <w:t xml:space="preserve">Dotace se poskytuje na úhradu mimořádné </w:t>
      </w:r>
      <w:r w:rsidR="004C03A4">
        <w:t>odměny k</w:t>
      </w:r>
      <w:r w:rsidR="00517D5B">
        <w:t xml:space="preserve"> </w:t>
      </w:r>
      <w:r>
        <w:t xml:space="preserve">platu za práci ve ztíženém pracovním prostředí, kdy je zaměstnanec vystaven riziku nákazy z důvodu nezbytného soustavného přímého osobního kontaktu s jinými fyzickými osobami při výkonu sjednaného </w:t>
      </w:r>
      <w:r w:rsidRPr="001C4A4D">
        <w:t>druhu práce</w:t>
      </w:r>
      <w:r w:rsidR="001C4A4D">
        <w:t xml:space="preserve"> </w:t>
      </w:r>
      <w:r w:rsidR="00967108" w:rsidRPr="001C4A4D">
        <w:t xml:space="preserve">nebo </w:t>
      </w:r>
      <w:r w:rsidR="005017CA" w:rsidRPr="001C4A4D">
        <w:t>ztí</w:t>
      </w:r>
      <w:r w:rsidR="00967108" w:rsidRPr="001C4A4D">
        <w:t>ženého provozu v souvislosti s aplikací opatření proti šíření nákazy COVID_19 (dále</w:t>
      </w:r>
      <w:r w:rsidR="003702EB" w:rsidRPr="001C4A4D">
        <w:t xml:space="preserve"> také jen</w:t>
      </w:r>
      <w:r w:rsidR="00967108" w:rsidRPr="001C4A4D">
        <w:t xml:space="preserve"> „koronavirus“)</w:t>
      </w:r>
      <w:r w:rsidR="001C4A4D" w:rsidRPr="001C4A4D">
        <w:t>, případně za mimořádné pracovní nasazení ve ztíženém pracovním prostředí.</w:t>
      </w:r>
    </w:p>
    <w:p w14:paraId="259F11E0" w14:textId="77777777" w:rsidR="001C4A4D" w:rsidRDefault="001C4A4D" w:rsidP="004C03A4">
      <w:pPr>
        <w:rPr>
          <w:b/>
        </w:rPr>
      </w:pPr>
    </w:p>
    <w:p w14:paraId="505492FF" w14:textId="77777777" w:rsidR="001604A3" w:rsidRDefault="001604A3" w:rsidP="001604A3">
      <w:r w:rsidRPr="00A84FD9">
        <w:rPr>
          <w:b/>
        </w:rPr>
        <w:lastRenderedPageBreak/>
        <w:t>Výpočet dotace je určen na základě</w:t>
      </w:r>
      <w:r>
        <w:rPr>
          <w:b/>
        </w:rPr>
        <w:t xml:space="preserve"> měsíční </w:t>
      </w:r>
      <w:r w:rsidRPr="00A84FD9">
        <w:rPr>
          <w:b/>
        </w:rPr>
        <w:t>výše odměny</w:t>
      </w:r>
      <w:r>
        <w:t>, která je uvedena v této výzvě. O</w:t>
      </w:r>
      <w:r w:rsidDel="00AA5E93">
        <w:t xml:space="preserve">dměny se zohledněním individuálního výkonu konkrétního </w:t>
      </w:r>
      <w:r>
        <w:t>zaměstnance se</w:t>
      </w:r>
      <w:r w:rsidDel="00AA5E93">
        <w:t xml:space="preserve"> můžou od stanovené hodinové sazby lišit v rozmezí +/- 10%.</w:t>
      </w:r>
      <w:r>
        <w:t xml:space="preserve"> </w:t>
      </w:r>
      <w:r w:rsidRPr="002D55F7">
        <w:rPr>
          <w:bCs/>
        </w:rPr>
        <w:t>Odměnu v závislosti</w:t>
      </w:r>
      <w:r>
        <w:t xml:space="preserve"> na konkrétní práci ve stiženém pracovním prostředí, pracovním nasazení, konkrétním výkonu pracovních úkolů, náročnosti práce s přihlédnutím i na práci konanou přes čas nebo pracovní pohotovosti </w:t>
      </w:r>
      <w:r w:rsidRPr="002D55F7">
        <w:rPr>
          <w:bCs/>
        </w:rPr>
        <w:t xml:space="preserve">stanoví </w:t>
      </w:r>
      <w:r>
        <w:rPr>
          <w:bCs/>
        </w:rPr>
        <w:t>nadřízený</w:t>
      </w:r>
      <w:r w:rsidRPr="002D55F7">
        <w:rPr>
          <w:bCs/>
        </w:rPr>
        <w:t>,</w:t>
      </w:r>
      <w:r>
        <w:t xml:space="preserve"> v souladu se zákonem č. 262/2006 Sb., zákoníku práce, ve znění pozdějších předpisů. </w:t>
      </w:r>
    </w:p>
    <w:p w14:paraId="0CE47BF8" w14:textId="05B4B602" w:rsidR="00A66ED6" w:rsidRDefault="00A66ED6" w:rsidP="00A66ED6">
      <w:r>
        <w:t xml:space="preserve">O finanční prostředky na úhradu mimořádných odměn lze požádat </w:t>
      </w:r>
      <w:r w:rsidR="004C03A4">
        <w:t xml:space="preserve">na období </w:t>
      </w:r>
      <w:r w:rsidRPr="002D55F7">
        <w:rPr>
          <w:b/>
          <w:bCs/>
        </w:rPr>
        <w:t>od</w:t>
      </w:r>
      <w:r w:rsidR="004C03A4" w:rsidRPr="002D55F7">
        <w:rPr>
          <w:b/>
          <w:bCs/>
        </w:rPr>
        <w:t> </w:t>
      </w:r>
      <w:r w:rsidRPr="002D55F7">
        <w:rPr>
          <w:b/>
          <w:bCs/>
        </w:rPr>
        <w:t>13. března</w:t>
      </w:r>
      <w:r w:rsidR="009F7698">
        <w:rPr>
          <w:b/>
          <w:bCs/>
        </w:rPr>
        <w:t xml:space="preserve"> </w:t>
      </w:r>
      <w:r w:rsidRPr="002D55F7">
        <w:rPr>
          <w:b/>
          <w:bCs/>
        </w:rPr>
        <w:t>do 31. května 2020</w:t>
      </w:r>
      <w:r w:rsidR="00E21717">
        <w:t xml:space="preserve"> (uznatelné náklady jsou pouze v tomto vymezeném období)</w:t>
      </w:r>
      <w:r>
        <w:t xml:space="preserve">.  </w:t>
      </w:r>
    </w:p>
    <w:p w14:paraId="3474817B" w14:textId="671A784E" w:rsidR="00F40253" w:rsidRDefault="00F40253" w:rsidP="00A66ED6">
      <w:r>
        <w:t xml:space="preserve">Odměny mohou být vyplaceny i jednorázově. </w:t>
      </w:r>
      <w:r w:rsidRPr="00F40253">
        <w:rPr>
          <w:b/>
        </w:rPr>
        <w:t>Maximální termín pro vyplacení odměny je stanoven do 30 pracovních dnů ode dne obdržení dotace na</w:t>
      </w:r>
      <w:r w:rsidR="004C03A4">
        <w:rPr>
          <w:b/>
        </w:rPr>
        <w:t> </w:t>
      </w:r>
      <w:r w:rsidRPr="00F40253">
        <w:rPr>
          <w:b/>
        </w:rPr>
        <w:t>účet</w:t>
      </w:r>
      <w:r w:rsidR="004C03A4">
        <w:rPr>
          <w:b/>
        </w:rPr>
        <w:t xml:space="preserve"> </w:t>
      </w:r>
      <w:r w:rsidR="00AC0CB0">
        <w:rPr>
          <w:b/>
        </w:rPr>
        <w:t>kraje</w:t>
      </w:r>
      <w:r w:rsidR="004C03A4">
        <w:rPr>
          <w:b/>
        </w:rPr>
        <w:t>. V</w:t>
      </w:r>
      <w:r w:rsidR="00191287">
        <w:rPr>
          <w:b/>
        </w:rPr>
        <w:t> případě nemožnosti dodržet tento termín (například z administrativních důvodů) potom nejbližší možný výplatní termín</w:t>
      </w:r>
      <w:r w:rsidRPr="00F40253">
        <w:rPr>
          <w:b/>
        </w:rPr>
        <w:t>.</w:t>
      </w:r>
      <w:r>
        <w:t xml:space="preserve"> </w:t>
      </w:r>
    </w:p>
    <w:p w14:paraId="0E502D28" w14:textId="3D5DD73F" w:rsidR="007B6861" w:rsidRDefault="00AF04B5" w:rsidP="004C03A4">
      <w:pPr>
        <w:rPr>
          <w:b/>
        </w:rPr>
      </w:pPr>
      <w:bookmarkStart w:id="2" w:name="_Hlk46241479"/>
      <w:bookmarkStart w:id="3" w:name="_Hlk49179728"/>
      <w:r w:rsidRPr="00467CD8">
        <w:rPr>
          <w:b/>
        </w:rPr>
        <w:t>Výše odměny</w:t>
      </w:r>
      <w:r w:rsidR="00AC7F6D">
        <w:rPr>
          <w:b/>
        </w:rPr>
        <w:t xml:space="preserve"> pro výpočet dotace</w:t>
      </w:r>
      <w:r w:rsidRPr="00467CD8">
        <w:rPr>
          <w:b/>
        </w:rPr>
        <w:t xml:space="preserve"> za hodinu práce ve ztíženém pracovním prostředí </w:t>
      </w:r>
      <w:r>
        <w:rPr>
          <w:b/>
        </w:rPr>
        <w:t>činí:</w:t>
      </w:r>
    </w:p>
    <w:p w14:paraId="64A8047B" w14:textId="204EA613" w:rsidR="001C4A4D" w:rsidRDefault="007912A2" w:rsidP="004C03A4">
      <w:pPr>
        <w:pStyle w:val="Odstavecseseznamem"/>
        <w:numPr>
          <w:ilvl w:val="0"/>
          <w:numId w:val="7"/>
        </w:numPr>
        <w:shd w:val="clear" w:color="auto" w:fill="auto"/>
        <w:spacing w:before="0" w:after="0"/>
      </w:pPr>
      <w:r>
        <w:rPr>
          <w:b/>
        </w:rPr>
        <w:t>59</w:t>
      </w:r>
      <w:r w:rsidR="00AE568C" w:rsidRPr="004C03A4">
        <w:rPr>
          <w:b/>
        </w:rPr>
        <w:t xml:space="preserve"> Kč</w:t>
      </w:r>
      <w:r w:rsidR="002D55F7">
        <w:rPr>
          <w:b/>
        </w:rPr>
        <w:t xml:space="preserve"> hrubého</w:t>
      </w:r>
      <w:r w:rsidR="00AE568C" w:rsidRPr="00467CD8">
        <w:t xml:space="preserve"> </w:t>
      </w:r>
      <w:r w:rsidR="00AE568C">
        <w:t xml:space="preserve">pro všechny sociální pracovníky na </w:t>
      </w:r>
      <w:r w:rsidR="000966DC">
        <w:t>krajských</w:t>
      </w:r>
      <w:r w:rsidR="00AE568C">
        <w:t xml:space="preserve"> úřadech</w:t>
      </w:r>
      <w:r w:rsidR="00200053">
        <w:t xml:space="preserve"> </w:t>
      </w:r>
      <w:r w:rsidR="00AE568C">
        <w:t>za</w:t>
      </w:r>
      <w:r w:rsidR="00200053">
        <w:t> </w:t>
      </w:r>
      <w:r w:rsidR="00AE568C">
        <w:t xml:space="preserve">odpracované hodiny při výkonu činností sociální práce (nezapočítává se celý fond pracovní doby, v případě kumulace s jinou agendou např. </w:t>
      </w:r>
      <w:r w:rsidR="000966DC">
        <w:t>agenda</w:t>
      </w:r>
      <w:r w:rsidR="00AE568C">
        <w:t xml:space="preserve"> veřejného opatrovnictví).</w:t>
      </w:r>
    </w:p>
    <w:p w14:paraId="0140FF50" w14:textId="4996C56E" w:rsidR="00E242FD" w:rsidRPr="00E242FD" w:rsidRDefault="00E242FD" w:rsidP="00727603">
      <w:pPr>
        <w:pStyle w:val="Odstavecseseznamem"/>
        <w:numPr>
          <w:ilvl w:val="0"/>
          <w:numId w:val="7"/>
        </w:numPr>
        <w:shd w:val="clear" w:color="auto" w:fill="auto"/>
        <w:spacing w:before="0" w:after="0"/>
        <w:rPr>
          <w:bCs/>
          <w:vanish/>
          <w:specVanish/>
        </w:rPr>
      </w:pPr>
      <w:r w:rsidRPr="00E242FD">
        <w:rPr>
          <w:bCs/>
        </w:rPr>
        <w:t xml:space="preserve">Odměnu lze vyplatit </w:t>
      </w:r>
      <w:r w:rsidRPr="00E242FD">
        <w:rPr>
          <w:b/>
        </w:rPr>
        <w:t>za maximálně 416 hodin</w:t>
      </w:r>
      <w:r w:rsidRPr="00E242FD">
        <w:rPr>
          <w:bCs/>
        </w:rPr>
        <w:t xml:space="preserve"> </w:t>
      </w:r>
      <w:r w:rsidR="00727603">
        <w:rPr>
          <w:bCs/>
        </w:rPr>
        <w:t xml:space="preserve">v období </w:t>
      </w:r>
      <w:r w:rsidRPr="00E242FD">
        <w:rPr>
          <w:bCs/>
        </w:rPr>
        <w:t xml:space="preserve">od 13. </w:t>
      </w:r>
      <w:r w:rsidR="000966DC">
        <w:rPr>
          <w:bCs/>
        </w:rPr>
        <w:t>března</w:t>
      </w:r>
      <w:r w:rsidRPr="00E242FD">
        <w:rPr>
          <w:bCs/>
        </w:rPr>
        <w:t xml:space="preserve"> do</w:t>
      </w:r>
      <w:r w:rsidR="002D55F7">
        <w:rPr>
          <w:bCs/>
        </w:rPr>
        <w:t> </w:t>
      </w:r>
      <w:r w:rsidRPr="00E242FD">
        <w:rPr>
          <w:bCs/>
        </w:rPr>
        <w:t xml:space="preserve">31. </w:t>
      </w:r>
      <w:r w:rsidR="000966DC">
        <w:rPr>
          <w:bCs/>
        </w:rPr>
        <w:t xml:space="preserve">května </w:t>
      </w:r>
      <w:r w:rsidRPr="00E242FD">
        <w:rPr>
          <w:bCs/>
        </w:rPr>
        <w:t xml:space="preserve">2020. </w:t>
      </w:r>
    </w:p>
    <w:p w14:paraId="5700413E" w14:textId="77777777" w:rsidR="00E242FD" w:rsidRPr="00E242FD" w:rsidRDefault="00E242FD" w:rsidP="00E242FD">
      <w:pPr>
        <w:pStyle w:val="Odstavecseseznamem"/>
        <w:numPr>
          <w:ilvl w:val="0"/>
          <w:numId w:val="7"/>
        </w:numPr>
        <w:shd w:val="clear" w:color="auto" w:fill="auto"/>
        <w:spacing w:before="0" w:after="0"/>
        <w:rPr>
          <w:bCs/>
          <w:vanish/>
          <w:specVanish/>
        </w:rPr>
      </w:pPr>
    </w:p>
    <w:p w14:paraId="3D84F23A" w14:textId="77777777" w:rsidR="00E242FD" w:rsidRPr="00E242FD" w:rsidRDefault="00E242FD" w:rsidP="00E242FD">
      <w:pPr>
        <w:pStyle w:val="Odstavecseseznamem"/>
        <w:numPr>
          <w:ilvl w:val="0"/>
          <w:numId w:val="7"/>
        </w:numPr>
        <w:shd w:val="clear" w:color="auto" w:fill="auto"/>
        <w:spacing w:before="0" w:after="0"/>
        <w:rPr>
          <w:bCs/>
          <w:vanish/>
          <w:specVanish/>
        </w:rPr>
      </w:pPr>
    </w:p>
    <w:p w14:paraId="27FACFC4" w14:textId="77777777" w:rsidR="00E242FD" w:rsidRPr="00E242FD" w:rsidRDefault="00E242FD" w:rsidP="00E242FD">
      <w:pPr>
        <w:pStyle w:val="Odstavecseseznamem"/>
        <w:numPr>
          <w:ilvl w:val="0"/>
          <w:numId w:val="7"/>
        </w:numPr>
        <w:shd w:val="clear" w:color="auto" w:fill="auto"/>
        <w:spacing w:before="0" w:after="0"/>
        <w:rPr>
          <w:bCs/>
          <w:vanish/>
          <w:specVanish/>
        </w:rPr>
      </w:pPr>
    </w:p>
    <w:p w14:paraId="3939A61B" w14:textId="77777777" w:rsidR="00E242FD" w:rsidRPr="00E242FD" w:rsidRDefault="00E242FD" w:rsidP="00E242FD">
      <w:pPr>
        <w:pStyle w:val="Odstavecseseznamem"/>
        <w:numPr>
          <w:ilvl w:val="0"/>
          <w:numId w:val="7"/>
        </w:numPr>
        <w:shd w:val="clear" w:color="auto" w:fill="auto"/>
        <w:spacing w:before="0" w:after="0"/>
        <w:rPr>
          <w:bCs/>
          <w:vanish/>
          <w:specVanish/>
        </w:rPr>
      </w:pPr>
    </w:p>
    <w:p w14:paraId="496BC0BC" w14:textId="1EE03680" w:rsidR="00E242FD" w:rsidRDefault="00E242FD" w:rsidP="00E242FD">
      <w:pPr>
        <w:shd w:val="clear" w:color="auto" w:fill="auto"/>
        <w:spacing w:before="0" w:after="0"/>
        <w:ind w:left="360"/>
        <w:rPr>
          <w:bCs/>
        </w:rPr>
      </w:pPr>
    </w:p>
    <w:p w14:paraId="1A979B07" w14:textId="77777777" w:rsidR="00727603" w:rsidRPr="00E242FD" w:rsidRDefault="00727603" w:rsidP="00E242FD">
      <w:pPr>
        <w:shd w:val="clear" w:color="auto" w:fill="auto"/>
        <w:spacing w:before="0" w:after="0"/>
        <w:ind w:left="360"/>
        <w:rPr>
          <w:bCs/>
        </w:rPr>
      </w:pPr>
    </w:p>
    <w:p w14:paraId="43C1C8C2" w14:textId="364D779F" w:rsidR="00F40253" w:rsidRPr="00E242FD" w:rsidRDefault="00E242FD" w:rsidP="00E242FD">
      <w:pPr>
        <w:shd w:val="clear" w:color="auto" w:fill="auto"/>
        <w:spacing w:before="0" w:after="0"/>
        <w:rPr>
          <w:bCs/>
        </w:rPr>
      </w:pPr>
      <w:r w:rsidRPr="00E242FD">
        <w:rPr>
          <w:bCs/>
        </w:rPr>
        <w:t>Příklad: S</w:t>
      </w:r>
      <w:r w:rsidR="001C4A4D" w:rsidRPr="00E242FD">
        <w:rPr>
          <w:bCs/>
        </w:rPr>
        <w:t>ociálnímu pracovníkovi</w:t>
      </w:r>
      <w:r w:rsidRPr="00E242FD">
        <w:rPr>
          <w:bCs/>
        </w:rPr>
        <w:t xml:space="preserve">, který vykonává </w:t>
      </w:r>
      <w:r w:rsidR="00200053">
        <w:rPr>
          <w:bCs/>
        </w:rPr>
        <w:t xml:space="preserve">činnosti </w:t>
      </w:r>
      <w:r w:rsidRPr="00E242FD">
        <w:rPr>
          <w:bCs/>
        </w:rPr>
        <w:t>sociální prác</w:t>
      </w:r>
      <w:r w:rsidR="00200053">
        <w:rPr>
          <w:bCs/>
        </w:rPr>
        <w:t>e</w:t>
      </w:r>
      <w:r w:rsidRPr="00E242FD">
        <w:rPr>
          <w:bCs/>
        </w:rPr>
        <w:t xml:space="preserve"> na celý úvazek</w:t>
      </w:r>
      <w:bookmarkEnd w:id="2"/>
      <w:r w:rsidR="00200053">
        <w:rPr>
          <w:bCs/>
        </w:rPr>
        <w:t xml:space="preserve"> </w:t>
      </w:r>
      <w:r>
        <w:rPr>
          <w:bCs/>
        </w:rPr>
        <w:t>a po celou dobu nouzového stavu pracoval</w:t>
      </w:r>
      <w:r w:rsidR="00200053">
        <w:rPr>
          <w:bCs/>
        </w:rPr>
        <w:t xml:space="preserve"> (lze započítat i práci z domova)</w:t>
      </w:r>
      <w:r>
        <w:rPr>
          <w:bCs/>
        </w:rPr>
        <w:t xml:space="preserve">, </w:t>
      </w:r>
      <w:r w:rsidRPr="00E242FD">
        <w:rPr>
          <w:bCs/>
        </w:rPr>
        <w:t xml:space="preserve">lze vyplatit maximálně </w:t>
      </w:r>
      <w:r w:rsidR="007912A2">
        <w:rPr>
          <w:bCs/>
        </w:rPr>
        <w:t>24 544</w:t>
      </w:r>
      <w:r w:rsidRPr="00E242FD">
        <w:rPr>
          <w:bCs/>
        </w:rPr>
        <w:t xml:space="preserve"> Kč </w:t>
      </w:r>
      <w:r w:rsidR="007912A2">
        <w:rPr>
          <w:bCs/>
        </w:rPr>
        <w:t xml:space="preserve">hrubého </w:t>
      </w:r>
      <w:r w:rsidRPr="00E242FD">
        <w:rPr>
          <w:bCs/>
        </w:rPr>
        <w:t>plus zákonné odvody</w:t>
      </w:r>
      <w:r w:rsidR="00200053">
        <w:rPr>
          <w:bCs/>
        </w:rPr>
        <w:t>.</w:t>
      </w:r>
      <w:r w:rsidR="007912A2">
        <w:rPr>
          <w:bCs/>
        </w:rPr>
        <w:t xml:space="preserve"> </w:t>
      </w:r>
      <w:r w:rsidR="00200053">
        <w:rPr>
          <w:bCs/>
        </w:rPr>
        <w:t>Pokud sociální pracovník vykonává činnosti sociální práce na úvazek např. 0,</w:t>
      </w:r>
      <w:r w:rsidR="000966DC">
        <w:rPr>
          <w:bCs/>
        </w:rPr>
        <w:t>9</w:t>
      </w:r>
      <w:r w:rsidR="00200053">
        <w:rPr>
          <w:bCs/>
        </w:rPr>
        <w:t xml:space="preserve"> (zbytek úvazku je kumulovaný s jin</w:t>
      </w:r>
      <w:r w:rsidR="000966DC">
        <w:rPr>
          <w:bCs/>
        </w:rPr>
        <w:t>ou</w:t>
      </w:r>
      <w:r w:rsidR="00200053">
        <w:rPr>
          <w:bCs/>
        </w:rPr>
        <w:t xml:space="preserve"> agend</w:t>
      </w:r>
      <w:r w:rsidR="000966DC">
        <w:rPr>
          <w:bCs/>
        </w:rPr>
        <w:t>ou</w:t>
      </w:r>
      <w:r w:rsidR="00200053">
        <w:rPr>
          <w:bCs/>
        </w:rPr>
        <w:t xml:space="preserve">) a po celou dobu nouzového stavu pracoval, </w:t>
      </w:r>
      <w:r w:rsidR="00200053" w:rsidRPr="00E242FD">
        <w:rPr>
          <w:bCs/>
        </w:rPr>
        <w:t>lze vyplatit maximálně</w:t>
      </w:r>
      <w:r w:rsidR="000966DC">
        <w:rPr>
          <w:bCs/>
        </w:rPr>
        <w:t xml:space="preserve"> 22 089,6</w:t>
      </w:r>
      <w:r w:rsidR="00200053" w:rsidRPr="00E242FD">
        <w:rPr>
          <w:bCs/>
        </w:rPr>
        <w:t xml:space="preserve"> Kč</w:t>
      </w:r>
      <w:r w:rsidR="007912A2">
        <w:rPr>
          <w:bCs/>
        </w:rPr>
        <w:t xml:space="preserve"> hrubého</w:t>
      </w:r>
      <w:r w:rsidR="00200053" w:rsidRPr="00E242FD">
        <w:rPr>
          <w:bCs/>
        </w:rPr>
        <w:t xml:space="preserve"> plus zákonné odvody</w:t>
      </w:r>
      <w:r w:rsidR="00200053">
        <w:rPr>
          <w:bCs/>
        </w:rPr>
        <w:t>.</w:t>
      </w:r>
    </w:p>
    <w:p w14:paraId="43210490" w14:textId="77777777" w:rsidR="001C4A4D" w:rsidRDefault="001C4A4D" w:rsidP="00E21717">
      <w:pPr>
        <w:shd w:val="clear" w:color="auto" w:fill="auto"/>
        <w:spacing w:before="0" w:after="0"/>
      </w:pPr>
    </w:p>
    <w:p w14:paraId="7C3F9A02" w14:textId="733A2148" w:rsidR="00E21717" w:rsidRDefault="00E21717" w:rsidP="00E21717">
      <w:pPr>
        <w:shd w:val="clear" w:color="auto" w:fill="auto"/>
        <w:spacing w:before="0" w:after="0"/>
      </w:pPr>
      <w:r>
        <w:t xml:space="preserve">K hodinové sazbě budou </w:t>
      </w:r>
      <w:r w:rsidR="004C03A4">
        <w:t xml:space="preserve">v aplikaci </w:t>
      </w:r>
      <w:r>
        <w:t xml:space="preserve">automaticky připočteny i zákonné odvody zaměstnavatele (tj. </w:t>
      </w:r>
      <w:r w:rsidR="007952FA">
        <w:t>super hrubá</w:t>
      </w:r>
      <w:r>
        <w:t xml:space="preserve"> mzda)</w:t>
      </w:r>
      <w:r w:rsidR="006B426B">
        <w:t xml:space="preserve">, dotace tedy bude poskytnuta ve výši </w:t>
      </w:r>
      <w:r w:rsidR="007952FA">
        <w:t>super hrubé</w:t>
      </w:r>
      <w:r w:rsidR="006B426B">
        <w:t xml:space="preserve"> mzdy.</w:t>
      </w:r>
      <w:r>
        <w:t xml:space="preserve"> </w:t>
      </w:r>
    </w:p>
    <w:bookmarkEnd w:id="3"/>
    <w:p w14:paraId="2F042F45" w14:textId="68C2EBDA" w:rsidR="007B6861" w:rsidRDefault="007B6861" w:rsidP="00E21717">
      <w:pPr>
        <w:shd w:val="clear" w:color="auto" w:fill="auto"/>
        <w:spacing w:before="0" w:after="0"/>
      </w:pPr>
      <w:r>
        <w:t xml:space="preserve">Do žádosti </w:t>
      </w:r>
      <w:r w:rsidR="00200053">
        <w:t>ne</w:t>
      </w:r>
      <w:r>
        <w:t>lze uvést zaměstnance, kteří pracovali na dohody konané mimo pracovní poměr, resp. dohody o provedení práce a dohody o pracovní činnosti</w:t>
      </w:r>
      <w:r w:rsidR="00200053">
        <w:t>.</w:t>
      </w:r>
      <w:r>
        <w:t xml:space="preserve"> </w:t>
      </w:r>
    </w:p>
    <w:p w14:paraId="280CEE81" w14:textId="77777777" w:rsidR="00953F61" w:rsidRPr="00953F61" w:rsidRDefault="00953F61" w:rsidP="00AC639D">
      <w:pPr>
        <w:pStyle w:val="Nadpis1"/>
      </w:pPr>
      <w:r w:rsidRPr="00953F61">
        <w:t>Způsob poskytnutí dotace a žádost o poskytnutí dotace</w:t>
      </w:r>
    </w:p>
    <w:p w14:paraId="13269CEA" w14:textId="6D92469A" w:rsidR="00953F61" w:rsidRDefault="00953F61" w:rsidP="00953F61">
      <w:r w:rsidRPr="00953F61">
        <w:t xml:space="preserve">Dotace je poskytována žadatelům na základě žádosti o poskytnutí </w:t>
      </w:r>
      <w:r w:rsidR="00AC639D">
        <w:t xml:space="preserve">mimořádné </w:t>
      </w:r>
      <w:r w:rsidRPr="00953F61">
        <w:t>dotace ze státního rozpočtu. Tato žádost pro rok 2020 musí být zpracována a</w:t>
      </w:r>
      <w:r w:rsidR="00E13C38">
        <w:t> </w:t>
      </w:r>
      <w:r w:rsidRPr="00953F61">
        <w:t>podána výlučně prostřednictvím internetové aplikace</w:t>
      </w:r>
      <w:r w:rsidR="00D54864">
        <w:t xml:space="preserve"> OKnouze</w:t>
      </w:r>
      <w:r w:rsidRPr="00953F61">
        <w:t>.</w:t>
      </w:r>
    </w:p>
    <w:p w14:paraId="0075BD94" w14:textId="10484D97" w:rsidR="0099395A" w:rsidRDefault="00A84FD9" w:rsidP="004C03A4">
      <w:r w:rsidRPr="00A84FD9">
        <w:rPr>
          <w:b/>
        </w:rPr>
        <w:t>Každý</w:t>
      </w:r>
      <w:r w:rsidR="00200053">
        <w:rPr>
          <w:b/>
        </w:rPr>
        <w:t xml:space="preserve"> žadatel</w:t>
      </w:r>
      <w:r w:rsidRPr="00A84FD9">
        <w:rPr>
          <w:b/>
        </w:rPr>
        <w:t xml:space="preserve"> vyplňuje a podává pouze jednu žádost o dotaci. </w:t>
      </w:r>
      <w:r w:rsidR="0099395A">
        <w:t>Jde o</w:t>
      </w:r>
      <w:r w:rsidR="00951C92">
        <w:t> </w:t>
      </w:r>
      <w:r w:rsidR="0099395A">
        <w:t xml:space="preserve">mimořádnou dotaci v rámci samostatného dotačního </w:t>
      </w:r>
      <w:r w:rsidR="004C03A4">
        <w:t>titulu,</w:t>
      </w:r>
      <w:r w:rsidR="0099395A">
        <w:t xml:space="preserve"> a tedy se</w:t>
      </w:r>
      <w:r w:rsidR="00E13C38">
        <w:t> </w:t>
      </w:r>
      <w:r w:rsidR="0099395A">
        <w:t xml:space="preserve">samostatným finančním vypořádáním. </w:t>
      </w:r>
    </w:p>
    <w:p w14:paraId="3C50206E" w14:textId="606834FD" w:rsidR="00B81DF7" w:rsidRPr="00F8387B" w:rsidRDefault="00DD7BB2" w:rsidP="00B81DF7">
      <w:bookmarkStart w:id="4" w:name="_Hlk52435611"/>
      <w:r>
        <w:t>Příjemce dotace je povinen odlišit v účetnictví účetní doklady vztahující se</w:t>
      </w:r>
      <w:r w:rsidR="00B81DF7">
        <w:t> </w:t>
      </w:r>
      <w:r>
        <w:t>k mimořádné dotaci</w:t>
      </w:r>
      <w:r w:rsidRPr="00B81DF7">
        <w:t xml:space="preserve">. Finanční vypořádání mimořádné dotace bude provedeno společně s běžnou dotací s použitím účelového znaku 13015. </w:t>
      </w:r>
      <w:r>
        <w:t>K</w:t>
      </w:r>
      <w:r w:rsidR="00B81DF7">
        <w:t> </w:t>
      </w:r>
      <w:r>
        <w:t xml:space="preserve">podkladům příjemce dotace přiloží komentář, ve kterém uvede, jakou část tvořila mimořádná dotace a současně provede případnou vratku dotace společně s avízem. Lhůty pro finanční vypořádání se řídí vyhláškou </w:t>
      </w:r>
      <w:r w:rsidR="00B81DF7" w:rsidRPr="00F8387B">
        <w:t>č. 367/2015 Sb.,</w:t>
      </w:r>
      <w:r w:rsidR="00B81DF7" w:rsidRPr="00B81DF7">
        <w:t xml:space="preserve"> o zásadách a lhůtách finančního vypořádání vztahů se státním rozpočtem, státními finančními aktivy a Národním fondem ve znění vyhlášky </w:t>
      </w:r>
      <w:r w:rsidR="00B81DF7" w:rsidRPr="00B81DF7">
        <w:br/>
        <w:t xml:space="preserve">č. 435/2017 Sb. </w:t>
      </w:r>
      <w:r w:rsidR="00B81DF7" w:rsidRPr="00F8387B">
        <w:t>(„vyhláška o finančním vypořádání“), kterou se stanoví zásady a termíny finančního vypořádání vztahů se státním rozpočtem, státními finančními aktivy nebo Národním fondem.</w:t>
      </w:r>
    </w:p>
    <w:bookmarkEnd w:id="4"/>
    <w:p w14:paraId="73391A0C" w14:textId="18C5A654" w:rsidR="00AC639D" w:rsidRPr="00953F61" w:rsidRDefault="00AC639D" w:rsidP="00AC639D">
      <w:pPr>
        <w:pStyle w:val="Nadpis1"/>
      </w:pPr>
      <w:r>
        <w:t>Oprávnění žadatelé</w:t>
      </w:r>
    </w:p>
    <w:p w14:paraId="70A9254F" w14:textId="38511965" w:rsidR="00E51647" w:rsidRDefault="00E51647" w:rsidP="00A16449">
      <w:bookmarkStart w:id="5" w:name="_Hlk47444732"/>
      <w:r w:rsidRPr="00DB536E">
        <w:rPr>
          <w:bCs/>
        </w:rPr>
        <w:t xml:space="preserve">Dotaci lze poskytnout pouze </w:t>
      </w:r>
      <w:r w:rsidR="000966DC">
        <w:rPr>
          <w:b/>
          <w:bCs/>
        </w:rPr>
        <w:t>krajům.</w:t>
      </w:r>
    </w:p>
    <w:p w14:paraId="190DDF5A" w14:textId="3A464641" w:rsidR="00953F61" w:rsidRPr="00A84FD9" w:rsidRDefault="00953F61" w:rsidP="00A84FD9">
      <w:pPr>
        <w:pStyle w:val="Nadpis1"/>
      </w:pPr>
      <w:bookmarkStart w:id="6" w:name="_GoBack"/>
      <w:bookmarkEnd w:id="5"/>
      <w:bookmarkEnd w:id="6"/>
      <w:r w:rsidRPr="008F5086">
        <w:t>Termíny pro podávání žádostí</w:t>
      </w:r>
    </w:p>
    <w:p w14:paraId="5A81EA15" w14:textId="050E3518" w:rsidR="00A16449" w:rsidRDefault="00953F61" w:rsidP="00953F61">
      <w:pPr>
        <w:rPr>
          <w:b/>
        </w:rPr>
      </w:pPr>
      <w:r w:rsidRPr="00953F61">
        <w:t xml:space="preserve">Žádost o </w:t>
      </w:r>
      <w:r w:rsidR="008F5086">
        <w:t xml:space="preserve">mimořádnou </w:t>
      </w:r>
      <w:r w:rsidRPr="00953F61">
        <w:t>dotaci pro rok 2020 je možné zpracovat a podat v</w:t>
      </w:r>
      <w:r w:rsidR="00A84FD9">
        <w:t> </w:t>
      </w:r>
      <w:r w:rsidRPr="00953F61">
        <w:t>tomto </w:t>
      </w:r>
      <w:r w:rsidRPr="00953F61">
        <w:rPr>
          <w:b/>
          <w:bCs/>
        </w:rPr>
        <w:t>termínu</w:t>
      </w:r>
      <w:r w:rsidRPr="00953F61">
        <w:t>:</w:t>
      </w:r>
      <w:r w:rsidR="002F0DA5">
        <w:t xml:space="preserve"> </w:t>
      </w:r>
      <w:r w:rsidRPr="002D55F7">
        <w:rPr>
          <w:b/>
        </w:rPr>
        <w:t>od</w:t>
      </w:r>
      <w:r w:rsidR="002D55F7" w:rsidRPr="002D55F7">
        <w:rPr>
          <w:b/>
        </w:rPr>
        <w:t xml:space="preserve"> </w:t>
      </w:r>
      <w:r w:rsidR="000966DC">
        <w:rPr>
          <w:b/>
        </w:rPr>
        <w:t>7. 10</w:t>
      </w:r>
      <w:r w:rsidR="00126B05" w:rsidRPr="002D55F7">
        <w:rPr>
          <w:b/>
        </w:rPr>
        <w:t>. 2020</w:t>
      </w:r>
      <w:r w:rsidR="002D55F7" w:rsidRPr="002D55F7">
        <w:rPr>
          <w:b/>
        </w:rPr>
        <w:t xml:space="preserve"> do 2</w:t>
      </w:r>
      <w:r w:rsidR="000966DC">
        <w:rPr>
          <w:b/>
        </w:rPr>
        <w:t>1</w:t>
      </w:r>
      <w:r w:rsidR="002D55F7" w:rsidRPr="002D55F7">
        <w:rPr>
          <w:b/>
        </w:rPr>
        <w:t xml:space="preserve">. </w:t>
      </w:r>
      <w:r w:rsidR="000966DC">
        <w:rPr>
          <w:b/>
        </w:rPr>
        <w:t>10</w:t>
      </w:r>
      <w:r w:rsidR="002D55F7" w:rsidRPr="002D55F7">
        <w:rPr>
          <w:b/>
        </w:rPr>
        <w:t>. 2020</w:t>
      </w:r>
      <w:r w:rsidR="00126B05" w:rsidRPr="002D55F7">
        <w:rPr>
          <w:b/>
        </w:rPr>
        <w:t>.</w:t>
      </w:r>
      <w:r w:rsidR="00A16449" w:rsidRPr="002D55F7">
        <w:rPr>
          <w:b/>
        </w:rPr>
        <w:t xml:space="preserve"> </w:t>
      </w:r>
    </w:p>
    <w:p w14:paraId="152633B1" w14:textId="77777777" w:rsidR="00953F61" w:rsidRPr="00953F61" w:rsidRDefault="00953F61" w:rsidP="00953F61">
      <w:r w:rsidRPr="00953F61">
        <w:t>Jiný termín není v současné době vyhlašován.</w:t>
      </w:r>
    </w:p>
    <w:p w14:paraId="6B71FE03" w14:textId="77777777" w:rsidR="00953F61" w:rsidRPr="008F5086" w:rsidRDefault="00953F61" w:rsidP="008F5086">
      <w:pPr>
        <w:pStyle w:val="Nadpis1"/>
      </w:pPr>
      <w:r w:rsidRPr="008F5086">
        <w:t>Posuzování žádostí</w:t>
      </w:r>
    </w:p>
    <w:p w14:paraId="0F2A9A46" w14:textId="29FF39DE" w:rsidR="00953F61" w:rsidRDefault="008F5086" w:rsidP="00953F61">
      <w:r>
        <w:t>MPSV bude posuzovat oprávněnost žadatele</w:t>
      </w:r>
      <w:r w:rsidR="00E13C38">
        <w:t>, v</w:t>
      </w:r>
      <w:r>
        <w:t>ýš</w:t>
      </w:r>
      <w:r w:rsidR="00AE568C">
        <w:t>i</w:t>
      </w:r>
      <w:r>
        <w:t xml:space="preserve"> stanovených odměn</w:t>
      </w:r>
      <w:r w:rsidR="00E13C38">
        <w:t xml:space="preserve"> ve vztahu k počtu odpracovaných hodin a výši úvazku</w:t>
      </w:r>
      <w:r>
        <w:t xml:space="preserve"> pro</w:t>
      </w:r>
      <w:r w:rsidR="00A16449">
        <w:t> </w:t>
      </w:r>
      <w:r w:rsidR="00E13C38">
        <w:t>přidělení</w:t>
      </w:r>
      <w:r>
        <w:t xml:space="preserve"> dotace. </w:t>
      </w:r>
    </w:p>
    <w:p w14:paraId="58732802" w14:textId="77777777" w:rsidR="00953F61" w:rsidRPr="00953F61" w:rsidRDefault="00953F61" w:rsidP="008F5086">
      <w:pPr>
        <w:pStyle w:val="Nadpis1"/>
      </w:pPr>
      <w:r w:rsidRPr="00953F61">
        <w:t>Jak lze získat podrobnější informace</w:t>
      </w:r>
    </w:p>
    <w:p w14:paraId="54D2C75E" w14:textId="1D2A33C8" w:rsidR="00953F61" w:rsidRPr="00953F61" w:rsidRDefault="00953F61" w:rsidP="00953F61">
      <w:r w:rsidRPr="00953F61">
        <w:rPr>
          <w:b/>
          <w:bCs/>
        </w:rPr>
        <w:t xml:space="preserve">Informace týkající se obsahu žádosti </w:t>
      </w:r>
      <w:r w:rsidR="00AE568C">
        <w:t xml:space="preserve">poskytuje v průběhu dotačního řízení Mgr. Klára Holanová - </w:t>
      </w:r>
      <w:hyperlink r:id="rId8" w:history="1">
        <w:r w:rsidR="00AE568C" w:rsidRPr="00811C4A">
          <w:rPr>
            <w:rStyle w:val="Hypertextovodkaz"/>
          </w:rPr>
          <w:t>klara.holanova@mpsv.cz</w:t>
        </w:r>
      </w:hyperlink>
      <w:r w:rsidR="00AE568C">
        <w:t xml:space="preserve"> a</w:t>
      </w:r>
      <w:r w:rsidR="00E13C38">
        <w:t xml:space="preserve"> </w:t>
      </w:r>
      <w:r w:rsidR="00AE568C">
        <w:t xml:space="preserve">Mgr. Ilona Jakoubková - </w:t>
      </w:r>
      <w:hyperlink r:id="rId9" w:history="1">
        <w:r w:rsidR="00AE568C" w:rsidRPr="00811C4A">
          <w:rPr>
            <w:rStyle w:val="Hypertextovodkaz"/>
          </w:rPr>
          <w:t>ilona.jakoubkova@mpsv.cz</w:t>
        </w:r>
      </w:hyperlink>
      <w:r w:rsidR="00AE568C">
        <w:rPr>
          <w:u w:val="single"/>
        </w:rPr>
        <w:t xml:space="preserve"> .</w:t>
      </w:r>
    </w:p>
    <w:p w14:paraId="3537378B" w14:textId="0DD65450" w:rsidR="00953F61" w:rsidRPr="00953F61" w:rsidRDefault="00953F61" w:rsidP="00953F61">
      <w:r w:rsidRPr="00953F61">
        <w:t>Kontaktním místem je o</w:t>
      </w:r>
      <w:r w:rsidR="008F5086">
        <w:t>dbor sociálních služeb a</w:t>
      </w:r>
      <w:r w:rsidRPr="00953F61">
        <w:t xml:space="preserve"> sociální práce, konkrétně oddělení </w:t>
      </w:r>
      <w:r w:rsidR="007912A2">
        <w:t>k</w:t>
      </w:r>
      <w:r w:rsidRPr="00953F61">
        <w:t xml:space="preserve">oncepce </w:t>
      </w:r>
      <w:r w:rsidR="00126B05">
        <w:t>sociální práce a vzdělávání (224)</w:t>
      </w:r>
      <w:r w:rsidRPr="00953F61">
        <w:t>, pracoviště Podskalská 19, Praha 2.</w:t>
      </w:r>
    </w:p>
    <w:p w14:paraId="07DA9F8D" w14:textId="61C8B885" w:rsidR="007952FA" w:rsidRDefault="00AE568C" w:rsidP="00953F61">
      <w:r w:rsidRPr="00AE568C">
        <w:t xml:space="preserve">Technická podpora k aplikaci – Hotline bude dostupná v pondělí až pátek od 8 do 16 hodin na telefonu 236 072 280, e-mail: </w:t>
      </w:r>
      <w:hyperlink r:id="rId10" w:history="1">
        <w:r w:rsidRPr="00811C4A">
          <w:rPr>
            <w:rStyle w:val="Hypertextovodkaz"/>
          </w:rPr>
          <w:t>hotline.oknouze@oksystem.cz</w:t>
        </w:r>
      </w:hyperlink>
      <w:r>
        <w:t xml:space="preserve"> </w:t>
      </w:r>
      <w:r w:rsidRPr="00AE568C">
        <w:t>.</w:t>
      </w:r>
    </w:p>
    <w:p w14:paraId="6927A136" w14:textId="357B0913" w:rsidR="007952FA" w:rsidRPr="00953F61" w:rsidRDefault="007952FA" w:rsidP="00953F61"/>
    <w:sectPr w:rsidR="007952FA" w:rsidRPr="00953F61" w:rsidSect="002F0D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3956A" w14:textId="77777777" w:rsidR="00706BB5" w:rsidRDefault="00706BB5" w:rsidP="00F72144">
      <w:pPr>
        <w:spacing w:before="0" w:after="0" w:line="240" w:lineRule="auto"/>
      </w:pPr>
      <w:r>
        <w:separator/>
      </w:r>
    </w:p>
  </w:endnote>
  <w:endnote w:type="continuationSeparator" w:id="0">
    <w:p w14:paraId="40EE84A9" w14:textId="77777777" w:rsidR="00706BB5" w:rsidRDefault="00706BB5" w:rsidP="00F721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7324" w14:textId="77777777" w:rsidR="000E64C0" w:rsidRDefault="000E64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3182" w14:textId="77777777" w:rsidR="00C319BD" w:rsidRPr="00C319BD" w:rsidRDefault="00C319BD">
    <w:pPr>
      <w:pStyle w:val="Zpat"/>
      <w:jc w:val="center"/>
      <w:rPr>
        <w:color w:val="5B9BD5" w:themeColor="accent1"/>
        <w:sz w:val="18"/>
        <w:szCs w:val="18"/>
      </w:rPr>
    </w:pPr>
    <w:r w:rsidRPr="00C319BD">
      <w:rPr>
        <w:color w:val="5B9BD5" w:themeColor="accent1"/>
        <w:sz w:val="18"/>
        <w:szCs w:val="18"/>
      </w:rPr>
      <w:t xml:space="preserve">Stránka </w:t>
    </w:r>
    <w:r w:rsidRPr="00C319BD">
      <w:rPr>
        <w:color w:val="5B9BD5" w:themeColor="accent1"/>
        <w:sz w:val="18"/>
        <w:szCs w:val="18"/>
      </w:rPr>
      <w:fldChar w:fldCharType="begin"/>
    </w:r>
    <w:r w:rsidRPr="00C319BD">
      <w:rPr>
        <w:color w:val="5B9BD5" w:themeColor="accent1"/>
        <w:sz w:val="18"/>
        <w:szCs w:val="18"/>
      </w:rPr>
      <w:instrText>PAGE  \* Arabic  \* MERGEFORMAT</w:instrText>
    </w:r>
    <w:r w:rsidRPr="00C319BD">
      <w:rPr>
        <w:color w:val="5B9BD5" w:themeColor="accent1"/>
        <w:sz w:val="18"/>
        <w:szCs w:val="18"/>
      </w:rPr>
      <w:fldChar w:fldCharType="separate"/>
    </w:r>
    <w:r w:rsidR="00665AA7">
      <w:rPr>
        <w:noProof/>
        <w:color w:val="5B9BD5" w:themeColor="accent1"/>
        <w:sz w:val="18"/>
        <w:szCs w:val="18"/>
      </w:rPr>
      <w:t>3</w:t>
    </w:r>
    <w:r w:rsidRPr="00C319BD">
      <w:rPr>
        <w:color w:val="5B9BD5" w:themeColor="accent1"/>
        <w:sz w:val="18"/>
        <w:szCs w:val="18"/>
      </w:rPr>
      <w:fldChar w:fldCharType="end"/>
    </w:r>
    <w:r w:rsidRPr="00C319BD">
      <w:rPr>
        <w:color w:val="5B9BD5" w:themeColor="accent1"/>
        <w:sz w:val="18"/>
        <w:szCs w:val="18"/>
      </w:rPr>
      <w:t xml:space="preserve"> z </w:t>
    </w:r>
    <w:r w:rsidRPr="00C319BD">
      <w:rPr>
        <w:color w:val="5B9BD5" w:themeColor="accent1"/>
        <w:sz w:val="18"/>
        <w:szCs w:val="18"/>
      </w:rPr>
      <w:fldChar w:fldCharType="begin"/>
    </w:r>
    <w:r w:rsidRPr="00C319BD">
      <w:rPr>
        <w:color w:val="5B9BD5" w:themeColor="accent1"/>
        <w:sz w:val="18"/>
        <w:szCs w:val="18"/>
      </w:rPr>
      <w:instrText>NUMPAGES  \* Arabic  \* MERGEFORMAT</w:instrText>
    </w:r>
    <w:r w:rsidRPr="00C319BD">
      <w:rPr>
        <w:color w:val="5B9BD5" w:themeColor="accent1"/>
        <w:sz w:val="18"/>
        <w:szCs w:val="18"/>
      </w:rPr>
      <w:fldChar w:fldCharType="separate"/>
    </w:r>
    <w:r w:rsidR="00665AA7">
      <w:rPr>
        <w:noProof/>
        <w:color w:val="5B9BD5" w:themeColor="accent1"/>
        <w:sz w:val="18"/>
        <w:szCs w:val="18"/>
      </w:rPr>
      <w:t>7</w:t>
    </w:r>
    <w:r w:rsidRPr="00C319BD">
      <w:rPr>
        <w:color w:val="5B9BD5" w:themeColor="accent1"/>
        <w:sz w:val="18"/>
        <w:szCs w:val="18"/>
      </w:rPr>
      <w:fldChar w:fldCharType="end"/>
    </w:r>
  </w:p>
  <w:p w14:paraId="6B9B0CC9" w14:textId="77777777" w:rsidR="00C319BD" w:rsidRDefault="00C319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6F604" w14:textId="77777777" w:rsidR="000E64C0" w:rsidRDefault="000E64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38438" w14:textId="77777777" w:rsidR="00706BB5" w:rsidRDefault="00706BB5" w:rsidP="00F72144">
      <w:pPr>
        <w:spacing w:before="0" w:after="0" w:line="240" w:lineRule="auto"/>
      </w:pPr>
      <w:r>
        <w:separator/>
      </w:r>
    </w:p>
  </w:footnote>
  <w:footnote w:type="continuationSeparator" w:id="0">
    <w:p w14:paraId="771B6B37" w14:textId="77777777" w:rsidR="00706BB5" w:rsidRDefault="00706BB5" w:rsidP="00F721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620D8" w14:textId="77777777" w:rsidR="000E64C0" w:rsidRDefault="000E64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3C46C" w14:textId="77777777" w:rsidR="00C319BD" w:rsidRPr="002F0DA5" w:rsidRDefault="00C319BD">
    <w:pPr>
      <w:pStyle w:val="Zhlav"/>
      <w:rPr>
        <w:color w:val="808080" w:themeColor="background1" w:themeShade="80"/>
        <w:sz w:val="20"/>
        <w:szCs w:val="20"/>
      </w:rPr>
    </w:pPr>
    <w:r w:rsidRPr="002F0DA5">
      <w:rPr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0" locked="0" layoutInCell="1" allowOverlap="1" wp14:anchorId="5A31F416" wp14:editId="496DDC90">
          <wp:simplePos x="0" y="0"/>
          <wp:positionH relativeFrom="column">
            <wp:posOffset>-671195</wp:posOffset>
          </wp:positionH>
          <wp:positionV relativeFrom="paragraph">
            <wp:posOffset>-325755</wp:posOffset>
          </wp:positionV>
          <wp:extent cx="857250" cy="880898"/>
          <wp:effectExtent l="0" t="0" r="0" b="0"/>
          <wp:wrapThrough wrapText="bothSides">
            <wp:wrapPolygon edited="0">
              <wp:start x="0" y="0"/>
              <wp:lineTo x="0" y="21024"/>
              <wp:lineTo x="21120" y="21024"/>
              <wp:lineTo x="21120" y="0"/>
              <wp:lineTo x="0" y="0"/>
            </wp:wrapPolygon>
          </wp:wrapThrough>
          <wp:docPr id="7" name="Obrázek 7" descr="Logo MPSV - MPSV Port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PSV - MPSV Portá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80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0DA5" w:rsidRPr="002F0DA5">
      <w:rPr>
        <w:color w:val="808080" w:themeColor="background1" w:themeShade="80"/>
        <w:sz w:val="20"/>
        <w:szCs w:val="20"/>
      </w:rPr>
      <w:t>Ministerstvo práce a sociálních věcí</w:t>
    </w:r>
  </w:p>
  <w:p w14:paraId="2B8335E2" w14:textId="77777777" w:rsidR="002F0DA5" w:rsidRDefault="002F0DA5">
    <w:pPr>
      <w:pStyle w:val="Zhlav"/>
      <w:rPr>
        <w:color w:val="808080" w:themeColor="background1" w:themeShade="80"/>
        <w:sz w:val="20"/>
        <w:szCs w:val="20"/>
      </w:rPr>
    </w:pPr>
    <w:r w:rsidRPr="002F0DA5">
      <w:rPr>
        <w:color w:val="808080" w:themeColor="background1" w:themeShade="80"/>
        <w:sz w:val="20"/>
        <w:szCs w:val="20"/>
      </w:rPr>
      <w:t>Odbor sociálních služeb a sociální práce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1AB60" w14:textId="77777777" w:rsidR="000E64C0" w:rsidRDefault="000E64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553C"/>
    <w:multiLevelType w:val="hybridMultilevel"/>
    <w:tmpl w:val="28A00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53C3B"/>
    <w:multiLevelType w:val="hybridMultilevel"/>
    <w:tmpl w:val="BB6A858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C6F8E"/>
    <w:multiLevelType w:val="hybridMultilevel"/>
    <w:tmpl w:val="B5040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E1255"/>
    <w:multiLevelType w:val="hybridMultilevel"/>
    <w:tmpl w:val="D21E5772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5C114E5"/>
    <w:multiLevelType w:val="hybridMultilevel"/>
    <w:tmpl w:val="B5040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274ED"/>
    <w:multiLevelType w:val="hybridMultilevel"/>
    <w:tmpl w:val="D618CF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44287C"/>
    <w:multiLevelType w:val="multilevel"/>
    <w:tmpl w:val="CABA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E083A"/>
    <w:multiLevelType w:val="hybridMultilevel"/>
    <w:tmpl w:val="4DCE2FDC"/>
    <w:lvl w:ilvl="0" w:tplc="B6FA0634">
      <w:start w:val="1"/>
      <w:numFmt w:val="upperRoman"/>
      <w:lvlText w:val="%1."/>
      <w:lvlJc w:val="left"/>
      <w:pPr>
        <w:ind w:left="705" w:hanging="3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61"/>
    <w:rsid w:val="00050E2D"/>
    <w:rsid w:val="00056A1B"/>
    <w:rsid w:val="00080B0F"/>
    <w:rsid w:val="000966DC"/>
    <w:rsid w:val="000D78D1"/>
    <w:rsid w:val="000E3270"/>
    <w:rsid w:val="000E64C0"/>
    <w:rsid w:val="000F51C1"/>
    <w:rsid w:val="00126B05"/>
    <w:rsid w:val="001276EE"/>
    <w:rsid w:val="00133ABC"/>
    <w:rsid w:val="00137D73"/>
    <w:rsid w:val="00141D0D"/>
    <w:rsid w:val="001604A3"/>
    <w:rsid w:val="00183021"/>
    <w:rsid w:val="00191287"/>
    <w:rsid w:val="00192123"/>
    <w:rsid w:val="001C43C3"/>
    <w:rsid w:val="001C4A4D"/>
    <w:rsid w:val="00200053"/>
    <w:rsid w:val="00201842"/>
    <w:rsid w:val="0022424E"/>
    <w:rsid w:val="00227C03"/>
    <w:rsid w:val="00236962"/>
    <w:rsid w:val="002D55F7"/>
    <w:rsid w:val="002F0DA5"/>
    <w:rsid w:val="00302CA0"/>
    <w:rsid w:val="003702EB"/>
    <w:rsid w:val="0044384A"/>
    <w:rsid w:val="00453F65"/>
    <w:rsid w:val="00487519"/>
    <w:rsid w:val="00494518"/>
    <w:rsid w:val="004C03A4"/>
    <w:rsid w:val="004C35ED"/>
    <w:rsid w:val="005017CA"/>
    <w:rsid w:val="00517D5B"/>
    <w:rsid w:val="00536753"/>
    <w:rsid w:val="0055365C"/>
    <w:rsid w:val="00571BEF"/>
    <w:rsid w:val="005C41BB"/>
    <w:rsid w:val="005F144C"/>
    <w:rsid w:val="005F1DCD"/>
    <w:rsid w:val="006420E2"/>
    <w:rsid w:val="00665AA7"/>
    <w:rsid w:val="00683FCF"/>
    <w:rsid w:val="006B01B6"/>
    <w:rsid w:val="006B04DE"/>
    <w:rsid w:val="006B426B"/>
    <w:rsid w:val="00706BB5"/>
    <w:rsid w:val="007110AA"/>
    <w:rsid w:val="00727603"/>
    <w:rsid w:val="00746AE7"/>
    <w:rsid w:val="00767538"/>
    <w:rsid w:val="007912A2"/>
    <w:rsid w:val="007952FA"/>
    <w:rsid w:val="007B6861"/>
    <w:rsid w:val="007C136B"/>
    <w:rsid w:val="008030A8"/>
    <w:rsid w:val="00823417"/>
    <w:rsid w:val="00880415"/>
    <w:rsid w:val="00881D9F"/>
    <w:rsid w:val="0088777B"/>
    <w:rsid w:val="008A0F0D"/>
    <w:rsid w:val="008A1285"/>
    <w:rsid w:val="008A52C8"/>
    <w:rsid w:val="008B1A29"/>
    <w:rsid w:val="008C1F3E"/>
    <w:rsid w:val="008F5086"/>
    <w:rsid w:val="00922FC0"/>
    <w:rsid w:val="0093616E"/>
    <w:rsid w:val="009461D6"/>
    <w:rsid w:val="00951C92"/>
    <w:rsid w:val="00953F61"/>
    <w:rsid w:val="00967108"/>
    <w:rsid w:val="0099395A"/>
    <w:rsid w:val="009B3847"/>
    <w:rsid w:val="009C699D"/>
    <w:rsid w:val="009D36D2"/>
    <w:rsid w:val="009F7698"/>
    <w:rsid w:val="00A10249"/>
    <w:rsid w:val="00A16449"/>
    <w:rsid w:val="00A3031A"/>
    <w:rsid w:val="00A327DF"/>
    <w:rsid w:val="00A62E28"/>
    <w:rsid w:val="00A66ED6"/>
    <w:rsid w:val="00A825C7"/>
    <w:rsid w:val="00A84FD9"/>
    <w:rsid w:val="00A873D6"/>
    <w:rsid w:val="00AA5E93"/>
    <w:rsid w:val="00AC0CB0"/>
    <w:rsid w:val="00AC639D"/>
    <w:rsid w:val="00AC7F6D"/>
    <w:rsid w:val="00AD539A"/>
    <w:rsid w:val="00AE568C"/>
    <w:rsid w:val="00AF04B5"/>
    <w:rsid w:val="00AF6F16"/>
    <w:rsid w:val="00B03609"/>
    <w:rsid w:val="00B22E2E"/>
    <w:rsid w:val="00B55FD1"/>
    <w:rsid w:val="00B57E27"/>
    <w:rsid w:val="00B81DF7"/>
    <w:rsid w:val="00B95B3B"/>
    <w:rsid w:val="00BB65F2"/>
    <w:rsid w:val="00C059F9"/>
    <w:rsid w:val="00C319BD"/>
    <w:rsid w:val="00CB3D0A"/>
    <w:rsid w:val="00CC5CBA"/>
    <w:rsid w:val="00D2419F"/>
    <w:rsid w:val="00D26466"/>
    <w:rsid w:val="00D30A9F"/>
    <w:rsid w:val="00D54864"/>
    <w:rsid w:val="00D733D2"/>
    <w:rsid w:val="00DA33A3"/>
    <w:rsid w:val="00DB6D65"/>
    <w:rsid w:val="00DD7BB2"/>
    <w:rsid w:val="00DD7FB1"/>
    <w:rsid w:val="00E13C38"/>
    <w:rsid w:val="00E21717"/>
    <w:rsid w:val="00E242FD"/>
    <w:rsid w:val="00E314E8"/>
    <w:rsid w:val="00E51647"/>
    <w:rsid w:val="00E93A08"/>
    <w:rsid w:val="00F40253"/>
    <w:rsid w:val="00F72144"/>
    <w:rsid w:val="00F87318"/>
    <w:rsid w:val="00FB15B2"/>
    <w:rsid w:val="00FB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1DAC9"/>
  <w15:chartTrackingRefBased/>
  <w15:docId w15:val="{A050C162-349F-48DA-ACEE-C37F1BDB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53F61"/>
    <w:pPr>
      <w:shd w:val="clear" w:color="auto" w:fill="FFFFFF"/>
      <w:spacing w:before="240" w:after="240" w:line="360" w:lineRule="auto"/>
      <w:jc w:val="both"/>
    </w:pPr>
    <w:rPr>
      <w:rFonts w:ascii="Arial" w:eastAsia="Times New Roman" w:hAnsi="Arial" w:cs="Arial"/>
      <w:spacing w:val="9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C639D"/>
    <w:pPr>
      <w:spacing w:before="100" w:beforeAutospacing="1" w:after="100" w:afterAutospacing="1" w:line="240" w:lineRule="auto"/>
      <w:outlineLvl w:val="0"/>
    </w:pPr>
    <w:rPr>
      <w:b/>
      <w:bCs/>
      <w:kern w:val="36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53F6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953F6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953F61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639D"/>
    <w:rPr>
      <w:rFonts w:ascii="Arial" w:eastAsia="Times New Roman" w:hAnsi="Arial" w:cs="Arial"/>
      <w:b/>
      <w:bCs/>
      <w:spacing w:val="9"/>
      <w:kern w:val="36"/>
      <w:sz w:val="32"/>
      <w:szCs w:val="32"/>
      <w:shd w:val="clear" w:color="auto" w:fill="FFFFFF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53F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53F6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53F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53F61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953F6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53F6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3F61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953F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i/>
      <w:iCs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3F61"/>
    <w:rPr>
      <w:rFonts w:ascii="Arial" w:eastAsia="Times New Roman" w:hAnsi="Arial" w:cs="Arial"/>
      <w:b/>
      <w:i/>
      <w:iCs/>
      <w:color w:val="5B9BD5" w:themeColor="accent1"/>
      <w:spacing w:val="9"/>
      <w:sz w:val="28"/>
      <w:szCs w:val="28"/>
      <w:shd w:val="clear" w:color="auto" w:fill="FFFFFF"/>
      <w:lang w:eastAsia="cs-CZ"/>
    </w:rPr>
  </w:style>
  <w:style w:type="table" w:customStyle="1" w:styleId="Tabulkasmkou4zvraznn11">
    <w:name w:val="Tabulka s mřížkou 4 – zvýraznění 11"/>
    <w:basedOn w:val="Normlntabulka"/>
    <w:next w:val="Tabulkasmkou4zvraznn1"/>
    <w:uiPriority w:val="49"/>
    <w:rsid w:val="00AF04B5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ulkasmkou4zvraznn1">
    <w:name w:val="Grid Table 4 Accent 1"/>
    <w:basedOn w:val="Normlntabulka"/>
    <w:uiPriority w:val="49"/>
    <w:rsid w:val="00AF04B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420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0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20E2"/>
    <w:rPr>
      <w:rFonts w:ascii="Arial" w:eastAsia="Times New Roman" w:hAnsi="Arial" w:cs="Arial"/>
      <w:spacing w:val="9"/>
      <w:sz w:val="20"/>
      <w:szCs w:val="20"/>
      <w:shd w:val="clear" w:color="auto" w:fill="FFFFFF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0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20E2"/>
    <w:rPr>
      <w:rFonts w:ascii="Arial" w:eastAsia="Times New Roman" w:hAnsi="Arial" w:cs="Arial"/>
      <w:b/>
      <w:bCs/>
      <w:spacing w:val="9"/>
      <w:sz w:val="20"/>
      <w:szCs w:val="20"/>
      <w:shd w:val="clear" w:color="auto" w:fill="FFFF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0E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0E2"/>
    <w:rPr>
      <w:rFonts w:ascii="Segoe UI" w:eastAsia="Times New Roman" w:hAnsi="Segoe UI" w:cs="Segoe UI"/>
      <w:spacing w:val="9"/>
      <w:sz w:val="18"/>
      <w:szCs w:val="18"/>
      <w:shd w:val="clear" w:color="auto" w:fill="FFFFFF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144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144"/>
    <w:rPr>
      <w:rFonts w:ascii="Arial" w:eastAsia="Times New Roman" w:hAnsi="Arial" w:cs="Arial"/>
      <w:spacing w:val="9"/>
      <w:sz w:val="20"/>
      <w:szCs w:val="20"/>
      <w:shd w:val="clear" w:color="auto" w:fill="FFFFFF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7214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319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9BD"/>
    <w:rPr>
      <w:rFonts w:ascii="Arial" w:eastAsia="Times New Roman" w:hAnsi="Arial" w:cs="Arial"/>
      <w:spacing w:val="9"/>
      <w:sz w:val="24"/>
      <w:szCs w:val="24"/>
      <w:shd w:val="clear" w:color="auto" w:fill="FFFFFF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19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19BD"/>
    <w:rPr>
      <w:rFonts w:ascii="Arial" w:eastAsia="Times New Roman" w:hAnsi="Arial" w:cs="Arial"/>
      <w:spacing w:val="9"/>
      <w:sz w:val="24"/>
      <w:szCs w:val="24"/>
      <w:shd w:val="clear" w:color="auto" w:fill="FFFFFF"/>
      <w:lang w:eastAsia="cs-CZ"/>
    </w:rPr>
  </w:style>
  <w:style w:type="paragraph" w:styleId="Revize">
    <w:name w:val="Revision"/>
    <w:hidden/>
    <w:uiPriority w:val="99"/>
    <w:semiHidden/>
    <w:rsid w:val="00191287"/>
    <w:pPr>
      <w:spacing w:after="0" w:line="240" w:lineRule="auto"/>
    </w:pPr>
    <w:rPr>
      <w:rFonts w:ascii="Arial" w:eastAsia="Times New Roman" w:hAnsi="Arial" w:cs="Arial"/>
      <w:spacing w:val="9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26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holanova@mpsv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otline.oknouze@oksyste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ona.jakoubkova@mpsv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9D8F-D6F1-471C-8DFB-B79783C1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837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David Mgr. (MPSV)</dc:creator>
  <cp:keywords/>
  <dc:description/>
  <cp:lastModifiedBy>Holanová Klára Mgr. (MPSV)</cp:lastModifiedBy>
  <cp:revision>4</cp:revision>
  <cp:lastPrinted>2020-08-27T06:17:00Z</cp:lastPrinted>
  <dcterms:created xsi:type="dcterms:W3CDTF">2020-10-01T09:59:00Z</dcterms:created>
  <dcterms:modified xsi:type="dcterms:W3CDTF">2020-10-01T12:38:00Z</dcterms:modified>
</cp:coreProperties>
</file>