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76613" w14:textId="77777777" w:rsidR="004621C0" w:rsidRPr="00334B09" w:rsidRDefault="004621C0" w:rsidP="004621C0">
      <w:pPr>
        <w:jc w:val="center"/>
        <w:rPr>
          <w:rFonts w:asciiTheme="minorHAnsi" w:hAnsiTheme="minorHAnsi"/>
          <w:b/>
          <w:sz w:val="44"/>
          <w:szCs w:val="36"/>
        </w:rPr>
      </w:pPr>
    </w:p>
    <w:p w14:paraId="47E3D2B9" w14:textId="77777777" w:rsidR="002B57AB" w:rsidRPr="00334B09" w:rsidRDefault="002B57AB" w:rsidP="004621C0">
      <w:pPr>
        <w:jc w:val="center"/>
        <w:rPr>
          <w:rFonts w:asciiTheme="minorHAnsi" w:hAnsiTheme="minorHAnsi"/>
          <w:b/>
          <w:sz w:val="44"/>
          <w:szCs w:val="36"/>
        </w:rPr>
      </w:pPr>
    </w:p>
    <w:p w14:paraId="0A17EBA9" w14:textId="77777777" w:rsidR="002B57AB" w:rsidRPr="00334B09" w:rsidRDefault="002B57AB" w:rsidP="004621C0">
      <w:pPr>
        <w:jc w:val="center"/>
        <w:rPr>
          <w:rFonts w:asciiTheme="minorHAnsi" w:hAnsiTheme="minorHAnsi"/>
          <w:b/>
          <w:sz w:val="44"/>
          <w:szCs w:val="36"/>
        </w:rPr>
      </w:pPr>
    </w:p>
    <w:p w14:paraId="52B86DD0" w14:textId="77777777" w:rsidR="002B57AB" w:rsidRPr="00334B09" w:rsidRDefault="002B57AB" w:rsidP="004621C0">
      <w:pPr>
        <w:jc w:val="center"/>
        <w:rPr>
          <w:rFonts w:asciiTheme="minorHAnsi" w:hAnsiTheme="minorHAnsi"/>
          <w:b/>
          <w:sz w:val="44"/>
          <w:szCs w:val="36"/>
        </w:rPr>
      </w:pPr>
    </w:p>
    <w:p w14:paraId="08599FFB" w14:textId="77777777" w:rsidR="002B57AB" w:rsidRPr="00334B09" w:rsidRDefault="002B57AB" w:rsidP="004621C0">
      <w:pPr>
        <w:jc w:val="center"/>
        <w:rPr>
          <w:rFonts w:asciiTheme="minorHAnsi" w:hAnsiTheme="minorHAnsi"/>
          <w:b/>
          <w:sz w:val="44"/>
          <w:szCs w:val="36"/>
        </w:rPr>
      </w:pPr>
    </w:p>
    <w:p w14:paraId="715B045F" w14:textId="77777777" w:rsidR="002B57AB" w:rsidRPr="00334B09" w:rsidRDefault="002B57AB" w:rsidP="004621C0">
      <w:pPr>
        <w:jc w:val="center"/>
        <w:rPr>
          <w:rFonts w:asciiTheme="minorHAnsi" w:hAnsiTheme="minorHAnsi"/>
          <w:b/>
          <w:sz w:val="44"/>
          <w:szCs w:val="36"/>
        </w:rPr>
      </w:pPr>
    </w:p>
    <w:p w14:paraId="4BC3A673" w14:textId="77777777" w:rsidR="009447B4" w:rsidRPr="00334B09" w:rsidRDefault="009447B4" w:rsidP="004621C0">
      <w:pPr>
        <w:jc w:val="center"/>
        <w:rPr>
          <w:rFonts w:asciiTheme="minorHAnsi" w:hAnsiTheme="minorHAnsi"/>
          <w:b/>
          <w:sz w:val="44"/>
          <w:szCs w:val="36"/>
        </w:rPr>
      </w:pPr>
    </w:p>
    <w:p w14:paraId="2BD56005" w14:textId="77777777" w:rsidR="004621C0" w:rsidRPr="00334B09" w:rsidRDefault="004621C0" w:rsidP="004621C0">
      <w:pPr>
        <w:jc w:val="center"/>
        <w:rPr>
          <w:rFonts w:asciiTheme="minorHAnsi" w:hAnsiTheme="minorHAnsi"/>
          <w:b/>
          <w:sz w:val="44"/>
          <w:szCs w:val="36"/>
        </w:rPr>
      </w:pPr>
    </w:p>
    <w:p w14:paraId="33D17C47" w14:textId="77777777" w:rsidR="004621C0" w:rsidRPr="00710980" w:rsidRDefault="004621C0" w:rsidP="004621C0">
      <w:pPr>
        <w:jc w:val="center"/>
        <w:rPr>
          <w:rFonts w:asciiTheme="minorHAnsi" w:hAnsiTheme="minorHAnsi"/>
          <w:b/>
          <w:i/>
          <w:smallCaps/>
          <w:color w:val="1F497D"/>
          <w:sz w:val="44"/>
          <w:szCs w:val="36"/>
        </w:rPr>
      </w:pPr>
      <w:r w:rsidRPr="00710980">
        <w:rPr>
          <w:rFonts w:asciiTheme="minorHAnsi" w:hAnsiTheme="minorHAnsi"/>
          <w:b/>
          <w:i/>
          <w:smallCaps/>
          <w:color w:val="1F497D"/>
          <w:sz w:val="44"/>
          <w:szCs w:val="36"/>
        </w:rPr>
        <w:t>I.</w:t>
      </w:r>
    </w:p>
    <w:p w14:paraId="06998F2E" w14:textId="77777777" w:rsidR="004621C0" w:rsidRPr="00710980" w:rsidRDefault="004621C0" w:rsidP="004621C0">
      <w:pPr>
        <w:spacing w:line="360" w:lineRule="auto"/>
        <w:jc w:val="center"/>
        <w:rPr>
          <w:rFonts w:asciiTheme="minorHAnsi" w:hAnsiTheme="minorHAnsi"/>
          <w:b/>
          <w:smallCaps/>
          <w:color w:val="1F497D"/>
          <w:sz w:val="44"/>
          <w:szCs w:val="36"/>
        </w:rPr>
      </w:pPr>
    </w:p>
    <w:p w14:paraId="4C1693F4" w14:textId="77777777" w:rsidR="009447B4" w:rsidRPr="00710980" w:rsidRDefault="009447B4" w:rsidP="009447B4">
      <w:pPr>
        <w:spacing w:line="480" w:lineRule="auto"/>
        <w:jc w:val="center"/>
        <w:rPr>
          <w:rFonts w:asciiTheme="minorHAnsi" w:hAnsiTheme="minorHAnsi"/>
          <w:b/>
          <w:i/>
          <w:smallCaps/>
          <w:color w:val="1F497D"/>
          <w:sz w:val="44"/>
          <w:szCs w:val="36"/>
        </w:rPr>
      </w:pPr>
      <w:r w:rsidRPr="00710980">
        <w:rPr>
          <w:rFonts w:asciiTheme="minorHAnsi" w:hAnsiTheme="minorHAnsi"/>
          <w:b/>
          <w:i/>
          <w:smallCaps/>
          <w:color w:val="1F497D"/>
          <w:sz w:val="44"/>
          <w:szCs w:val="36"/>
        </w:rPr>
        <w:t>Analýza vývoje příjmů a výdajů domácností ČR</w:t>
      </w:r>
    </w:p>
    <w:p w14:paraId="1936D2FB" w14:textId="69C9010B" w:rsidR="004621C0" w:rsidRPr="00710980" w:rsidRDefault="004621C0" w:rsidP="009447B4">
      <w:pPr>
        <w:spacing w:line="480" w:lineRule="auto"/>
        <w:jc w:val="center"/>
        <w:rPr>
          <w:rFonts w:asciiTheme="minorHAnsi" w:hAnsiTheme="minorHAnsi"/>
          <w:b/>
          <w:i/>
          <w:smallCaps/>
          <w:color w:val="1F497D"/>
          <w:sz w:val="44"/>
          <w:szCs w:val="36"/>
        </w:rPr>
      </w:pPr>
      <w:r w:rsidRPr="00710980">
        <w:rPr>
          <w:rFonts w:asciiTheme="minorHAnsi" w:hAnsiTheme="minorHAnsi"/>
          <w:b/>
          <w:i/>
          <w:smallCaps/>
          <w:color w:val="1F497D"/>
          <w:sz w:val="44"/>
          <w:szCs w:val="36"/>
        </w:rPr>
        <w:t>v </w:t>
      </w:r>
      <w:r w:rsidR="004471FB" w:rsidRPr="00710980">
        <w:rPr>
          <w:rFonts w:asciiTheme="minorHAnsi" w:hAnsiTheme="minorHAnsi"/>
          <w:b/>
          <w:i/>
          <w:smallCaps/>
          <w:color w:val="1F497D"/>
          <w:sz w:val="44"/>
          <w:szCs w:val="36"/>
        </w:rPr>
        <w:t>roce</w:t>
      </w:r>
      <w:r w:rsidRPr="00710980">
        <w:rPr>
          <w:rFonts w:asciiTheme="minorHAnsi" w:hAnsiTheme="minorHAnsi"/>
          <w:b/>
          <w:i/>
          <w:smallCaps/>
          <w:color w:val="1F497D"/>
          <w:sz w:val="44"/>
          <w:szCs w:val="36"/>
        </w:rPr>
        <w:t xml:space="preserve"> 20</w:t>
      </w:r>
      <w:r w:rsidR="00710521" w:rsidRPr="00710980">
        <w:rPr>
          <w:rFonts w:asciiTheme="minorHAnsi" w:hAnsiTheme="minorHAnsi"/>
          <w:b/>
          <w:i/>
          <w:smallCaps/>
          <w:color w:val="1F497D"/>
          <w:sz w:val="44"/>
          <w:szCs w:val="36"/>
        </w:rPr>
        <w:t>20</w:t>
      </w:r>
      <w:r w:rsidR="009447B4" w:rsidRPr="00710980">
        <w:rPr>
          <w:rFonts w:asciiTheme="minorHAnsi" w:hAnsiTheme="minorHAnsi"/>
          <w:b/>
          <w:i/>
          <w:smallCaps/>
          <w:color w:val="1F497D"/>
          <w:sz w:val="44"/>
          <w:szCs w:val="36"/>
        </w:rPr>
        <w:t xml:space="preserve"> a predikce na další období</w:t>
      </w:r>
    </w:p>
    <w:p w14:paraId="6748AAC4" w14:textId="77777777" w:rsidR="004621C0" w:rsidRPr="00710980" w:rsidRDefault="004621C0" w:rsidP="004621C0">
      <w:pPr>
        <w:rPr>
          <w:rFonts w:asciiTheme="minorHAnsi" w:hAnsiTheme="minorHAnsi"/>
          <w:b/>
          <w:i/>
          <w:smallCaps/>
          <w:color w:val="1F497D"/>
          <w:sz w:val="44"/>
          <w:szCs w:val="36"/>
        </w:rPr>
      </w:pPr>
    </w:p>
    <w:p w14:paraId="69CC1B42" w14:textId="77777777" w:rsidR="004621C0" w:rsidRPr="00710980" w:rsidRDefault="004621C0" w:rsidP="004621C0">
      <w:pPr>
        <w:jc w:val="center"/>
        <w:rPr>
          <w:rFonts w:asciiTheme="minorHAnsi" w:hAnsiTheme="minorHAnsi"/>
          <w:i/>
          <w:iCs/>
          <w:smallCaps/>
          <w:color w:val="1F497D"/>
          <w:sz w:val="44"/>
          <w:szCs w:val="36"/>
        </w:rPr>
      </w:pPr>
      <w:r w:rsidRPr="00710980">
        <w:rPr>
          <w:rFonts w:asciiTheme="minorHAnsi" w:hAnsiTheme="minorHAnsi"/>
          <w:i/>
          <w:iCs/>
          <w:smallCaps/>
          <w:color w:val="1F497D"/>
          <w:sz w:val="44"/>
          <w:szCs w:val="36"/>
        </w:rPr>
        <w:t>(textová část)</w:t>
      </w:r>
    </w:p>
    <w:p w14:paraId="563EAF0F" w14:textId="77777777" w:rsidR="004268E2" w:rsidRPr="00735201" w:rsidRDefault="004268E2" w:rsidP="004268E2">
      <w:pPr>
        <w:rPr>
          <w:smallCaps/>
          <w:color w:val="365F91" w:themeColor="accent1" w:themeShade="BF"/>
          <w:sz w:val="28"/>
        </w:rPr>
      </w:pPr>
    </w:p>
    <w:p w14:paraId="3DCEA47F" w14:textId="77777777" w:rsidR="00586BE7" w:rsidRPr="005B0EE3" w:rsidRDefault="00586BE7">
      <w:r w:rsidRPr="005B0EE3">
        <w:br w:type="page"/>
      </w:r>
    </w:p>
    <w:p w14:paraId="3B897201" w14:textId="77777777" w:rsidR="00DF1CED" w:rsidRPr="00710980" w:rsidRDefault="00DF1CED" w:rsidP="00DF1CED">
      <w:pPr>
        <w:pStyle w:val="Nadpis1"/>
        <w:numPr>
          <w:ilvl w:val="0"/>
          <w:numId w:val="0"/>
        </w:numPr>
        <w:jc w:val="center"/>
        <w:rPr>
          <w:rFonts w:asciiTheme="minorHAnsi" w:hAnsiTheme="minorHAnsi"/>
          <w:smallCaps/>
          <w:color w:val="1F497D"/>
          <w:sz w:val="44"/>
        </w:rPr>
      </w:pPr>
      <w:r w:rsidRPr="00710980">
        <w:rPr>
          <w:rFonts w:asciiTheme="minorHAnsi" w:hAnsiTheme="minorHAnsi"/>
          <w:smallCaps/>
          <w:color w:val="1F497D"/>
          <w:sz w:val="44"/>
        </w:rPr>
        <w:lastRenderedPageBreak/>
        <w:t>Obsah</w:t>
      </w:r>
    </w:p>
    <w:p w14:paraId="22E77059" w14:textId="77777777" w:rsidR="00DF1CED" w:rsidRPr="005B0EE3" w:rsidRDefault="00DF1CED" w:rsidP="00DF1CED">
      <w:pPr>
        <w:tabs>
          <w:tab w:val="center" w:pos="8222"/>
        </w:tabs>
        <w:spacing w:line="360" w:lineRule="auto"/>
        <w:jc w:val="both"/>
        <w:rPr>
          <w:rFonts w:asciiTheme="minorHAnsi" w:hAnsiTheme="minorHAnsi"/>
          <w:sz w:val="26"/>
          <w:szCs w:val="26"/>
        </w:rPr>
      </w:pPr>
    </w:p>
    <w:p w14:paraId="23CDD3F6" w14:textId="77777777" w:rsidR="00DF1CED" w:rsidRPr="005B0EE3" w:rsidRDefault="00DF1CED" w:rsidP="00DF1CED">
      <w:pPr>
        <w:tabs>
          <w:tab w:val="center" w:pos="8222"/>
        </w:tabs>
        <w:spacing w:line="360" w:lineRule="auto"/>
        <w:jc w:val="both"/>
        <w:rPr>
          <w:rFonts w:asciiTheme="minorHAnsi" w:hAnsiTheme="minorHAnsi"/>
          <w:sz w:val="26"/>
          <w:szCs w:val="26"/>
        </w:rPr>
      </w:pPr>
    </w:p>
    <w:p w14:paraId="2A493EBD" w14:textId="77777777" w:rsidR="00DF1CED" w:rsidRPr="00105FEC" w:rsidRDefault="00DF1CED" w:rsidP="00DF1CED">
      <w:pPr>
        <w:tabs>
          <w:tab w:val="center" w:pos="8931"/>
        </w:tabs>
        <w:spacing w:line="360" w:lineRule="auto"/>
        <w:jc w:val="both"/>
        <w:rPr>
          <w:rFonts w:asciiTheme="minorHAnsi" w:hAnsiTheme="minorHAnsi"/>
          <w:sz w:val="26"/>
          <w:szCs w:val="26"/>
        </w:rPr>
      </w:pPr>
      <w:r w:rsidRPr="00105FEC">
        <w:rPr>
          <w:rFonts w:asciiTheme="minorHAnsi" w:hAnsiTheme="minorHAnsi"/>
          <w:sz w:val="26"/>
          <w:szCs w:val="26"/>
        </w:rPr>
        <w:tab/>
        <w:t>strana</w:t>
      </w:r>
    </w:p>
    <w:p w14:paraId="56F89F3E" w14:textId="77777777" w:rsidR="00DF1CED" w:rsidRPr="00105FEC" w:rsidRDefault="00DF1CED" w:rsidP="00DF1CED">
      <w:pPr>
        <w:tabs>
          <w:tab w:val="decimal" w:pos="8222"/>
        </w:tabs>
        <w:spacing w:line="360" w:lineRule="auto"/>
        <w:jc w:val="both"/>
        <w:rPr>
          <w:rFonts w:asciiTheme="minorHAnsi" w:hAnsiTheme="minorHAnsi"/>
          <w:sz w:val="26"/>
          <w:szCs w:val="26"/>
        </w:rPr>
      </w:pPr>
    </w:p>
    <w:p w14:paraId="1B01EB69" w14:textId="77777777" w:rsidR="00DF1CED" w:rsidRPr="00105FEC"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r w:rsidRPr="00105FEC">
        <w:rPr>
          <w:rFonts w:asciiTheme="minorHAnsi" w:hAnsiTheme="minorHAnsi"/>
          <w:b/>
          <w:bCs/>
          <w:sz w:val="26"/>
          <w:szCs w:val="26"/>
        </w:rPr>
        <w:t>Metodika a zdroje použitých dat</w:t>
      </w:r>
      <w:r w:rsidRPr="00105FEC">
        <w:rPr>
          <w:rFonts w:asciiTheme="minorHAnsi" w:hAnsiTheme="minorHAnsi"/>
          <w:sz w:val="26"/>
          <w:szCs w:val="26"/>
        </w:rPr>
        <w:tab/>
        <w:t>1</w:t>
      </w:r>
    </w:p>
    <w:p w14:paraId="33B0E579" w14:textId="77777777" w:rsidR="00DF1CED" w:rsidRPr="00105FEC" w:rsidRDefault="00DF1CED" w:rsidP="00DF1CED">
      <w:pPr>
        <w:tabs>
          <w:tab w:val="decimal" w:leader="dot" w:pos="8931"/>
        </w:tabs>
        <w:spacing w:line="360" w:lineRule="auto"/>
        <w:jc w:val="both"/>
        <w:rPr>
          <w:rFonts w:asciiTheme="minorHAnsi" w:hAnsiTheme="minorHAnsi"/>
          <w:sz w:val="26"/>
          <w:szCs w:val="26"/>
        </w:rPr>
      </w:pPr>
    </w:p>
    <w:p w14:paraId="246033FE" w14:textId="77777777" w:rsidR="00DF1CED" w:rsidRPr="00105FEC" w:rsidRDefault="00DF1CED" w:rsidP="00DF1CED">
      <w:pPr>
        <w:pStyle w:val="Odstavecseseznamem"/>
        <w:numPr>
          <w:ilvl w:val="0"/>
          <w:numId w:val="2"/>
        </w:numPr>
        <w:tabs>
          <w:tab w:val="left" w:pos="284"/>
          <w:tab w:val="left" w:pos="567"/>
          <w:tab w:val="left" w:pos="851"/>
          <w:tab w:val="decimal" w:leader="dot" w:pos="8931"/>
        </w:tabs>
        <w:spacing w:line="360" w:lineRule="auto"/>
        <w:jc w:val="both"/>
        <w:rPr>
          <w:rFonts w:asciiTheme="minorHAnsi" w:hAnsiTheme="minorHAnsi"/>
          <w:b/>
          <w:sz w:val="26"/>
          <w:szCs w:val="26"/>
        </w:rPr>
      </w:pPr>
      <w:r w:rsidRPr="00105FEC">
        <w:rPr>
          <w:rFonts w:asciiTheme="minorHAnsi" w:hAnsiTheme="minorHAnsi"/>
          <w:b/>
          <w:sz w:val="26"/>
          <w:szCs w:val="26"/>
        </w:rPr>
        <w:t xml:space="preserve">Základní charakteristika příjmové a výdajové situace domácností </w:t>
      </w:r>
    </w:p>
    <w:p w14:paraId="19B7535E" w14:textId="29B1D45A" w:rsidR="00DF1CED" w:rsidRPr="00105FEC"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r w:rsidRPr="00105FEC">
        <w:rPr>
          <w:rFonts w:asciiTheme="minorHAnsi" w:hAnsiTheme="minorHAnsi"/>
          <w:b/>
          <w:sz w:val="26"/>
          <w:szCs w:val="26"/>
        </w:rPr>
        <w:tab/>
        <w:t>v </w:t>
      </w:r>
      <w:r w:rsidR="004471FB" w:rsidRPr="00105FEC">
        <w:rPr>
          <w:rFonts w:asciiTheme="minorHAnsi" w:hAnsiTheme="minorHAnsi"/>
          <w:b/>
          <w:sz w:val="26"/>
          <w:szCs w:val="26"/>
        </w:rPr>
        <w:t>roce</w:t>
      </w:r>
      <w:r w:rsidRPr="00105FEC">
        <w:rPr>
          <w:rFonts w:asciiTheme="minorHAnsi" w:hAnsiTheme="minorHAnsi"/>
          <w:b/>
          <w:sz w:val="26"/>
          <w:szCs w:val="26"/>
        </w:rPr>
        <w:t xml:space="preserve"> 20</w:t>
      </w:r>
      <w:r w:rsidR="00970B2A">
        <w:rPr>
          <w:rFonts w:asciiTheme="minorHAnsi" w:hAnsiTheme="minorHAnsi"/>
          <w:b/>
          <w:sz w:val="26"/>
          <w:szCs w:val="26"/>
        </w:rPr>
        <w:t>20</w:t>
      </w:r>
      <w:r w:rsidRPr="00105FEC">
        <w:rPr>
          <w:rFonts w:asciiTheme="minorHAnsi" w:hAnsiTheme="minorHAnsi"/>
          <w:b/>
          <w:sz w:val="26"/>
          <w:szCs w:val="26"/>
        </w:rPr>
        <w:t xml:space="preserve"> </w:t>
      </w:r>
      <w:r w:rsidRPr="00105FEC">
        <w:rPr>
          <w:rFonts w:asciiTheme="minorHAnsi" w:hAnsiTheme="minorHAnsi"/>
          <w:sz w:val="26"/>
          <w:szCs w:val="26"/>
        </w:rPr>
        <w:tab/>
      </w:r>
      <w:r w:rsidR="00105FEC" w:rsidRPr="00105FEC">
        <w:rPr>
          <w:rFonts w:asciiTheme="minorHAnsi" w:hAnsiTheme="minorHAnsi"/>
          <w:sz w:val="26"/>
          <w:szCs w:val="26"/>
        </w:rPr>
        <w:t>2</w:t>
      </w:r>
    </w:p>
    <w:p w14:paraId="29060A8D" w14:textId="77777777" w:rsidR="00DF1CED" w:rsidRPr="00105FEC"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p>
    <w:p w14:paraId="67CF8F0C" w14:textId="77777777" w:rsidR="00DF1CED" w:rsidRPr="00105FEC" w:rsidRDefault="00DF1CED" w:rsidP="00DF1CED">
      <w:pPr>
        <w:pStyle w:val="Odstavecseseznamem"/>
        <w:numPr>
          <w:ilvl w:val="0"/>
          <w:numId w:val="2"/>
        </w:numPr>
        <w:tabs>
          <w:tab w:val="left" w:pos="284"/>
          <w:tab w:val="left" w:pos="567"/>
          <w:tab w:val="left" w:pos="851"/>
          <w:tab w:val="decimal" w:leader="dot" w:pos="8931"/>
        </w:tabs>
        <w:spacing w:line="360" w:lineRule="auto"/>
        <w:jc w:val="both"/>
        <w:rPr>
          <w:rFonts w:asciiTheme="minorHAnsi" w:hAnsiTheme="minorHAnsi"/>
          <w:b/>
          <w:sz w:val="26"/>
          <w:szCs w:val="26"/>
        </w:rPr>
      </w:pPr>
      <w:r w:rsidRPr="00105FEC">
        <w:rPr>
          <w:rFonts w:asciiTheme="minorHAnsi" w:hAnsiTheme="minorHAnsi"/>
          <w:b/>
          <w:sz w:val="26"/>
          <w:szCs w:val="26"/>
        </w:rPr>
        <w:t>Vývoj rozhodujících skupin příjmů, životních nákladů, výdajů,</w:t>
      </w:r>
    </w:p>
    <w:p w14:paraId="20AFB8AC" w14:textId="77777777" w:rsidR="00DF1CED" w:rsidRPr="00105FEC" w:rsidRDefault="00DF1CED" w:rsidP="00DF1CED">
      <w:pPr>
        <w:tabs>
          <w:tab w:val="left" w:pos="284"/>
          <w:tab w:val="left" w:pos="567"/>
          <w:tab w:val="left" w:pos="851"/>
          <w:tab w:val="decimal" w:leader="dot" w:pos="8931"/>
        </w:tabs>
        <w:spacing w:after="240" w:line="360" w:lineRule="auto"/>
        <w:jc w:val="both"/>
        <w:rPr>
          <w:rFonts w:asciiTheme="minorHAnsi" w:hAnsiTheme="minorHAnsi"/>
          <w:b/>
          <w:sz w:val="26"/>
          <w:szCs w:val="26"/>
        </w:rPr>
      </w:pPr>
      <w:r w:rsidRPr="00105FEC">
        <w:rPr>
          <w:rFonts w:asciiTheme="minorHAnsi" w:hAnsiTheme="minorHAnsi"/>
          <w:b/>
          <w:sz w:val="26"/>
          <w:szCs w:val="26"/>
        </w:rPr>
        <w:tab/>
        <w:t xml:space="preserve">úvěrů a úspor domácností </w:t>
      </w:r>
      <w:r w:rsidRPr="00105FEC">
        <w:rPr>
          <w:rFonts w:asciiTheme="minorHAnsi" w:hAnsiTheme="minorHAnsi"/>
          <w:sz w:val="26"/>
          <w:szCs w:val="26"/>
        </w:rPr>
        <w:t>(podrobnější zhodnocení)</w:t>
      </w:r>
      <w:r w:rsidRPr="00105FEC">
        <w:rPr>
          <w:rFonts w:asciiTheme="minorHAnsi" w:hAnsiTheme="minorHAnsi"/>
          <w:sz w:val="26"/>
          <w:szCs w:val="26"/>
        </w:rPr>
        <w:tab/>
        <w:t>6</w:t>
      </w:r>
    </w:p>
    <w:p w14:paraId="104C54E3" w14:textId="77777777" w:rsidR="00DF1CED" w:rsidRPr="00105FEC" w:rsidRDefault="00DF1CED" w:rsidP="00DF1CED">
      <w:pPr>
        <w:tabs>
          <w:tab w:val="left" w:pos="284"/>
          <w:tab w:val="left" w:pos="567"/>
          <w:tab w:val="left" w:pos="851"/>
          <w:tab w:val="decimal" w:leader="dot" w:pos="8931"/>
        </w:tabs>
        <w:spacing w:line="360" w:lineRule="auto"/>
        <w:jc w:val="both"/>
        <w:rPr>
          <w:rFonts w:asciiTheme="minorHAnsi" w:hAnsiTheme="minorHAnsi"/>
          <w:b/>
          <w:sz w:val="26"/>
          <w:szCs w:val="26"/>
        </w:rPr>
      </w:pPr>
      <w:r w:rsidRPr="00105FEC">
        <w:rPr>
          <w:rFonts w:asciiTheme="minorHAnsi" w:hAnsiTheme="minorHAnsi"/>
          <w:b/>
          <w:sz w:val="26"/>
          <w:szCs w:val="26"/>
        </w:rPr>
        <w:tab/>
        <w:t xml:space="preserve">1. Příjmy domácností </w:t>
      </w:r>
      <w:r w:rsidRPr="00105FEC">
        <w:rPr>
          <w:rFonts w:asciiTheme="minorHAnsi" w:hAnsiTheme="minorHAnsi"/>
          <w:sz w:val="26"/>
          <w:szCs w:val="26"/>
        </w:rPr>
        <w:tab/>
        <w:t>6</w:t>
      </w:r>
    </w:p>
    <w:p w14:paraId="5B6136FE" w14:textId="77777777" w:rsidR="00DF1CED" w:rsidRPr="00105FEC"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r w:rsidRPr="00105FEC">
        <w:rPr>
          <w:rFonts w:asciiTheme="minorHAnsi" w:hAnsiTheme="minorHAnsi"/>
          <w:i/>
          <w:sz w:val="26"/>
          <w:szCs w:val="26"/>
        </w:rPr>
        <w:tab/>
        <w:t>1. 1   Základní charakteristika</w:t>
      </w:r>
      <w:r w:rsidRPr="00105FEC">
        <w:rPr>
          <w:rFonts w:asciiTheme="minorHAnsi" w:hAnsiTheme="minorHAnsi"/>
          <w:sz w:val="26"/>
          <w:szCs w:val="26"/>
        </w:rPr>
        <w:tab/>
        <w:t>6</w:t>
      </w:r>
    </w:p>
    <w:p w14:paraId="3B87A6C2" w14:textId="77777777" w:rsidR="00DF1CED" w:rsidRPr="00105FEC"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r w:rsidRPr="00105FEC">
        <w:rPr>
          <w:rFonts w:asciiTheme="minorHAnsi" w:hAnsiTheme="minorHAnsi"/>
          <w:i/>
          <w:sz w:val="26"/>
          <w:szCs w:val="26"/>
        </w:rPr>
        <w:tab/>
        <w:t>1. 2   Mzdy</w:t>
      </w:r>
      <w:r w:rsidRPr="00105FEC">
        <w:rPr>
          <w:rFonts w:asciiTheme="minorHAnsi" w:hAnsiTheme="minorHAnsi"/>
          <w:sz w:val="26"/>
          <w:szCs w:val="26"/>
        </w:rPr>
        <w:t xml:space="preserve"> </w:t>
      </w:r>
      <w:r w:rsidRPr="00105FEC">
        <w:rPr>
          <w:rFonts w:asciiTheme="minorHAnsi" w:hAnsiTheme="minorHAnsi"/>
          <w:sz w:val="26"/>
          <w:szCs w:val="26"/>
        </w:rPr>
        <w:tab/>
      </w:r>
      <w:r w:rsidR="00105FEC" w:rsidRPr="00105FEC">
        <w:rPr>
          <w:rFonts w:asciiTheme="minorHAnsi" w:hAnsiTheme="minorHAnsi"/>
          <w:sz w:val="26"/>
          <w:szCs w:val="26"/>
        </w:rPr>
        <w:t>9</w:t>
      </w:r>
    </w:p>
    <w:p w14:paraId="5E153D50" w14:textId="77777777" w:rsidR="00DF1CED" w:rsidRPr="00105FEC"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r w:rsidRPr="00105FEC">
        <w:rPr>
          <w:rFonts w:asciiTheme="minorHAnsi" w:hAnsiTheme="minorHAnsi"/>
          <w:i/>
          <w:sz w:val="26"/>
          <w:szCs w:val="26"/>
        </w:rPr>
        <w:tab/>
      </w:r>
      <w:r w:rsidRPr="00105FEC">
        <w:rPr>
          <w:rFonts w:asciiTheme="minorHAnsi" w:hAnsiTheme="minorHAnsi"/>
          <w:i/>
          <w:sz w:val="26"/>
          <w:szCs w:val="26"/>
        </w:rPr>
        <w:tab/>
        <w:t>1. 2. 1 Poznatky ze šetření Informačního systému o průměrném výdělku</w:t>
      </w:r>
      <w:r w:rsidRPr="00105FEC">
        <w:rPr>
          <w:rFonts w:asciiTheme="minorHAnsi" w:hAnsiTheme="minorHAnsi"/>
          <w:sz w:val="26"/>
          <w:szCs w:val="26"/>
        </w:rPr>
        <w:t xml:space="preserve"> </w:t>
      </w:r>
      <w:r w:rsidRPr="00105FEC">
        <w:rPr>
          <w:rFonts w:asciiTheme="minorHAnsi" w:hAnsiTheme="minorHAnsi"/>
          <w:sz w:val="26"/>
          <w:szCs w:val="26"/>
        </w:rPr>
        <w:tab/>
        <w:t>1</w:t>
      </w:r>
      <w:r w:rsidR="00105FEC" w:rsidRPr="00105FEC">
        <w:rPr>
          <w:rFonts w:asciiTheme="minorHAnsi" w:hAnsiTheme="minorHAnsi"/>
          <w:sz w:val="26"/>
          <w:szCs w:val="26"/>
        </w:rPr>
        <w:t>8</w:t>
      </w:r>
    </w:p>
    <w:p w14:paraId="6FDE01EC" w14:textId="77777777" w:rsidR="00DF1CED" w:rsidRDefault="00DF1CED" w:rsidP="00B56895">
      <w:pPr>
        <w:tabs>
          <w:tab w:val="left" w:pos="284"/>
          <w:tab w:val="left" w:pos="567"/>
          <w:tab w:val="left" w:pos="851"/>
          <w:tab w:val="decimal" w:leader="dot" w:pos="8931"/>
        </w:tabs>
        <w:spacing w:line="360" w:lineRule="auto"/>
        <w:jc w:val="both"/>
        <w:rPr>
          <w:rFonts w:asciiTheme="minorHAnsi" w:hAnsiTheme="minorHAnsi"/>
          <w:sz w:val="26"/>
          <w:szCs w:val="26"/>
        </w:rPr>
      </w:pPr>
      <w:r w:rsidRPr="00105FEC">
        <w:rPr>
          <w:rFonts w:asciiTheme="minorHAnsi" w:hAnsiTheme="minorHAnsi"/>
          <w:sz w:val="26"/>
          <w:szCs w:val="26"/>
        </w:rPr>
        <w:tab/>
      </w:r>
      <w:r w:rsidRPr="00105FEC">
        <w:rPr>
          <w:rFonts w:asciiTheme="minorHAnsi" w:hAnsiTheme="minorHAnsi"/>
          <w:i/>
          <w:sz w:val="26"/>
          <w:szCs w:val="26"/>
        </w:rPr>
        <w:t>1. 3   Sociální příjmy</w:t>
      </w:r>
      <w:r w:rsidRPr="00105FEC">
        <w:rPr>
          <w:rFonts w:asciiTheme="minorHAnsi" w:hAnsiTheme="minorHAnsi"/>
          <w:sz w:val="26"/>
          <w:szCs w:val="26"/>
        </w:rPr>
        <w:tab/>
        <w:t>2</w:t>
      </w:r>
      <w:r w:rsidR="00105FEC" w:rsidRPr="00105FEC">
        <w:rPr>
          <w:rFonts w:asciiTheme="minorHAnsi" w:hAnsiTheme="minorHAnsi"/>
          <w:sz w:val="26"/>
          <w:szCs w:val="26"/>
        </w:rPr>
        <w:t>2</w:t>
      </w:r>
    </w:p>
    <w:p w14:paraId="32FCAF19" w14:textId="77777777" w:rsidR="00B56895" w:rsidRDefault="00B56895" w:rsidP="00B56895">
      <w:pPr>
        <w:tabs>
          <w:tab w:val="left" w:pos="284"/>
          <w:tab w:val="left" w:pos="567"/>
          <w:tab w:val="left" w:pos="851"/>
          <w:tab w:val="decimal" w:leader="dot" w:pos="8931"/>
        </w:tabs>
        <w:spacing w:after="240" w:line="360" w:lineRule="auto"/>
        <w:jc w:val="both"/>
        <w:rPr>
          <w:rFonts w:asciiTheme="minorHAnsi" w:hAnsiTheme="minorHAnsi"/>
          <w:sz w:val="26"/>
          <w:szCs w:val="26"/>
        </w:rPr>
      </w:pPr>
      <w:r w:rsidRPr="00105FEC">
        <w:rPr>
          <w:rFonts w:asciiTheme="minorHAnsi" w:hAnsiTheme="minorHAnsi"/>
          <w:sz w:val="26"/>
          <w:szCs w:val="26"/>
        </w:rPr>
        <w:tab/>
      </w:r>
      <w:r w:rsidRPr="00105FEC">
        <w:rPr>
          <w:rFonts w:asciiTheme="minorHAnsi" w:hAnsiTheme="minorHAnsi"/>
          <w:i/>
          <w:sz w:val="26"/>
          <w:szCs w:val="26"/>
        </w:rPr>
        <w:t xml:space="preserve">1. </w:t>
      </w:r>
      <w:r>
        <w:rPr>
          <w:rFonts w:asciiTheme="minorHAnsi" w:hAnsiTheme="minorHAnsi"/>
          <w:i/>
          <w:sz w:val="26"/>
          <w:szCs w:val="26"/>
        </w:rPr>
        <w:t>4</w:t>
      </w:r>
      <w:r w:rsidRPr="00105FEC">
        <w:rPr>
          <w:rFonts w:asciiTheme="minorHAnsi" w:hAnsiTheme="minorHAnsi"/>
          <w:i/>
          <w:sz w:val="26"/>
          <w:szCs w:val="26"/>
        </w:rPr>
        <w:t xml:space="preserve">   </w:t>
      </w:r>
      <w:r>
        <w:rPr>
          <w:rFonts w:asciiTheme="minorHAnsi" w:hAnsiTheme="minorHAnsi"/>
          <w:i/>
          <w:sz w:val="26"/>
          <w:szCs w:val="26"/>
        </w:rPr>
        <w:t>Ostatní příjmy</w:t>
      </w:r>
      <w:r w:rsidRPr="00105FEC">
        <w:rPr>
          <w:rFonts w:asciiTheme="minorHAnsi" w:hAnsiTheme="minorHAnsi"/>
          <w:sz w:val="26"/>
          <w:szCs w:val="26"/>
        </w:rPr>
        <w:tab/>
      </w:r>
      <w:r>
        <w:rPr>
          <w:rFonts w:asciiTheme="minorHAnsi" w:hAnsiTheme="minorHAnsi"/>
          <w:sz w:val="26"/>
          <w:szCs w:val="26"/>
        </w:rPr>
        <w:t>3</w:t>
      </w:r>
      <w:r w:rsidRPr="00105FEC">
        <w:rPr>
          <w:rFonts w:asciiTheme="minorHAnsi" w:hAnsiTheme="minorHAnsi"/>
          <w:sz w:val="26"/>
          <w:szCs w:val="26"/>
        </w:rPr>
        <w:t>2</w:t>
      </w:r>
    </w:p>
    <w:p w14:paraId="22D62F5F" w14:textId="77777777" w:rsidR="00DF1CED" w:rsidRPr="00105FEC" w:rsidRDefault="00DF1CED" w:rsidP="00DF1CED">
      <w:pPr>
        <w:tabs>
          <w:tab w:val="left" w:pos="284"/>
          <w:tab w:val="left" w:pos="567"/>
          <w:tab w:val="left" w:pos="851"/>
          <w:tab w:val="decimal" w:leader="dot" w:pos="8931"/>
        </w:tabs>
        <w:spacing w:after="240" w:line="360" w:lineRule="auto"/>
        <w:jc w:val="both"/>
        <w:rPr>
          <w:rFonts w:asciiTheme="minorHAnsi" w:hAnsiTheme="minorHAnsi"/>
          <w:sz w:val="26"/>
          <w:szCs w:val="26"/>
        </w:rPr>
      </w:pPr>
      <w:r w:rsidRPr="00105FEC">
        <w:rPr>
          <w:rFonts w:asciiTheme="minorHAnsi" w:hAnsiTheme="minorHAnsi"/>
          <w:b/>
          <w:sz w:val="26"/>
          <w:szCs w:val="26"/>
        </w:rPr>
        <w:tab/>
        <w:t>2. Spotřebitelské ceny a životní náklady</w:t>
      </w:r>
      <w:r w:rsidRPr="00105FEC">
        <w:rPr>
          <w:rFonts w:asciiTheme="minorHAnsi" w:hAnsiTheme="minorHAnsi"/>
          <w:sz w:val="26"/>
          <w:szCs w:val="26"/>
        </w:rPr>
        <w:tab/>
      </w:r>
      <w:r w:rsidR="00105FEC" w:rsidRPr="00105FEC">
        <w:rPr>
          <w:rFonts w:asciiTheme="minorHAnsi" w:hAnsiTheme="minorHAnsi"/>
          <w:sz w:val="26"/>
          <w:szCs w:val="26"/>
        </w:rPr>
        <w:t>34</w:t>
      </w:r>
    </w:p>
    <w:p w14:paraId="0DE40876" w14:textId="77777777" w:rsidR="00DF1CED" w:rsidRPr="00105FEC"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r w:rsidRPr="00105FEC">
        <w:rPr>
          <w:rFonts w:asciiTheme="minorHAnsi" w:hAnsiTheme="minorHAnsi"/>
          <w:b/>
          <w:sz w:val="26"/>
          <w:szCs w:val="26"/>
        </w:rPr>
        <w:tab/>
        <w:t>3. Peněžní výdaje, úvěry a úspory domácností</w:t>
      </w:r>
      <w:r w:rsidRPr="00105FEC">
        <w:rPr>
          <w:rFonts w:asciiTheme="minorHAnsi" w:hAnsiTheme="minorHAnsi"/>
          <w:sz w:val="26"/>
          <w:szCs w:val="26"/>
        </w:rPr>
        <w:tab/>
        <w:t>3</w:t>
      </w:r>
      <w:r w:rsidR="00105FEC" w:rsidRPr="00105FEC">
        <w:rPr>
          <w:rFonts w:asciiTheme="minorHAnsi" w:hAnsiTheme="minorHAnsi"/>
          <w:sz w:val="26"/>
          <w:szCs w:val="26"/>
        </w:rPr>
        <w:t>7</w:t>
      </w:r>
    </w:p>
    <w:p w14:paraId="00254C25" w14:textId="77777777" w:rsidR="00DF1CED" w:rsidRPr="00105FEC"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r w:rsidRPr="00105FEC">
        <w:rPr>
          <w:rFonts w:asciiTheme="minorHAnsi" w:hAnsiTheme="minorHAnsi"/>
          <w:i/>
          <w:sz w:val="26"/>
          <w:szCs w:val="26"/>
        </w:rPr>
        <w:tab/>
        <w:t>3. 1   Peněžní výdaje</w:t>
      </w:r>
      <w:r w:rsidRPr="00105FEC">
        <w:rPr>
          <w:rFonts w:asciiTheme="minorHAnsi" w:hAnsiTheme="minorHAnsi"/>
          <w:sz w:val="26"/>
          <w:szCs w:val="26"/>
        </w:rPr>
        <w:tab/>
        <w:t>3</w:t>
      </w:r>
      <w:r w:rsidR="00105FEC" w:rsidRPr="00105FEC">
        <w:rPr>
          <w:rFonts w:asciiTheme="minorHAnsi" w:hAnsiTheme="minorHAnsi"/>
          <w:sz w:val="26"/>
          <w:szCs w:val="26"/>
        </w:rPr>
        <w:t>7</w:t>
      </w:r>
    </w:p>
    <w:p w14:paraId="31E6E08A" w14:textId="77777777" w:rsidR="00DF1CED" w:rsidRPr="00105FEC"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r w:rsidRPr="00105FEC">
        <w:rPr>
          <w:rFonts w:asciiTheme="minorHAnsi" w:hAnsiTheme="minorHAnsi"/>
          <w:i/>
          <w:sz w:val="26"/>
          <w:szCs w:val="26"/>
        </w:rPr>
        <w:tab/>
        <w:t>3. 2   Peněžní úvěry, půjčky</w:t>
      </w:r>
      <w:r w:rsidRPr="00105FEC">
        <w:rPr>
          <w:rFonts w:asciiTheme="minorHAnsi" w:hAnsiTheme="minorHAnsi"/>
          <w:sz w:val="26"/>
          <w:szCs w:val="26"/>
        </w:rPr>
        <w:t xml:space="preserve"> </w:t>
      </w:r>
      <w:r w:rsidRPr="00105FEC">
        <w:rPr>
          <w:rFonts w:asciiTheme="minorHAnsi" w:hAnsiTheme="minorHAnsi"/>
          <w:sz w:val="26"/>
          <w:szCs w:val="26"/>
        </w:rPr>
        <w:tab/>
        <w:t>3</w:t>
      </w:r>
      <w:r w:rsidR="00105FEC" w:rsidRPr="00105FEC">
        <w:rPr>
          <w:rFonts w:asciiTheme="minorHAnsi" w:hAnsiTheme="minorHAnsi"/>
          <w:sz w:val="26"/>
          <w:szCs w:val="26"/>
        </w:rPr>
        <w:t>8</w:t>
      </w:r>
    </w:p>
    <w:p w14:paraId="0140D159" w14:textId="77777777" w:rsidR="00DF1CED" w:rsidRPr="00105FEC"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r w:rsidRPr="00105FEC">
        <w:rPr>
          <w:rFonts w:asciiTheme="minorHAnsi" w:hAnsiTheme="minorHAnsi"/>
          <w:sz w:val="26"/>
          <w:szCs w:val="26"/>
        </w:rPr>
        <w:tab/>
      </w:r>
      <w:r w:rsidRPr="00105FEC">
        <w:rPr>
          <w:rFonts w:asciiTheme="minorHAnsi" w:hAnsiTheme="minorHAnsi"/>
          <w:i/>
          <w:sz w:val="26"/>
          <w:szCs w:val="26"/>
        </w:rPr>
        <w:t>3. 3   Úspory</w:t>
      </w:r>
      <w:r w:rsidRPr="00105FEC">
        <w:rPr>
          <w:rFonts w:asciiTheme="minorHAnsi" w:hAnsiTheme="minorHAnsi"/>
          <w:sz w:val="26"/>
          <w:szCs w:val="26"/>
        </w:rPr>
        <w:tab/>
      </w:r>
      <w:r w:rsidR="00105FEC" w:rsidRPr="00105FEC">
        <w:rPr>
          <w:rFonts w:asciiTheme="minorHAnsi" w:hAnsiTheme="minorHAnsi"/>
          <w:sz w:val="26"/>
          <w:szCs w:val="26"/>
        </w:rPr>
        <w:t>40</w:t>
      </w:r>
    </w:p>
    <w:p w14:paraId="2EAC0293" w14:textId="77777777" w:rsidR="00DF1CED" w:rsidRPr="00105FEC"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p>
    <w:p w14:paraId="17EB8092" w14:textId="4BFBF6D7" w:rsidR="00DF1CED" w:rsidRPr="00105FEC" w:rsidRDefault="00DF1CED" w:rsidP="00DF1CED">
      <w:pPr>
        <w:pStyle w:val="Odstavecseseznamem"/>
        <w:numPr>
          <w:ilvl w:val="0"/>
          <w:numId w:val="2"/>
        </w:numPr>
        <w:tabs>
          <w:tab w:val="left" w:pos="284"/>
          <w:tab w:val="left" w:pos="567"/>
          <w:tab w:val="left" w:pos="851"/>
          <w:tab w:val="decimal" w:leader="dot" w:pos="8931"/>
        </w:tabs>
        <w:spacing w:line="360" w:lineRule="auto"/>
        <w:jc w:val="both"/>
        <w:rPr>
          <w:rFonts w:asciiTheme="minorHAnsi" w:hAnsiTheme="minorHAnsi"/>
          <w:b/>
          <w:sz w:val="26"/>
          <w:szCs w:val="26"/>
        </w:rPr>
      </w:pPr>
      <w:r w:rsidRPr="00105FEC">
        <w:rPr>
          <w:rFonts w:asciiTheme="minorHAnsi" w:hAnsiTheme="minorHAnsi"/>
          <w:b/>
          <w:sz w:val="26"/>
          <w:szCs w:val="26"/>
        </w:rPr>
        <w:t xml:space="preserve">Vývoj </w:t>
      </w:r>
      <w:r w:rsidR="004471FB" w:rsidRPr="00105FEC">
        <w:rPr>
          <w:rFonts w:asciiTheme="minorHAnsi" w:hAnsiTheme="minorHAnsi"/>
          <w:b/>
          <w:sz w:val="26"/>
          <w:szCs w:val="26"/>
        </w:rPr>
        <w:t>na počátku roku 202</w:t>
      </w:r>
      <w:r w:rsidR="00710521">
        <w:rPr>
          <w:rFonts w:asciiTheme="minorHAnsi" w:hAnsiTheme="minorHAnsi"/>
          <w:b/>
          <w:sz w:val="26"/>
          <w:szCs w:val="26"/>
        </w:rPr>
        <w:t>1</w:t>
      </w:r>
      <w:r w:rsidRPr="00105FEC">
        <w:rPr>
          <w:rFonts w:asciiTheme="minorHAnsi" w:hAnsiTheme="minorHAnsi"/>
          <w:b/>
          <w:sz w:val="26"/>
          <w:szCs w:val="26"/>
        </w:rPr>
        <w:t xml:space="preserve"> a predikce na další období</w:t>
      </w:r>
      <w:r w:rsidRPr="00105FEC">
        <w:rPr>
          <w:rFonts w:asciiTheme="minorHAnsi" w:hAnsiTheme="minorHAnsi"/>
          <w:sz w:val="26"/>
          <w:szCs w:val="26"/>
        </w:rPr>
        <w:tab/>
      </w:r>
      <w:r w:rsidR="00105FEC" w:rsidRPr="00105FEC">
        <w:rPr>
          <w:rFonts w:asciiTheme="minorHAnsi" w:hAnsiTheme="minorHAnsi"/>
          <w:sz w:val="26"/>
          <w:szCs w:val="26"/>
        </w:rPr>
        <w:t>42</w:t>
      </w:r>
    </w:p>
    <w:p w14:paraId="40B024BD" w14:textId="77777777" w:rsidR="00DF1CED" w:rsidRPr="005B0EE3" w:rsidRDefault="00DF1CED" w:rsidP="00DF1CED">
      <w:pPr>
        <w:tabs>
          <w:tab w:val="left" w:pos="284"/>
          <w:tab w:val="left" w:pos="567"/>
          <w:tab w:val="left" w:pos="851"/>
          <w:tab w:val="decimal" w:leader="dot" w:pos="8222"/>
        </w:tabs>
        <w:spacing w:line="360" w:lineRule="auto"/>
        <w:jc w:val="both"/>
        <w:rPr>
          <w:rFonts w:asciiTheme="minorHAnsi" w:hAnsiTheme="minorHAnsi"/>
          <w:sz w:val="26"/>
          <w:szCs w:val="26"/>
        </w:rPr>
      </w:pPr>
    </w:p>
    <w:p w14:paraId="407E31A0" w14:textId="77777777" w:rsidR="004268E2" w:rsidRPr="005B0EE3" w:rsidRDefault="004268E2" w:rsidP="004268E2">
      <w:pPr>
        <w:tabs>
          <w:tab w:val="left" w:pos="284"/>
          <w:tab w:val="left" w:pos="567"/>
          <w:tab w:val="left" w:pos="851"/>
          <w:tab w:val="decimal" w:leader="dot" w:pos="8222"/>
        </w:tabs>
        <w:spacing w:line="360" w:lineRule="auto"/>
        <w:jc w:val="both"/>
      </w:pPr>
    </w:p>
    <w:p w14:paraId="4442A9E1" w14:textId="77777777" w:rsidR="004268E2" w:rsidRPr="005B0EE3" w:rsidRDefault="004268E2" w:rsidP="004268E2">
      <w:pPr>
        <w:tabs>
          <w:tab w:val="left" w:pos="284"/>
          <w:tab w:val="left" w:pos="567"/>
          <w:tab w:val="left" w:pos="851"/>
          <w:tab w:val="decimal" w:leader="dot" w:pos="8222"/>
        </w:tabs>
        <w:spacing w:line="360" w:lineRule="auto"/>
        <w:jc w:val="both"/>
        <w:sectPr w:rsidR="004268E2" w:rsidRPr="005B0EE3" w:rsidSect="00A11CA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2"/>
          <w:cols w:space="708"/>
          <w:titlePg/>
        </w:sectPr>
      </w:pPr>
    </w:p>
    <w:p w14:paraId="3FF6B5B0" w14:textId="77777777" w:rsidR="00100DA4" w:rsidRPr="00935486" w:rsidRDefault="00100DA4" w:rsidP="00100DA4">
      <w:pPr>
        <w:spacing w:after="240"/>
        <w:jc w:val="both"/>
        <w:rPr>
          <w:rFonts w:asciiTheme="minorHAnsi" w:hAnsiTheme="minorHAnsi"/>
          <w:b/>
          <w:smallCaps/>
          <w:color w:val="1F497D"/>
          <w:sz w:val="44"/>
          <w:szCs w:val="44"/>
        </w:rPr>
      </w:pPr>
      <w:r w:rsidRPr="00935486">
        <w:rPr>
          <w:rFonts w:asciiTheme="minorHAnsi" w:hAnsiTheme="minorHAnsi"/>
          <w:b/>
          <w:smallCaps/>
          <w:color w:val="1F497D"/>
          <w:sz w:val="44"/>
          <w:szCs w:val="44"/>
        </w:rPr>
        <w:lastRenderedPageBreak/>
        <w:t>Metodika a zdroje použitých dat</w:t>
      </w:r>
    </w:p>
    <w:p w14:paraId="76A4EFAF" w14:textId="77777777" w:rsidR="00100DA4" w:rsidRPr="00DE6BBE" w:rsidRDefault="00100DA4" w:rsidP="00100DA4">
      <w:pPr>
        <w:pStyle w:val="Zkladntextodsazen"/>
        <w:spacing w:after="240" w:line="240" w:lineRule="auto"/>
        <w:ind w:firstLine="0"/>
        <w:rPr>
          <w:rFonts w:asciiTheme="minorHAnsi" w:hAnsiTheme="minorHAnsi" w:cs="Arial"/>
          <w:bCs/>
          <w:i/>
          <w:sz w:val="25"/>
          <w:szCs w:val="25"/>
        </w:rPr>
      </w:pPr>
      <w:r w:rsidRPr="00DE6BBE">
        <w:rPr>
          <w:rFonts w:asciiTheme="minorHAnsi" w:hAnsiTheme="minorHAnsi" w:cs="Arial"/>
          <w:i/>
          <w:sz w:val="25"/>
          <w:szCs w:val="25"/>
        </w:rPr>
        <w:tab/>
      </w:r>
      <w:r w:rsidRPr="00DE6BBE">
        <w:rPr>
          <w:rFonts w:asciiTheme="minorHAnsi" w:hAnsiTheme="minorHAnsi" w:cs="Arial"/>
          <w:b/>
          <w:bCs/>
          <w:i/>
          <w:sz w:val="25"/>
          <w:szCs w:val="25"/>
        </w:rPr>
        <w:t>Makroekonomické zhodnocení</w:t>
      </w:r>
      <w:r w:rsidRPr="00DE6BBE">
        <w:rPr>
          <w:rFonts w:asciiTheme="minorHAnsi" w:hAnsiTheme="minorHAnsi" w:cs="Arial"/>
          <w:i/>
          <w:sz w:val="25"/>
          <w:szCs w:val="25"/>
        </w:rPr>
        <w:t xml:space="preserve"> vývoje spotřebitelských cen, peněžních příjmů, výdajů, bankovních vkladů a úspor (sektoru) domácností </w:t>
      </w:r>
      <w:r w:rsidRPr="00DE6BBE">
        <w:rPr>
          <w:rFonts w:asciiTheme="minorHAnsi" w:hAnsiTheme="minorHAnsi" w:cs="Arial"/>
          <w:b/>
          <w:bCs/>
          <w:i/>
          <w:sz w:val="25"/>
          <w:szCs w:val="25"/>
        </w:rPr>
        <w:t>vychází z dat</w:t>
      </w:r>
      <w:r w:rsidRPr="00DE6BBE">
        <w:rPr>
          <w:rFonts w:asciiTheme="minorHAnsi" w:hAnsiTheme="minorHAnsi" w:cs="Arial"/>
          <w:i/>
          <w:sz w:val="25"/>
          <w:szCs w:val="25"/>
        </w:rPr>
        <w:t xml:space="preserve"> </w:t>
      </w:r>
      <w:r w:rsidRPr="00DE6BBE">
        <w:rPr>
          <w:rFonts w:asciiTheme="minorHAnsi" w:hAnsiTheme="minorHAnsi" w:cs="Arial"/>
          <w:b/>
          <w:bCs/>
          <w:i/>
          <w:sz w:val="25"/>
          <w:szCs w:val="25"/>
        </w:rPr>
        <w:t xml:space="preserve">Českého statistického úřadu </w:t>
      </w:r>
      <w:r w:rsidRPr="00DE6BBE">
        <w:rPr>
          <w:rFonts w:asciiTheme="minorHAnsi" w:hAnsiTheme="minorHAnsi" w:cs="Arial"/>
          <w:bCs/>
          <w:i/>
          <w:sz w:val="25"/>
          <w:szCs w:val="25"/>
        </w:rPr>
        <w:t>(dále ČSÚ),</w:t>
      </w:r>
      <w:r w:rsidRPr="00DE6BBE">
        <w:rPr>
          <w:rFonts w:asciiTheme="minorHAnsi" w:hAnsiTheme="minorHAnsi" w:cs="Arial"/>
          <w:b/>
          <w:bCs/>
          <w:i/>
          <w:sz w:val="25"/>
          <w:szCs w:val="25"/>
        </w:rPr>
        <w:t xml:space="preserve"> Informačního systému o průměrném výdělku </w:t>
      </w:r>
      <w:r w:rsidRPr="00DE6BBE">
        <w:rPr>
          <w:rFonts w:asciiTheme="minorHAnsi" w:hAnsiTheme="minorHAnsi" w:cs="Arial"/>
          <w:bCs/>
          <w:i/>
          <w:sz w:val="25"/>
          <w:szCs w:val="25"/>
        </w:rPr>
        <w:t>(ISPV),</w:t>
      </w:r>
      <w:r w:rsidRPr="00DE6BBE">
        <w:rPr>
          <w:rFonts w:asciiTheme="minorHAnsi" w:hAnsiTheme="minorHAnsi" w:cs="Arial"/>
          <w:b/>
          <w:bCs/>
          <w:i/>
          <w:sz w:val="25"/>
          <w:szCs w:val="25"/>
        </w:rPr>
        <w:t xml:space="preserve"> České národní banky </w:t>
      </w:r>
      <w:r w:rsidRPr="00DE6BBE">
        <w:rPr>
          <w:rFonts w:asciiTheme="minorHAnsi" w:hAnsiTheme="minorHAnsi" w:cs="Arial"/>
          <w:bCs/>
          <w:i/>
          <w:sz w:val="25"/>
          <w:szCs w:val="25"/>
        </w:rPr>
        <w:t>(ČNB),</w:t>
      </w:r>
      <w:r w:rsidRPr="00DE6BBE">
        <w:rPr>
          <w:rFonts w:asciiTheme="minorHAnsi" w:hAnsiTheme="minorHAnsi" w:cs="Arial"/>
          <w:b/>
          <w:bCs/>
          <w:i/>
          <w:sz w:val="25"/>
          <w:szCs w:val="25"/>
        </w:rPr>
        <w:t xml:space="preserve"> Czech Banking </w:t>
      </w:r>
      <w:proofErr w:type="spellStart"/>
      <w:r w:rsidRPr="00DE6BBE">
        <w:rPr>
          <w:rFonts w:asciiTheme="minorHAnsi" w:hAnsiTheme="minorHAnsi" w:cs="Arial"/>
          <w:b/>
          <w:bCs/>
          <w:i/>
          <w:sz w:val="25"/>
          <w:szCs w:val="25"/>
        </w:rPr>
        <w:t>Credit</w:t>
      </w:r>
      <w:proofErr w:type="spellEnd"/>
      <w:r w:rsidRPr="00DE6BBE">
        <w:rPr>
          <w:rFonts w:asciiTheme="minorHAnsi" w:hAnsiTheme="minorHAnsi" w:cs="Arial"/>
          <w:b/>
          <w:bCs/>
          <w:i/>
          <w:sz w:val="25"/>
          <w:szCs w:val="25"/>
        </w:rPr>
        <w:t xml:space="preserve"> </w:t>
      </w:r>
      <w:proofErr w:type="spellStart"/>
      <w:r w:rsidRPr="00DE6BBE">
        <w:rPr>
          <w:rFonts w:asciiTheme="minorHAnsi" w:hAnsiTheme="minorHAnsi" w:cs="Arial"/>
          <w:b/>
          <w:bCs/>
          <w:i/>
          <w:sz w:val="25"/>
          <w:szCs w:val="25"/>
        </w:rPr>
        <w:t>Bureau</w:t>
      </w:r>
      <w:proofErr w:type="spellEnd"/>
      <w:r w:rsidRPr="00DE6BBE">
        <w:rPr>
          <w:rFonts w:asciiTheme="minorHAnsi" w:hAnsiTheme="minorHAnsi" w:cs="Arial"/>
          <w:b/>
          <w:bCs/>
          <w:i/>
          <w:sz w:val="25"/>
          <w:szCs w:val="25"/>
        </w:rPr>
        <w:t xml:space="preserve"> </w:t>
      </w:r>
      <w:r w:rsidRPr="00DE6BBE">
        <w:rPr>
          <w:rFonts w:asciiTheme="minorHAnsi" w:hAnsiTheme="minorHAnsi" w:cs="Arial"/>
          <w:bCs/>
          <w:i/>
          <w:sz w:val="25"/>
          <w:szCs w:val="25"/>
        </w:rPr>
        <w:t>(CBCB),</w:t>
      </w:r>
      <w:r w:rsidRPr="00DE6BBE">
        <w:rPr>
          <w:rFonts w:asciiTheme="minorHAnsi" w:hAnsiTheme="minorHAnsi" w:cs="Arial"/>
          <w:b/>
          <w:bCs/>
          <w:i/>
          <w:sz w:val="25"/>
          <w:szCs w:val="25"/>
        </w:rPr>
        <w:t xml:space="preserve"> Asociace pro kapitálový trh </w:t>
      </w:r>
      <w:r w:rsidRPr="00DE6BBE">
        <w:rPr>
          <w:rFonts w:asciiTheme="minorHAnsi" w:hAnsiTheme="minorHAnsi" w:cs="Arial"/>
          <w:bCs/>
          <w:i/>
          <w:sz w:val="25"/>
          <w:szCs w:val="25"/>
        </w:rPr>
        <w:t>(AKAT)</w:t>
      </w:r>
      <w:r w:rsidRPr="00DE6BBE">
        <w:rPr>
          <w:rFonts w:asciiTheme="minorHAnsi" w:hAnsiTheme="minorHAnsi" w:cs="Arial"/>
          <w:b/>
          <w:bCs/>
          <w:i/>
          <w:sz w:val="25"/>
          <w:szCs w:val="25"/>
        </w:rPr>
        <w:t xml:space="preserve"> a České leasingové a finanční asociace </w:t>
      </w:r>
      <w:r w:rsidRPr="00DE6BBE">
        <w:rPr>
          <w:rFonts w:asciiTheme="minorHAnsi" w:hAnsiTheme="minorHAnsi" w:cs="Arial"/>
          <w:bCs/>
          <w:i/>
          <w:sz w:val="25"/>
          <w:szCs w:val="25"/>
        </w:rPr>
        <w:t>(ČLFA),</w:t>
      </w:r>
      <w:r w:rsidRPr="00DE6BBE">
        <w:rPr>
          <w:rFonts w:asciiTheme="minorHAnsi" w:hAnsiTheme="minorHAnsi" w:cs="Arial"/>
          <w:i/>
          <w:sz w:val="25"/>
          <w:szCs w:val="25"/>
        </w:rPr>
        <w:t xml:space="preserve"> vlastní</w:t>
      </w:r>
      <w:r w:rsidRPr="00DE6BBE">
        <w:rPr>
          <w:rFonts w:asciiTheme="minorHAnsi" w:hAnsiTheme="minorHAnsi" w:cs="Arial"/>
          <w:sz w:val="25"/>
          <w:szCs w:val="25"/>
        </w:rPr>
        <w:t xml:space="preserve"> </w:t>
      </w:r>
      <w:r w:rsidRPr="00DE6BBE">
        <w:rPr>
          <w:rFonts w:asciiTheme="minorHAnsi" w:hAnsiTheme="minorHAnsi" w:cs="Arial"/>
          <w:b/>
          <w:bCs/>
          <w:i/>
          <w:sz w:val="25"/>
          <w:szCs w:val="25"/>
        </w:rPr>
        <w:t>databáze resortu práce a</w:t>
      </w:r>
      <w:r>
        <w:rPr>
          <w:rFonts w:asciiTheme="minorHAnsi" w:hAnsiTheme="minorHAnsi" w:cs="Arial"/>
          <w:b/>
          <w:bCs/>
          <w:i/>
          <w:sz w:val="25"/>
          <w:szCs w:val="25"/>
        </w:rPr>
        <w:t> </w:t>
      </w:r>
      <w:r w:rsidRPr="00DE6BBE">
        <w:rPr>
          <w:rFonts w:asciiTheme="minorHAnsi" w:hAnsiTheme="minorHAnsi" w:cs="Arial"/>
          <w:b/>
          <w:bCs/>
          <w:i/>
          <w:sz w:val="25"/>
          <w:szCs w:val="25"/>
        </w:rPr>
        <w:t>sociálních věcí</w:t>
      </w:r>
      <w:r>
        <w:rPr>
          <w:rFonts w:asciiTheme="minorHAnsi" w:hAnsiTheme="minorHAnsi" w:cs="Arial"/>
          <w:b/>
          <w:bCs/>
          <w:i/>
          <w:sz w:val="25"/>
          <w:szCs w:val="25"/>
        </w:rPr>
        <w:t xml:space="preserve"> </w:t>
      </w:r>
      <w:r w:rsidRPr="008032CC">
        <w:rPr>
          <w:rFonts w:asciiTheme="minorHAnsi" w:hAnsiTheme="minorHAnsi" w:cs="Arial"/>
          <w:i/>
          <w:sz w:val="25"/>
          <w:szCs w:val="25"/>
        </w:rPr>
        <w:t>a</w:t>
      </w:r>
      <w:r w:rsidRPr="00DE6BBE">
        <w:rPr>
          <w:rFonts w:asciiTheme="minorHAnsi" w:hAnsiTheme="minorHAnsi" w:cs="Arial"/>
          <w:b/>
          <w:bCs/>
          <w:i/>
          <w:sz w:val="25"/>
          <w:szCs w:val="25"/>
        </w:rPr>
        <w:t xml:space="preserve"> České správy sociálního zabezpečení </w:t>
      </w:r>
      <w:r w:rsidRPr="00DE6BBE">
        <w:rPr>
          <w:rFonts w:asciiTheme="minorHAnsi" w:hAnsiTheme="minorHAnsi" w:cs="Arial"/>
          <w:bCs/>
          <w:i/>
          <w:sz w:val="25"/>
          <w:szCs w:val="25"/>
        </w:rPr>
        <w:t>(ČSSZ).</w:t>
      </w:r>
      <w:r w:rsidRPr="00DE6BBE">
        <w:rPr>
          <w:rFonts w:asciiTheme="minorHAnsi" w:hAnsiTheme="minorHAnsi" w:cs="Arial"/>
          <w:b/>
          <w:bCs/>
          <w:i/>
          <w:sz w:val="25"/>
          <w:szCs w:val="25"/>
        </w:rPr>
        <w:t xml:space="preserve"> </w:t>
      </w:r>
      <w:r w:rsidRPr="00DE6BBE">
        <w:rPr>
          <w:rFonts w:asciiTheme="minorHAnsi" w:hAnsiTheme="minorHAnsi" w:cs="Arial"/>
          <w:bCs/>
          <w:i/>
          <w:sz w:val="25"/>
          <w:szCs w:val="25"/>
        </w:rPr>
        <w:t>Využity byly také výsledky vlastních šetření MPSV a dalších institucí a agentur.</w:t>
      </w:r>
    </w:p>
    <w:p w14:paraId="308C091B" w14:textId="77777777" w:rsidR="00100DA4" w:rsidRPr="00DE6BBE" w:rsidRDefault="00100DA4" w:rsidP="00100DA4">
      <w:pPr>
        <w:spacing w:after="240"/>
        <w:jc w:val="both"/>
        <w:rPr>
          <w:rFonts w:asciiTheme="minorHAnsi" w:hAnsiTheme="minorHAnsi" w:cs="Arial"/>
          <w:b/>
          <w:bCs/>
          <w:i/>
          <w:sz w:val="25"/>
          <w:szCs w:val="25"/>
        </w:rPr>
      </w:pPr>
      <w:r w:rsidRPr="00DE6BBE">
        <w:rPr>
          <w:rFonts w:asciiTheme="minorHAnsi" w:hAnsiTheme="minorHAnsi" w:cs="Arial"/>
          <w:i/>
          <w:sz w:val="25"/>
          <w:szCs w:val="25"/>
        </w:rPr>
        <w:tab/>
      </w:r>
      <w:r w:rsidRPr="00DE6BBE">
        <w:rPr>
          <w:rFonts w:asciiTheme="minorHAnsi" w:hAnsiTheme="minorHAnsi" w:cs="Arial"/>
          <w:b/>
          <w:bCs/>
          <w:i/>
          <w:sz w:val="25"/>
          <w:szCs w:val="25"/>
        </w:rPr>
        <w:t xml:space="preserve">Od ČSÚ byla převzata rovněž data o hrubém domácím produktu </w:t>
      </w:r>
      <w:r w:rsidRPr="00DE6BBE">
        <w:rPr>
          <w:rFonts w:asciiTheme="minorHAnsi" w:hAnsiTheme="minorHAnsi" w:cs="Arial"/>
          <w:bCs/>
          <w:i/>
          <w:sz w:val="25"/>
          <w:szCs w:val="25"/>
        </w:rPr>
        <w:t>(</w:t>
      </w:r>
      <w:r>
        <w:rPr>
          <w:rFonts w:asciiTheme="minorHAnsi" w:hAnsiTheme="minorHAnsi" w:cs="Arial"/>
          <w:bCs/>
          <w:i/>
          <w:sz w:val="25"/>
          <w:szCs w:val="25"/>
        </w:rPr>
        <w:t xml:space="preserve">pokud není uvedeno jinak, tak </w:t>
      </w:r>
      <w:r w:rsidRPr="00DE6BBE">
        <w:rPr>
          <w:rFonts w:asciiTheme="minorHAnsi" w:hAnsiTheme="minorHAnsi" w:cs="Arial"/>
          <w:bCs/>
          <w:i/>
          <w:sz w:val="25"/>
          <w:szCs w:val="25"/>
        </w:rPr>
        <w:t xml:space="preserve">HDP </w:t>
      </w:r>
      <w:r>
        <w:rPr>
          <w:rFonts w:asciiTheme="minorHAnsi" w:hAnsiTheme="minorHAnsi" w:cs="Arial"/>
          <w:bCs/>
          <w:i/>
          <w:sz w:val="25"/>
          <w:szCs w:val="25"/>
        </w:rPr>
        <w:t>není</w:t>
      </w:r>
      <w:r w:rsidRPr="00DE6BBE">
        <w:rPr>
          <w:rFonts w:asciiTheme="minorHAnsi" w:hAnsiTheme="minorHAnsi" w:cs="Arial"/>
          <w:bCs/>
          <w:i/>
          <w:sz w:val="25"/>
          <w:szCs w:val="25"/>
        </w:rPr>
        <w:t xml:space="preserve"> sezonně očištěn o nestejný počet pracovních dní)</w:t>
      </w:r>
      <w:r w:rsidRPr="00DE6BBE">
        <w:rPr>
          <w:rFonts w:asciiTheme="minorHAnsi" w:hAnsiTheme="minorHAnsi" w:cs="Arial"/>
          <w:b/>
          <w:bCs/>
          <w:i/>
          <w:sz w:val="25"/>
          <w:szCs w:val="25"/>
        </w:rPr>
        <w:t xml:space="preserve"> a úhrnné produktivitě práce.</w:t>
      </w:r>
    </w:p>
    <w:p w14:paraId="07462675" w14:textId="7FF74D0C" w:rsidR="00100DA4" w:rsidRPr="00D7356E" w:rsidRDefault="00100DA4" w:rsidP="00100DA4">
      <w:pPr>
        <w:pStyle w:val="Zkladntextodsazen"/>
        <w:spacing w:after="240" w:line="240" w:lineRule="auto"/>
        <w:ind w:firstLine="0"/>
        <w:rPr>
          <w:rFonts w:asciiTheme="minorHAnsi" w:hAnsiTheme="minorHAnsi" w:cs="Arial"/>
          <w:b/>
          <w:bCs/>
          <w:i/>
          <w:sz w:val="25"/>
          <w:szCs w:val="25"/>
        </w:rPr>
      </w:pPr>
      <w:r w:rsidRPr="00DE6BBE">
        <w:rPr>
          <w:rFonts w:asciiTheme="minorHAnsi" w:hAnsiTheme="minorHAnsi" w:cs="Arial"/>
          <w:b/>
          <w:bCs/>
          <w:sz w:val="25"/>
          <w:szCs w:val="25"/>
        </w:rPr>
        <w:tab/>
      </w:r>
      <w:r w:rsidRPr="00DE6BBE">
        <w:rPr>
          <w:rFonts w:asciiTheme="minorHAnsi" w:hAnsiTheme="minorHAnsi" w:cs="Arial"/>
          <w:i/>
          <w:sz w:val="25"/>
          <w:szCs w:val="25"/>
        </w:rPr>
        <w:t xml:space="preserve">Základní </w:t>
      </w:r>
      <w:r w:rsidRPr="00DE6BBE">
        <w:rPr>
          <w:rFonts w:asciiTheme="minorHAnsi" w:hAnsiTheme="minorHAnsi" w:cs="Arial"/>
          <w:b/>
          <w:bCs/>
          <w:i/>
          <w:sz w:val="25"/>
          <w:szCs w:val="25"/>
        </w:rPr>
        <w:t xml:space="preserve">příjmová charakteristika na mikroúrovni vychází z výběrového </w:t>
      </w:r>
      <w:r w:rsidRPr="00DE6BBE">
        <w:rPr>
          <w:rFonts w:asciiTheme="minorHAnsi" w:hAnsiTheme="minorHAnsi" w:cs="Arial"/>
          <w:b/>
          <w:i/>
          <w:sz w:val="25"/>
          <w:szCs w:val="25"/>
        </w:rPr>
        <w:t>šetření</w:t>
      </w:r>
      <w:r w:rsidRPr="00DE6BBE">
        <w:rPr>
          <w:rFonts w:asciiTheme="minorHAnsi" w:hAnsiTheme="minorHAnsi" w:cs="Arial"/>
          <w:i/>
          <w:sz w:val="25"/>
          <w:szCs w:val="25"/>
        </w:rPr>
        <w:t xml:space="preserve"> o</w:t>
      </w:r>
      <w:r>
        <w:rPr>
          <w:rFonts w:asciiTheme="minorHAnsi" w:hAnsiTheme="minorHAnsi" w:cs="Arial"/>
          <w:i/>
          <w:sz w:val="25"/>
          <w:szCs w:val="25"/>
        </w:rPr>
        <w:t> </w:t>
      </w:r>
      <w:r w:rsidRPr="00DE6BBE">
        <w:rPr>
          <w:rFonts w:asciiTheme="minorHAnsi" w:hAnsiTheme="minorHAnsi" w:cs="Arial"/>
          <w:i/>
          <w:sz w:val="25"/>
          <w:szCs w:val="25"/>
        </w:rPr>
        <w:t xml:space="preserve">příjmech a životních podmínkách domácností </w:t>
      </w:r>
      <w:r w:rsidRPr="00DE6BBE">
        <w:rPr>
          <w:rFonts w:asciiTheme="minorHAnsi" w:hAnsiTheme="minorHAnsi" w:cs="Arial"/>
          <w:b/>
          <w:bCs/>
          <w:i/>
          <w:sz w:val="25"/>
          <w:szCs w:val="25"/>
        </w:rPr>
        <w:t>zpracovan</w:t>
      </w:r>
      <w:r w:rsidR="00724AC1">
        <w:rPr>
          <w:rFonts w:asciiTheme="minorHAnsi" w:hAnsiTheme="minorHAnsi" w:cs="Arial"/>
          <w:b/>
          <w:bCs/>
          <w:i/>
          <w:sz w:val="25"/>
          <w:szCs w:val="25"/>
        </w:rPr>
        <w:t>ého</w:t>
      </w:r>
      <w:r w:rsidRPr="00DE6BBE">
        <w:rPr>
          <w:rFonts w:asciiTheme="minorHAnsi" w:hAnsiTheme="minorHAnsi" w:cs="Arial"/>
          <w:b/>
          <w:bCs/>
          <w:i/>
          <w:sz w:val="25"/>
          <w:szCs w:val="25"/>
        </w:rPr>
        <w:t xml:space="preserve"> ČSÚ. Dlouhodoběji platné tendence pochází z oficiálních údajů zveřejněných </w:t>
      </w:r>
      <w:r w:rsidRPr="00D7356E">
        <w:rPr>
          <w:rFonts w:asciiTheme="minorHAnsi" w:hAnsiTheme="minorHAnsi" w:cs="Arial"/>
          <w:b/>
          <w:bCs/>
          <w:i/>
          <w:sz w:val="25"/>
          <w:szCs w:val="25"/>
        </w:rPr>
        <w:t xml:space="preserve">v publikaci „Životní podmínky 2020“. </w:t>
      </w:r>
      <w:r w:rsidRPr="00D7356E">
        <w:rPr>
          <w:rFonts w:asciiTheme="minorHAnsi" w:hAnsiTheme="minorHAnsi" w:cs="Arial"/>
          <w:bCs/>
          <w:i/>
          <w:sz w:val="25"/>
          <w:szCs w:val="25"/>
        </w:rPr>
        <w:t>Aktuální šetření proběhlo od února do července roku 2020 a zjišťovalo ekonomickou situaci českých domácností v době dotazování a jejich příjmy za rok předcházející, tedy 2019 (odrážejí tak příjmovou situaci před pandemií viru SARS-CoV-2).</w:t>
      </w:r>
    </w:p>
    <w:p w14:paraId="293DFB38" w14:textId="77777777" w:rsidR="00100DA4" w:rsidRPr="00665B33" w:rsidRDefault="00100DA4" w:rsidP="00100DA4">
      <w:pPr>
        <w:pStyle w:val="Zkladntextodsazen"/>
        <w:spacing w:after="240" w:line="240" w:lineRule="auto"/>
        <w:ind w:firstLine="0"/>
        <w:rPr>
          <w:rFonts w:asciiTheme="minorHAnsi" w:hAnsiTheme="minorHAnsi" w:cs="Arial"/>
          <w:i/>
          <w:sz w:val="25"/>
          <w:szCs w:val="25"/>
        </w:rPr>
      </w:pPr>
      <w:r w:rsidRPr="00D7356E">
        <w:rPr>
          <w:rFonts w:asciiTheme="minorHAnsi" w:hAnsiTheme="minorHAnsi" w:cs="Arial"/>
          <w:b/>
          <w:bCs/>
          <w:i/>
          <w:sz w:val="25"/>
          <w:szCs w:val="25"/>
        </w:rPr>
        <w:tab/>
      </w:r>
      <w:r w:rsidRPr="00D7356E">
        <w:rPr>
          <w:rFonts w:asciiTheme="minorHAnsi" w:hAnsiTheme="minorHAnsi"/>
          <w:b/>
          <w:bCs/>
          <w:i/>
          <w:iCs/>
          <w:sz w:val="25"/>
          <w:szCs w:val="25"/>
        </w:rPr>
        <w:t>Analýza mzdového vývoje byla</w:t>
      </w:r>
      <w:r w:rsidRPr="00D7356E">
        <w:rPr>
          <w:rFonts w:asciiTheme="minorHAnsi" w:hAnsiTheme="minorHAnsi"/>
          <w:i/>
          <w:iCs/>
          <w:sz w:val="25"/>
          <w:szCs w:val="25"/>
        </w:rPr>
        <w:t xml:space="preserve"> do úrovně firem </w:t>
      </w:r>
      <w:r w:rsidRPr="00D7356E">
        <w:rPr>
          <w:rFonts w:asciiTheme="minorHAnsi" w:hAnsiTheme="minorHAnsi"/>
          <w:b/>
          <w:bCs/>
          <w:i/>
          <w:iCs/>
          <w:sz w:val="25"/>
          <w:szCs w:val="25"/>
        </w:rPr>
        <w:t>zpracována na základě údajů ČSÚ.</w:t>
      </w:r>
      <w:r w:rsidRPr="00D7356E">
        <w:rPr>
          <w:rFonts w:asciiTheme="minorHAnsi" w:hAnsiTheme="minorHAnsi"/>
          <w:i/>
          <w:iCs/>
          <w:sz w:val="25"/>
          <w:szCs w:val="25"/>
        </w:rPr>
        <w:t xml:space="preserve"> Průměrná mzda byla vykazována na přepočtené počty zaměstnanců </w:t>
      </w:r>
      <w:r w:rsidRPr="002538AA">
        <w:rPr>
          <w:rFonts w:asciiTheme="minorHAnsi" w:hAnsiTheme="minorHAnsi"/>
          <w:i/>
          <w:iCs/>
          <w:sz w:val="25"/>
          <w:szCs w:val="25"/>
        </w:rPr>
        <w:t xml:space="preserve">(zohledňující délku pracovního úvazku) v celém národním hospodářství. Při zpracování dat o průměrných mzdách byly ČSÚ uplatněny metody odhadů </w:t>
      </w:r>
      <w:proofErr w:type="spellStart"/>
      <w:r w:rsidRPr="002538AA">
        <w:rPr>
          <w:rFonts w:asciiTheme="minorHAnsi" w:hAnsiTheme="minorHAnsi"/>
          <w:i/>
          <w:iCs/>
          <w:sz w:val="25"/>
          <w:szCs w:val="25"/>
        </w:rPr>
        <w:t>nonresponse</w:t>
      </w:r>
      <w:proofErr w:type="spellEnd"/>
      <w:r w:rsidRPr="002538AA">
        <w:rPr>
          <w:rFonts w:asciiTheme="minorHAnsi" w:hAnsiTheme="minorHAnsi"/>
          <w:i/>
          <w:iCs/>
          <w:sz w:val="25"/>
          <w:szCs w:val="25"/>
        </w:rPr>
        <w:t xml:space="preserve"> a </w:t>
      </w:r>
      <w:proofErr w:type="spellStart"/>
      <w:r w:rsidRPr="002538AA">
        <w:rPr>
          <w:rFonts w:asciiTheme="minorHAnsi" w:hAnsiTheme="minorHAnsi"/>
          <w:i/>
          <w:iCs/>
          <w:sz w:val="25"/>
          <w:szCs w:val="25"/>
        </w:rPr>
        <w:t>doodhady</w:t>
      </w:r>
      <w:proofErr w:type="spellEnd"/>
      <w:r w:rsidRPr="002538AA">
        <w:rPr>
          <w:rFonts w:asciiTheme="minorHAnsi" w:hAnsiTheme="minorHAnsi"/>
          <w:i/>
          <w:iCs/>
          <w:sz w:val="25"/>
          <w:szCs w:val="25"/>
        </w:rPr>
        <w:t xml:space="preserve"> za nešetřenou část populace, které vycházely z administrativních zdrojů dat. Data za jednotlivé regiony byla získána tzv. </w:t>
      </w:r>
      <w:proofErr w:type="spellStart"/>
      <w:r w:rsidRPr="002538AA">
        <w:rPr>
          <w:rFonts w:asciiTheme="minorHAnsi" w:hAnsiTheme="minorHAnsi"/>
          <w:i/>
          <w:iCs/>
          <w:sz w:val="25"/>
          <w:szCs w:val="25"/>
        </w:rPr>
        <w:t>pracovištní</w:t>
      </w:r>
      <w:proofErr w:type="spellEnd"/>
      <w:r w:rsidRPr="002538AA">
        <w:rPr>
          <w:rFonts w:asciiTheme="minorHAnsi" w:hAnsiTheme="minorHAnsi"/>
          <w:i/>
          <w:iCs/>
          <w:sz w:val="25"/>
          <w:szCs w:val="25"/>
        </w:rPr>
        <w:t xml:space="preserve"> metodou – tj. podle místa skutečného pracoviště zaměstnanců. </w:t>
      </w:r>
      <w:r w:rsidRPr="002538AA">
        <w:rPr>
          <w:rFonts w:asciiTheme="minorHAnsi" w:hAnsiTheme="minorHAnsi"/>
          <w:b/>
          <w:bCs/>
          <w:i/>
          <w:iCs/>
          <w:sz w:val="25"/>
          <w:szCs w:val="25"/>
        </w:rPr>
        <w:t>Rozbor pohybu výdělků jednotlivých zaměstnanců umožnila data Informačního systému o průměrném výdělku za rok 2020</w:t>
      </w:r>
      <w:r w:rsidRPr="002538AA">
        <w:rPr>
          <w:rFonts w:asciiTheme="minorHAnsi" w:hAnsiTheme="minorHAnsi"/>
          <w:i/>
          <w:iCs/>
          <w:sz w:val="25"/>
          <w:szCs w:val="25"/>
        </w:rPr>
        <w:t xml:space="preserve"> (pokrývající 19</w:t>
      </w:r>
      <w:r>
        <w:rPr>
          <w:rFonts w:asciiTheme="minorHAnsi" w:hAnsiTheme="minorHAnsi"/>
          <w:i/>
          <w:iCs/>
          <w:sz w:val="25"/>
          <w:szCs w:val="25"/>
        </w:rPr>
        <w:t> </w:t>
      </w:r>
      <w:r w:rsidRPr="002538AA">
        <w:rPr>
          <w:rFonts w:asciiTheme="minorHAnsi" w:hAnsiTheme="minorHAnsi"/>
          <w:i/>
          <w:iCs/>
          <w:sz w:val="25"/>
          <w:szCs w:val="25"/>
        </w:rPr>
        <w:t xml:space="preserve">837 ekonomických subjektů </w:t>
      </w:r>
      <w:r w:rsidRPr="00665B33">
        <w:rPr>
          <w:rFonts w:asciiTheme="minorHAnsi" w:hAnsiTheme="minorHAnsi"/>
          <w:i/>
          <w:iCs/>
          <w:sz w:val="25"/>
          <w:szCs w:val="25"/>
        </w:rPr>
        <w:t>představujících 2</w:t>
      </w:r>
      <w:r>
        <w:rPr>
          <w:rFonts w:asciiTheme="minorHAnsi" w:hAnsiTheme="minorHAnsi"/>
          <w:i/>
          <w:iCs/>
          <w:sz w:val="25"/>
          <w:szCs w:val="25"/>
        </w:rPr>
        <w:t> </w:t>
      </w:r>
      <w:r w:rsidRPr="00665B33">
        <w:rPr>
          <w:rFonts w:asciiTheme="minorHAnsi" w:hAnsiTheme="minorHAnsi"/>
          <w:i/>
          <w:iCs/>
          <w:sz w:val="25"/>
          <w:szCs w:val="25"/>
        </w:rPr>
        <w:t>455</w:t>
      </w:r>
      <w:r>
        <w:rPr>
          <w:rFonts w:asciiTheme="minorHAnsi" w:hAnsiTheme="minorHAnsi"/>
          <w:i/>
          <w:iCs/>
          <w:sz w:val="25"/>
          <w:szCs w:val="25"/>
        </w:rPr>
        <w:t> </w:t>
      </w:r>
      <w:r w:rsidRPr="00665B33">
        <w:rPr>
          <w:rFonts w:asciiTheme="minorHAnsi" w:hAnsiTheme="minorHAnsi"/>
          <w:i/>
          <w:iCs/>
          <w:sz w:val="25"/>
          <w:szCs w:val="25"/>
        </w:rPr>
        <w:t>tis. pracovních úvazků) v gesci MPSV.</w:t>
      </w:r>
    </w:p>
    <w:p w14:paraId="49DB6D55" w14:textId="474A3241" w:rsidR="00100DA4" w:rsidRPr="00665B33" w:rsidRDefault="00100DA4" w:rsidP="00100DA4">
      <w:pPr>
        <w:spacing w:after="240"/>
        <w:jc w:val="both"/>
        <w:rPr>
          <w:rFonts w:asciiTheme="minorHAnsi" w:hAnsiTheme="minorHAnsi" w:cs="Arial"/>
          <w:b/>
          <w:bCs/>
          <w:i/>
          <w:sz w:val="25"/>
          <w:szCs w:val="25"/>
        </w:rPr>
      </w:pPr>
      <w:r w:rsidRPr="00665B33">
        <w:rPr>
          <w:rFonts w:asciiTheme="minorHAnsi" w:hAnsiTheme="minorHAnsi" w:cs="Arial"/>
          <w:b/>
          <w:bCs/>
          <w:i/>
          <w:sz w:val="25"/>
          <w:szCs w:val="25"/>
        </w:rPr>
        <w:tab/>
        <w:t>Analýza pohybu spotřebitelských cen a životních nákladů</w:t>
      </w:r>
      <w:r w:rsidRPr="00665B33">
        <w:rPr>
          <w:rFonts w:asciiTheme="minorHAnsi" w:hAnsiTheme="minorHAnsi" w:cs="Arial"/>
          <w:i/>
          <w:sz w:val="25"/>
          <w:szCs w:val="25"/>
        </w:rPr>
        <w:t xml:space="preserve"> domácností (vč. vývoje na počátku roku 202</w:t>
      </w:r>
      <w:r w:rsidR="005A6459">
        <w:rPr>
          <w:rFonts w:asciiTheme="minorHAnsi" w:hAnsiTheme="minorHAnsi" w:cs="Arial"/>
          <w:i/>
          <w:sz w:val="25"/>
          <w:szCs w:val="25"/>
        </w:rPr>
        <w:t>1</w:t>
      </w:r>
      <w:r w:rsidRPr="00665B33">
        <w:rPr>
          <w:rFonts w:asciiTheme="minorHAnsi" w:hAnsiTheme="minorHAnsi" w:cs="Arial"/>
          <w:i/>
          <w:sz w:val="25"/>
          <w:szCs w:val="25"/>
        </w:rPr>
        <w:t xml:space="preserve">) </w:t>
      </w:r>
      <w:r w:rsidRPr="00665B33">
        <w:rPr>
          <w:rFonts w:asciiTheme="minorHAnsi" w:hAnsiTheme="minorHAnsi" w:cs="Arial"/>
          <w:b/>
          <w:bCs/>
          <w:i/>
          <w:sz w:val="25"/>
          <w:szCs w:val="25"/>
        </w:rPr>
        <w:t>je založena na rozboru údajů ČSÚ.</w:t>
      </w:r>
    </w:p>
    <w:p w14:paraId="01FE357E" w14:textId="0476BC83" w:rsidR="00100DA4" w:rsidRPr="00665B33" w:rsidRDefault="00100DA4" w:rsidP="00100DA4">
      <w:pPr>
        <w:spacing w:after="240"/>
        <w:ind w:firstLine="708"/>
        <w:jc w:val="both"/>
        <w:rPr>
          <w:rFonts w:asciiTheme="minorHAnsi" w:hAnsiTheme="minorHAnsi" w:cs="Arial"/>
          <w:bCs/>
          <w:i/>
          <w:sz w:val="25"/>
          <w:szCs w:val="25"/>
        </w:rPr>
      </w:pPr>
      <w:r w:rsidRPr="00665B33">
        <w:rPr>
          <w:rFonts w:asciiTheme="minorHAnsi" w:hAnsiTheme="minorHAnsi" w:cs="Arial"/>
          <w:bCs/>
          <w:i/>
          <w:sz w:val="25"/>
          <w:szCs w:val="25"/>
        </w:rPr>
        <w:t xml:space="preserve">Při propočtech možného vývoje hlavních makroekonomických veličin v dalších letech (v části „C“) byly použity metody extrapolace již probíhajícího (resp. opakujícího se) trendu – např. tržní spotřebitelské ceny, popř. regresní analýza (HDP, podpory v nezaměstnanosti apod.). Predikce v poslední kapitole zohledňují možné vlivy </w:t>
      </w:r>
      <w:bookmarkStart w:id="0" w:name="_Hlk68858076"/>
      <w:r w:rsidRPr="00665B33">
        <w:rPr>
          <w:rFonts w:asciiTheme="minorHAnsi" w:hAnsiTheme="minorHAnsi" w:cs="Arial"/>
          <w:bCs/>
          <w:i/>
          <w:sz w:val="25"/>
          <w:szCs w:val="25"/>
        </w:rPr>
        <w:t>pandemie viru SARS-CoV-2</w:t>
      </w:r>
      <w:bookmarkEnd w:id="0"/>
      <w:r w:rsidRPr="00665B33">
        <w:rPr>
          <w:rFonts w:asciiTheme="minorHAnsi" w:hAnsiTheme="minorHAnsi" w:cs="Arial"/>
          <w:bCs/>
          <w:i/>
          <w:sz w:val="25"/>
          <w:szCs w:val="25"/>
        </w:rPr>
        <w:t>, resp. opatření, jež mají šíření nákazy zabránit.</w:t>
      </w:r>
    </w:p>
    <w:p w14:paraId="1056CD90" w14:textId="77777777" w:rsidR="00100DA4" w:rsidRPr="00665B33" w:rsidRDefault="00100DA4" w:rsidP="00100DA4">
      <w:pPr>
        <w:pStyle w:val="Zkladntext"/>
        <w:spacing w:after="240" w:line="240" w:lineRule="auto"/>
        <w:rPr>
          <w:rFonts w:asciiTheme="minorHAnsi" w:hAnsiTheme="minorHAnsi" w:cs="Arial"/>
          <w:b/>
          <w:sz w:val="25"/>
          <w:szCs w:val="25"/>
        </w:rPr>
      </w:pPr>
      <w:r w:rsidRPr="00665B33">
        <w:rPr>
          <w:rFonts w:asciiTheme="minorHAnsi" w:hAnsiTheme="minorHAnsi" w:cs="Arial"/>
          <w:i/>
          <w:sz w:val="25"/>
          <w:szCs w:val="25"/>
        </w:rPr>
        <w:tab/>
      </w:r>
      <w:r w:rsidRPr="00665B33">
        <w:rPr>
          <w:rFonts w:asciiTheme="minorHAnsi" w:hAnsiTheme="minorHAnsi" w:cs="Arial"/>
          <w:b/>
          <w:bCs/>
          <w:i/>
          <w:sz w:val="25"/>
          <w:szCs w:val="25"/>
        </w:rPr>
        <w:t>Vyjma použitých údajů z vlastní databáze MPSV, dat ČSÚ o vývoji spotřebitelských cen a životních nákladů a přehledů ČNB (bankovní vklady a úvěry) je nutno všechna ostatní uváděná data považovat za předběžná.</w:t>
      </w:r>
      <w:r w:rsidRPr="00665B33">
        <w:rPr>
          <w:rFonts w:asciiTheme="minorHAnsi" w:hAnsiTheme="minorHAnsi" w:cs="Arial"/>
          <w:i/>
          <w:sz w:val="25"/>
          <w:szCs w:val="25"/>
        </w:rPr>
        <w:t xml:space="preserve"> </w:t>
      </w:r>
      <w:r w:rsidRPr="00665B33">
        <w:rPr>
          <w:rFonts w:asciiTheme="minorHAnsi" w:hAnsiTheme="minorHAnsi" w:cs="Arial"/>
          <w:b/>
          <w:i/>
          <w:sz w:val="25"/>
          <w:szCs w:val="25"/>
        </w:rPr>
        <w:t>Jejich dodatečné zpřesnění však podle ověřených předpokladů nezmění základní tendence charakterizované v materiálu</w:t>
      </w:r>
      <w:r w:rsidRPr="00665B33">
        <w:rPr>
          <w:rFonts w:asciiTheme="minorHAnsi" w:hAnsiTheme="minorHAnsi" w:cs="Arial"/>
          <w:b/>
          <w:sz w:val="25"/>
          <w:szCs w:val="25"/>
        </w:rPr>
        <w:t>.</w:t>
      </w:r>
    </w:p>
    <w:p w14:paraId="6D18B5EC" w14:textId="77777777" w:rsidR="00100DA4" w:rsidRPr="002F23BA" w:rsidRDefault="00100DA4" w:rsidP="00100DA4">
      <w:r w:rsidRPr="00DE6BBE">
        <w:rPr>
          <w:rFonts w:asciiTheme="minorHAnsi" w:hAnsiTheme="minorHAnsi" w:cs="Arial"/>
          <w:i/>
          <w:iCs/>
          <w:sz w:val="25"/>
          <w:szCs w:val="25"/>
          <w:u w:val="single"/>
        </w:rPr>
        <w:t>Analýza obsahuje údaje platné k 15. dubnu 202</w:t>
      </w:r>
      <w:r>
        <w:rPr>
          <w:rFonts w:asciiTheme="minorHAnsi" w:hAnsiTheme="minorHAnsi" w:cs="Arial"/>
          <w:i/>
          <w:iCs/>
          <w:sz w:val="25"/>
          <w:szCs w:val="25"/>
          <w:u w:val="single"/>
        </w:rPr>
        <w:t>1</w:t>
      </w:r>
      <w:r w:rsidRPr="004471FB">
        <w:rPr>
          <w:color w:val="FF0000"/>
        </w:rPr>
        <w:br w:type="page"/>
      </w:r>
    </w:p>
    <w:p w14:paraId="680820CF" w14:textId="77777777" w:rsidR="00100DA4" w:rsidRPr="00935486" w:rsidRDefault="00100DA4" w:rsidP="00100DA4">
      <w:pPr>
        <w:pStyle w:val="Nadpis1"/>
        <w:numPr>
          <w:ilvl w:val="0"/>
          <w:numId w:val="3"/>
        </w:numPr>
        <w:spacing w:after="360" w:line="240" w:lineRule="auto"/>
        <w:ind w:left="567" w:hanging="567"/>
        <w:rPr>
          <w:rFonts w:asciiTheme="minorHAnsi" w:hAnsiTheme="minorHAnsi"/>
          <w:smallCaps/>
          <w:color w:val="1F497D"/>
          <w:sz w:val="44"/>
        </w:rPr>
      </w:pPr>
      <w:r w:rsidRPr="00935486">
        <w:rPr>
          <w:rFonts w:asciiTheme="minorHAnsi" w:hAnsiTheme="minorHAnsi"/>
          <w:smallCaps/>
          <w:color w:val="1F497D"/>
          <w:sz w:val="44"/>
        </w:rPr>
        <w:lastRenderedPageBreak/>
        <w:t>Základní charakteristika příjmové a výdajové situace domácností v</w:t>
      </w:r>
      <w:r>
        <w:rPr>
          <w:rFonts w:asciiTheme="minorHAnsi" w:hAnsiTheme="minorHAnsi"/>
          <w:smallCaps/>
          <w:color w:val="1F497D"/>
          <w:sz w:val="44"/>
        </w:rPr>
        <w:t xml:space="preserve"> </w:t>
      </w:r>
      <w:r w:rsidRPr="00935486">
        <w:rPr>
          <w:rFonts w:asciiTheme="minorHAnsi" w:hAnsiTheme="minorHAnsi"/>
          <w:smallCaps/>
          <w:color w:val="1F497D"/>
          <w:sz w:val="44"/>
        </w:rPr>
        <w:t>roce 2020</w:t>
      </w:r>
    </w:p>
    <w:p w14:paraId="1ADF8BA1" w14:textId="4BC8754D" w:rsidR="00100DA4" w:rsidRPr="009F7D87" w:rsidRDefault="00100DA4" w:rsidP="00D1044C">
      <w:pPr>
        <w:spacing w:before="360" w:after="240" w:line="360" w:lineRule="auto"/>
        <w:jc w:val="both"/>
        <w:rPr>
          <w:rFonts w:asciiTheme="minorHAnsi" w:hAnsiTheme="minorHAnsi" w:cstheme="minorHAnsi"/>
          <w:sz w:val="26"/>
          <w:szCs w:val="26"/>
        </w:rPr>
      </w:pPr>
      <w:r w:rsidRPr="002F23BA">
        <w:rPr>
          <w:rFonts w:asciiTheme="minorHAnsi" w:hAnsiTheme="minorHAnsi"/>
        </w:rPr>
        <w:tab/>
      </w:r>
      <w:r w:rsidRPr="005D3FEA">
        <w:rPr>
          <w:rFonts w:ascii="Calibri" w:hAnsi="Calibri" w:cs="Calibri"/>
          <w:b/>
          <w:sz w:val="26"/>
          <w:szCs w:val="26"/>
        </w:rPr>
        <w:t>Ekonomika</w:t>
      </w:r>
      <w:r w:rsidRPr="005D3FEA">
        <w:rPr>
          <w:rFonts w:ascii="Calibri" w:hAnsi="Calibri" w:cs="Calibri"/>
          <w:sz w:val="26"/>
          <w:szCs w:val="26"/>
        </w:rPr>
        <w:t xml:space="preserve"> České republiky </w:t>
      </w:r>
      <w:r w:rsidRPr="005D3FEA">
        <w:rPr>
          <w:rFonts w:ascii="Calibri" w:hAnsi="Calibri" w:cs="Calibri"/>
          <w:b/>
          <w:bCs/>
          <w:sz w:val="26"/>
          <w:szCs w:val="26"/>
        </w:rPr>
        <w:t>zaznamenala</w:t>
      </w:r>
      <w:r w:rsidRPr="005D3FEA">
        <w:rPr>
          <w:rFonts w:ascii="Calibri" w:hAnsi="Calibri" w:cs="Calibri"/>
          <w:sz w:val="26"/>
          <w:szCs w:val="26"/>
        </w:rPr>
        <w:t xml:space="preserve"> vlivem pandemie </w:t>
      </w:r>
      <w:proofErr w:type="spellStart"/>
      <w:r w:rsidRPr="005D3FEA">
        <w:rPr>
          <w:rFonts w:ascii="Calibri" w:hAnsi="Calibri" w:cs="Calibri"/>
          <w:sz w:val="26"/>
          <w:szCs w:val="26"/>
        </w:rPr>
        <w:t>koronaviru</w:t>
      </w:r>
      <w:proofErr w:type="spellEnd"/>
      <w:r w:rsidRPr="005D3FEA">
        <w:rPr>
          <w:rFonts w:ascii="Calibri" w:hAnsi="Calibri" w:cs="Calibri"/>
          <w:sz w:val="26"/>
          <w:szCs w:val="26"/>
        </w:rPr>
        <w:t xml:space="preserve"> SARS-CoV-2 </w:t>
      </w:r>
      <w:r>
        <w:rPr>
          <w:rFonts w:ascii="Calibri" w:hAnsi="Calibri" w:cs="Calibri"/>
          <w:sz w:val="26"/>
          <w:szCs w:val="26"/>
        </w:rPr>
        <w:t>v roce</w:t>
      </w:r>
      <w:r w:rsidRPr="005D3FEA">
        <w:rPr>
          <w:rFonts w:ascii="Calibri" w:hAnsi="Calibri" w:cs="Calibri"/>
          <w:sz w:val="26"/>
          <w:szCs w:val="26"/>
        </w:rPr>
        <w:t xml:space="preserve"> </w:t>
      </w:r>
      <w:r w:rsidRPr="00CB10A5">
        <w:rPr>
          <w:rFonts w:ascii="Calibri" w:hAnsi="Calibri" w:cs="Calibri"/>
          <w:sz w:val="26"/>
          <w:szCs w:val="26"/>
        </w:rPr>
        <w:t xml:space="preserve">2020 očekávaný </w:t>
      </w:r>
      <w:r w:rsidRPr="00CB10A5">
        <w:rPr>
          <w:rFonts w:ascii="Calibri" w:hAnsi="Calibri" w:cs="Calibri"/>
          <w:b/>
          <w:sz w:val="26"/>
          <w:szCs w:val="26"/>
        </w:rPr>
        <w:t xml:space="preserve">hluboký propad. </w:t>
      </w:r>
      <w:r>
        <w:rPr>
          <w:rFonts w:ascii="Calibri" w:hAnsi="Calibri" w:cs="Calibri"/>
          <w:b/>
          <w:sz w:val="26"/>
          <w:szCs w:val="26"/>
        </w:rPr>
        <w:t xml:space="preserve">Hrubý domácí produkt </w:t>
      </w:r>
      <w:r>
        <w:rPr>
          <w:rFonts w:ascii="Calibri" w:hAnsi="Calibri" w:cs="Calibri"/>
          <w:bCs/>
          <w:sz w:val="26"/>
          <w:szCs w:val="26"/>
        </w:rPr>
        <w:t xml:space="preserve">ve stálých cenách </w:t>
      </w:r>
      <w:r w:rsidRPr="00D641C6">
        <w:rPr>
          <w:rFonts w:ascii="Calibri" w:hAnsi="Calibri" w:cs="Calibri"/>
          <w:b/>
          <w:sz w:val="26"/>
          <w:szCs w:val="26"/>
        </w:rPr>
        <w:t>pokles</w:t>
      </w:r>
      <w:r w:rsidR="00724AC1">
        <w:rPr>
          <w:rFonts w:ascii="Calibri" w:hAnsi="Calibri" w:cs="Calibri"/>
          <w:b/>
          <w:sz w:val="26"/>
          <w:szCs w:val="26"/>
        </w:rPr>
        <w:t>l</w:t>
      </w:r>
      <w:r w:rsidRPr="00D641C6">
        <w:rPr>
          <w:rFonts w:ascii="Calibri" w:hAnsi="Calibri" w:cs="Calibri"/>
          <w:b/>
          <w:sz w:val="26"/>
          <w:szCs w:val="26"/>
        </w:rPr>
        <w:t xml:space="preserve"> o 5,6</w:t>
      </w:r>
      <w:r>
        <w:rPr>
          <w:rFonts w:ascii="Calibri" w:hAnsi="Calibri" w:cs="Calibri"/>
          <w:b/>
          <w:sz w:val="26"/>
          <w:szCs w:val="26"/>
        </w:rPr>
        <w:t> </w:t>
      </w:r>
      <w:r w:rsidRPr="00D641C6">
        <w:rPr>
          <w:rFonts w:ascii="Calibri" w:hAnsi="Calibri" w:cs="Calibri"/>
          <w:b/>
          <w:sz w:val="26"/>
          <w:szCs w:val="26"/>
        </w:rPr>
        <w:t>%</w:t>
      </w:r>
      <w:r>
        <w:rPr>
          <w:rFonts w:ascii="Calibri" w:hAnsi="Calibri" w:cs="Calibri"/>
          <w:bCs/>
          <w:sz w:val="26"/>
          <w:szCs w:val="26"/>
        </w:rPr>
        <w:t xml:space="preserve"> (v roce 2019 činil růst HDP 2,3 %). Jedná se tak o </w:t>
      </w:r>
      <w:r w:rsidRPr="00D641C6">
        <w:rPr>
          <w:rFonts w:ascii="Calibri" w:hAnsi="Calibri" w:cs="Calibri"/>
          <w:b/>
          <w:sz w:val="26"/>
          <w:szCs w:val="26"/>
        </w:rPr>
        <w:t>nejhlubší propad ekonomiky za</w:t>
      </w:r>
      <w:r>
        <w:rPr>
          <w:rFonts w:ascii="Calibri" w:hAnsi="Calibri" w:cs="Calibri"/>
          <w:bCs/>
          <w:sz w:val="26"/>
          <w:szCs w:val="26"/>
        </w:rPr>
        <w:t xml:space="preserve"> dobu </w:t>
      </w:r>
      <w:r w:rsidR="00724AC1">
        <w:rPr>
          <w:rFonts w:ascii="Calibri" w:hAnsi="Calibri" w:cs="Calibri"/>
          <w:b/>
          <w:sz w:val="26"/>
          <w:szCs w:val="26"/>
        </w:rPr>
        <w:t>existence</w:t>
      </w:r>
      <w:r w:rsidRPr="00D641C6">
        <w:rPr>
          <w:rFonts w:ascii="Calibri" w:hAnsi="Calibri" w:cs="Calibri"/>
          <w:b/>
          <w:sz w:val="26"/>
          <w:szCs w:val="26"/>
        </w:rPr>
        <w:t xml:space="preserve"> České republiky</w:t>
      </w:r>
      <w:r>
        <w:rPr>
          <w:rFonts w:ascii="Calibri" w:hAnsi="Calibri" w:cs="Calibri"/>
          <w:bCs/>
          <w:sz w:val="26"/>
          <w:szCs w:val="26"/>
        </w:rPr>
        <w:t xml:space="preserve">. V meziročním srovnání jednotlivých čtvrtletí lze vysledovat dopady opatření, která byla přijata v boji proti pandemii. Největšího meziročního propadu bylo dosaženo ve 2. čtvrtletí (-10,6 %). Naopak v 1. čtvrtletí (kdy pandemie byla na začátku) poklesla meziroční výkonnost ekonomiky „jen“ o 1,4 %. </w:t>
      </w:r>
      <w:r w:rsidRPr="00CB10A5">
        <w:rPr>
          <w:rFonts w:ascii="Calibri" w:hAnsi="Calibri" w:cs="Calibri"/>
          <w:b/>
          <w:sz w:val="26"/>
          <w:szCs w:val="26"/>
        </w:rPr>
        <w:t>Ve</w:t>
      </w:r>
      <w:r>
        <w:rPr>
          <w:rFonts w:ascii="Calibri" w:hAnsi="Calibri" w:cs="Calibri"/>
          <w:b/>
          <w:sz w:val="26"/>
          <w:szCs w:val="26"/>
        </w:rPr>
        <w:t xml:space="preserve"> </w:t>
      </w:r>
      <w:r w:rsidRPr="00CB10A5">
        <w:rPr>
          <w:rFonts w:ascii="Calibri" w:hAnsi="Calibri" w:cs="Calibri"/>
          <w:b/>
          <w:sz w:val="26"/>
          <w:szCs w:val="26"/>
        </w:rPr>
        <w:t>srovnání s průměrem Evropské unie</w:t>
      </w:r>
      <w:r w:rsidRPr="00CB10A5">
        <w:rPr>
          <w:rFonts w:ascii="Calibri" w:hAnsi="Calibri" w:cs="Calibri"/>
          <w:sz w:val="26"/>
          <w:szCs w:val="26"/>
        </w:rPr>
        <w:t xml:space="preserve"> </w:t>
      </w:r>
      <w:r w:rsidRPr="00CB10A5">
        <w:rPr>
          <w:rFonts w:ascii="Calibri" w:hAnsi="Calibri" w:cs="Calibri"/>
          <w:b/>
          <w:sz w:val="26"/>
          <w:szCs w:val="26"/>
        </w:rPr>
        <w:t>byl</w:t>
      </w:r>
      <w:r w:rsidRPr="00CB10A5">
        <w:rPr>
          <w:rFonts w:ascii="Calibri" w:hAnsi="Calibri" w:cs="Calibri"/>
          <w:sz w:val="26"/>
          <w:szCs w:val="26"/>
        </w:rPr>
        <w:t xml:space="preserve"> ekonomický </w:t>
      </w:r>
      <w:r w:rsidRPr="00CB10A5">
        <w:rPr>
          <w:rFonts w:ascii="Calibri" w:hAnsi="Calibri" w:cs="Calibri"/>
          <w:b/>
          <w:sz w:val="26"/>
          <w:szCs w:val="26"/>
        </w:rPr>
        <w:t>pokles nižší</w:t>
      </w:r>
      <w:r w:rsidRPr="00CB10A5">
        <w:rPr>
          <w:rFonts w:ascii="Calibri" w:hAnsi="Calibri" w:cs="Calibri"/>
          <w:bCs/>
          <w:sz w:val="26"/>
          <w:szCs w:val="26"/>
        </w:rPr>
        <w:t>.</w:t>
      </w:r>
      <w:r w:rsidRPr="00CB10A5">
        <w:rPr>
          <w:rFonts w:ascii="Calibri" w:hAnsi="Calibri" w:cs="Calibri"/>
          <w:sz w:val="26"/>
          <w:szCs w:val="26"/>
        </w:rPr>
        <w:t xml:space="preserve"> </w:t>
      </w:r>
      <w:r>
        <w:rPr>
          <w:rFonts w:ascii="Calibri" w:hAnsi="Calibri" w:cs="Calibri"/>
          <w:sz w:val="26"/>
          <w:szCs w:val="26"/>
        </w:rPr>
        <w:t xml:space="preserve">V roce 2020 činil </w:t>
      </w:r>
      <w:r w:rsidRPr="00F84943">
        <w:rPr>
          <w:rFonts w:ascii="Calibri" w:hAnsi="Calibri" w:cs="Calibri"/>
          <w:b/>
          <w:bCs/>
          <w:sz w:val="26"/>
          <w:szCs w:val="26"/>
        </w:rPr>
        <w:t>propad HDP v</w:t>
      </w:r>
      <w:r>
        <w:rPr>
          <w:rFonts w:ascii="Calibri" w:hAnsi="Calibri" w:cs="Calibri"/>
          <w:b/>
          <w:bCs/>
          <w:sz w:val="26"/>
          <w:szCs w:val="26"/>
        </w:rPr>
        <w:t xml:space="preserve"> </w:t>
      </w:r>
      <w:r w:rsidRPr="00F84943">
        <w:rPr>
          <w:rFonts w:ascii="Calibri" w:hAnsi="Calibri" w:cs="Calibri"/>
          <w:b/>
          <w:bCs/>
          <w:sz w:val="26"/>
          <w:szCs w:val="26"/>
        </w:rPr>
        <w:t>zemích EU 6,</w:t>
      </w:r>
      <w:r>
        <w:rPr>
          <w:rFonts w:ascii="Calibri" w:hAnsi="Calibri" w:cs="Calibri"/>
          <w:b/>
          <w:bCs/>
          <w:sz w:val="26"/>
          <w:szCs w:val="26"/>
        </w:rPr>
        <w:t>2 </w:t>
      </w:r>
      <w:r w:rsidRPr="00F84943">
        <w:rPr>
          <w:rFonts w:ascii="Calibri" w:hAnsi="Calibri" w:cs="Calibri"/>
          <w:b/>
          <w:bCs/>
          <w:sz w:val="26"/>
          <w:szCs w:val="26"/>
        </w:rPr>
        <w:t>%</w:t>
      </w:r>
      <w:r>
        <w:rPr>
          <w:rFonts w:ascii="Calibri" w:hAnsi="Calibri" w:cs="Calibri"/>
          <w:b/>
          <w:bCs/>
          <w:sz w:val="26"/>
          <w:szCs w:val="26"/>
        </w:rPr>
        <w:t xml:space="preserve"> </w:t>
      </w:r>
      <w:r>
        <w:rPr>
          <w:rFonts w:ascii="Calibri" w:hAnsi="Calibri" w:cs="Calibri"/>
          <w:sz w:val="26"/>
          <w:szCs w:val="26"/>
        </w:rPr>
        <w:t>a byl tedy o 0,6 p. b. vyšší než v ČR.</w:t>
      </w:r>
    </w:p>
    <w:p w14:paraId="0CFC5E95" w14:textId="77777777" w:rsidR="00100DA4" w:rsidRPr="009F7D87" w:rsidRDefault="00100DA4" w:rsidP="00D1044C">
      <w:pPr>
        <w:spacing w:after="360" w:line="360" w:lineRule="auto"/>
        <w:jc w:val="both"/>
        <w:rPr>
          <w:rFonts w:asciiTheme="minorHAnsi" w:hAnsiTheme="minorHAnsi" w:cstheme="minorHAnsi"/>
          <w:sz w:val="26"/>
          <w:szCs w:val="26"/>
        </w:rPr>
      </w:pPr>
      <w:r w:rsidRPr="009F7D87">
        <w:rPr>
          <w:rFonts w:asciiTheme="minorHAnsi" w:hAnsiTheme="minorHAnsi" w:cstheme="minorHAnsi"/>
          <w:sz w:val="26"/>
          <w:szCs w:val="26"/>
        </w:rPr>
        <w:tab/>
        <w:t>Názorný pohled na vývoj vybraných ukazatelů ekonomiky v letech 20</w:t>
      </w:r>
      <w:r>
        <w:rPr>
          <w:rFonts w:asciiTheme="minorHAnsi" w:hAnsiTheme="minorHAnsi" w:cstheme="minorHAnsi"/>
          <w:sz w:val="26"/>
          <w:szCs w:val="26"/>
        </w:rPr>
        <w:t>11</w:t>
      </w:r>
      <w:r w:rsidRPr="009F7D87">
        <w:rPr>
          <w:rFonts w:asciiTheme="minorHAnsi" w:hAnsiTheme="minorHAnsi" w:cstheme="minorHAnsi"/>
          <w:sz w:val="26"/>
          <w:szCs w:val="26"/>
        </w:rPr>
        <w:t xml:space="preserve"> až 20</w:t>
      </w:r>
      <w:r>
        <w:rPr>
          <w:rFonts w:asciiTheme="minorHAnsi" w:hAnsiTheme="minorHAnsi" w:cstheme="minorHAnsi"/>
          <w:sz w:val="26"/>
          <w:szCs w:val="26"/>
        </w:rPr>
        <w:t>20</w:t>
      </w:r>
      <w:r w:rsidRPr="009F7D87">
        <w:rPr>
          <w:rFonts w:asciiTheme="minorHAnsi" w:hAnsiTheme="minorHAnsi" w:cstheme="minorHAnsi"/>
          <w:sz w:val="26"/>
          <w:szCs w:val="26"/>
        </w:rPr>
        <w:t xml:space="preserve"> podává následující graf: </w:t>
      </w:r>
    </w:p>
    <w:p w14:paraId="48C52B5B" w14:textId="77777777" w:rsidR="00100DA4" w:rsidRPr="00D7356E" w:rsidRDefault="00100DA4" w:rsidP="00100DA4">
      <w:pPr>
        <w:spacing w:line="360" w:lineRule="auto"/>
        <w:jc w:val="both"/>
        <w:rPr>
          <w:rFonts w:asciiTheme="minorHAnsi" w:hAnsiTheme="minorHAnsi"/>
          <w:sz w:val="26"/>
          <w:szCs w:val="26"/>
        </w:rPr>
      </w:pPr>
      <w:r>
        <w:rPr>
          <w:rFonts w:asciiTheme="minorHAnsi" w:hAnsiTheme="minorHAnsi"/>
          <w:noProof/>
          <w:color w:val="FF0000"/>
          <w:sz w:val="26"/>
          <w:szCs w:val="26"/>
        </w:rPr>
        <w:drawing>
          <wp:inline distT="0" distB="0" distL="0" distR="0" wp14:anchorId="5A92E37C" wp14:editId="502DE164">
            <wp:extent cx="5773420" cy="343217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3420" cy="3432175"/>
                    </a:xfrm>
                    <a:prstGeom prst="rect">
                      <a:avLst/>
                    </a:prstGeom>
                    <a:noFill/>
                  </pic:spPr>
                </pic:pic>
              </a:graphicData>
            </a:graphic>
          </wp:inline>
        </w:drawing>
      </w:r>
    </w:p>
    <w:p w14:paraId="4F1D28DC" w14:textId="77777777" w:rsidR="00100DA4" w:rsidRPr="00D7356E" w:rsidRDefault="00100DA4" w:rsidP="00D1044C">
      <w:pPr>
        <w:spacing w:after="120"/>
        <w:jc w:val="both"/>
        <w:rPr>
          <w:rFonts w:asciiTheme="minorHAnsi" w:hAnsiTheme="minorHAnsi" w:cstheme="minorHAnsi"/>
          <w:sz w:val="18"/>
          <w:szCs w:val="16"/>
        </w:rPr>
      </w:pPr>
      <w:r w:rsidRPr="00D7356E">
        <w:rPr>
          <w:rFonts w:asciiTheme="minorHAnsi" w:hAnsiTheme="minorHAnsi" w:cstheme="minorHAnsi"/>
          <w:sz w:val="18"/>
          <w:szCs w:val="16"/>
        </w:rPr>
        <w:t>Zpracováno z údajů ČSÚ</w:t>
      </w:r>
    </w:p>
    <w:p w14:paraId="2CB561DB" w14:textId="77777777" w:rsidR="00100DA4" w:rsidRPr="00D7356E" w:rsidRDefault="00100DA4" w:rsidP="00100DA4">
      <w:r w:rsidRPr="00D7356E">
        <w:rPr>
          <w:rFonts w:asciiTheme="minorHAnsi" w:hAnsiTheme="minorHAnsi" w:cstheme="minorHAnsi"/>
          <w:sz w:val="20"/>
          <w:szCs w:val="16"/>
        </w:rPr>
        <w:t>*vypočteno z běžných cen</w:t>
      </w:r>
      <w:r w:rsidRPr="00D7356E">
        <w:br w:type="page"/>
      </w:r>
    </w:p>
    <w:p w14:paraId="4577D18B" w14:textId="613833A6" w:rsidR="00100DA4" w:rsidRPr="002F23BA" w:rsidRDefault="00100DA4" w:rsidP="00D1044C">
      <w:pPr>
        <w:spacing w:after="480" w:line="360" w:lineRule="auto"/>
        <w:jc w:val="both"/>
        <w:rPr>
          <w:rFonts w:asciiTheme="minorHAnsi" w:hAnsiTheme="minorHAnsi" w:cstheme="minorHAnsi"/>
          <w:sz w:val="26"/>
          <w:szCs w:val="26"/>
        </w:rPr>
      </w:pPr>
      <w:r w:rsidRPr="002F23BA">
        <w:rPr>
          <w:rFonts w:asciiTheme="minorHAnsi" w:hAnsiTheme="minorHAnsi"/>
          <w:sz w:val="26"/>
          <w:szCs w:val="26"/>
        </w:rPr>
        <w:lastRenderedPageBreak/>
        <w:tab/>
      </w:r>
      <w:r w:rsidRPr="005D3FEA">
        <w:rPr>
          <w:rFonts w:ascii="Calibri" w:hAnsi="Calibri" w:cs="Calibri"/>
          <w:b/>
          <w:bCs/>
          <w:sz w:val="26"/>
          <w:szCs w:val="26"/>
        </w:rPr>
        <w:t xml:space="preserve">Na hospodářském </w:t>
      </w:r>
      <w:r w:rsidRPr="00CB10A5">
        <w:rPr>
          <w:rFonts w:ascii="Calibri" w:hAnsi="Calibri" w:cs="Calibri"/>
          <w:b/>
          <w:bCs/>
          <w:sz w:val="26"/>
          <w:szCs w:val="26"/>
        </w:rPr>
        <w:t>poklesu</w:t>
      </w:r>
      <w:r w:rsidRPr="00CB10A5">
        <w:rPr>
          <w:rFonts w:ascii="Calibri" w:hAnsi="Calibri" w:cs="Calibri"/>
          <w:sz w:val="26"/>
          <w:szCs w:val="26"/>
        </w:rPr>
        <w:t xml:space="preserve"> </w:t>
      </w:r>
      <w:r w:rsidRPr="00CB10A5">
        <w:rPr>
          <w:rFonts w:ascii="Calibri" w:hAnsi="Calibri" w:cs="Calibri"/>
          <w:b/>
          <w:bCs/>
          <w:sz w:val="26"/>
          <w:szCs w:val="26"/>
        </w:rPr>
        <w:t>se</w:t>
      </w:r>
      <w:r w:rsidRPr="00CB10A5">
        <w:rPr>
          <w:rFonts w:ascii="Calibri" w:hAnsi="Calibri" w:cs="Calibri"/>
          <w:sz w:val="26"/>
          <w:szCs w:val="26"/>
        </w:rPr>
        <w:t xml:space="preserve"> v</w:t>
      </w:r>
      <w:r>
        <w:rPr>
          <w:rFonts w:ascii="Calibri" w:hAnsi="Calibri" w:cs="Calibri"/>
          <w:sz w:val="26"/>
          <w:szCs w:val="26"/>
        </w:rPr>
        <w:t xml:space="preserve"> roce 2020</w:t>
      </w:r>
      <w:r w:rsidRPr="00CB10A5">
        <w:rPr>
          <w:rFonts w:ascii="Calibri" w:hAnsi="Calibri" w:cs="Calibri"/>
          <w:sz w:val="26"/>
          <w:szCs w:val="26"/>
        </w:rPr>
        <w:t xml:space="preserve"> </w:t>
      </w:r>
      <w:r w:rsidRPr="00CB10A5">
        <w:rPr>
          <w:rFonts w:ascii="Calibri" w:hAnsi="Calibri" w:cs="Calibri"/>
          <w:b/>
          <w:bCs/>
          <w:sz w:val="26"/>
          <w:szCs w:val="26"/>
        </w:rPr>
        <w:t>podílel</w:t>
      </w:r>
      <w:r>
        <w:rPr>
          <w:rFonts w:ascii="Calibri" w:hAnsi="Calibri" w:cs="Calibri"/>
          <w:b/>
          <w:bCs/>
          <w:sz w:val="26"/>
          <w:szCs w:val="26"/>
        </w:rPr>
        <w:t>y všechny složky</w:t>
      </w:r>
      <w:r w:rsidRPr="00CB10A5">
        <w:rPr>
          <w:rFonts w:ascii="Calibri" w:hAnsi="Calibri" w:cs="Calibri"/>
          <w:b/>
          <w:bCs/>
          <w:sz w:val="26"/>
          <w:szCs w:val="26"/>
        </w:rPr>
        <w:t xml:space="preserve"> </w:t>
      </w:r>
      <w:r>
        <w:rPr>
          <w:rFonts w:ascii="Calibri" w:hAnsi="Calibri" w:cs="Calibri"/>
          <w:b/>
          <w:bCs/>
          <w:sz w:val="26"/>
          <w:szCs w:val="26"/>
        </w:rPr>
        <w:t>HDP</w:t>
      </w:r>
      <w:r w:rsidRPr="00CB10A5">
        <w:rPr>
          <w:rFonts w:ascii="Calibri" w:hAnsi="Calibri" w:cs="Calibri"/>
          <w:sz w:val="26"/>
          <w:szCs w:val="26"/>
        </w:rPr>
        <w:t xml:space="preserve">. </w:t>
      </w:r>
      <w:r>
        <w:rPr>
          <w:rFonts w:ascii="Calibri" w:hAnsi="Calibri" w:cs="Calibri"/>
          <w:sz w:val="26"/>
          <w:szCs w:val="26"/>
        </w:rPr>
        <w:t xml:space="preserve">Pouze </w:t>
      </w:r>
      <w:r w:rsidRPr="00067037">
        <w:rPr>
          <w:rFonts w:ascii="Calibri" w:hAnsi="Calibri" w:cs="Calibri"/>
          <w:b/>
          <w:bCs/>
          <w:sz w:val="26"/>
          <w:szCs w:val="26"/>
        </w:rPr>
        <w:t>výdaje vládních institucí</w:t>
      </w:r>
      <w:r>
        <w:rPr>
          <w:rFonts w:ascii="Calibri" w:hAnsi="Calibri" w:cs="Calibri"/>
          <w:sz w:val="26"/>
          <w:szCs w:val="26"/>
        </w:rPr>
        <w:t xml:space="preserve"> (v rámci výdajů na konečnou spotřebu) </w:t>
      </w:r>
      <w:r w:rsidRPr="00067037">
        <w:rPr>
          <w:rFonts w:ascii="Calibri" w:hAnsi="Calibri" w:cs="Calibri"/>
          <w:b/>
          <w:bCs/>
          <w:sz w:val="26"/>
          <w:szCs w:val="26"/>
        </w:rPr>
        <w:t>měly</w:t>
      </w:r>
      <w:r>
        <w:rPr>
          <w:rFonts w:ascii="Calibri" w:hAnsi="Calibri" w:cs="Calibri"/>
          <w:sz w:val="26"/>
          <w:szCs w:val="26"/>
        </w:rPr>
        <w:t xml:space="preserve"> ve všech čtvrtletích </w:t>
      </w:r>
      <w:r w:rsidRPr="00067037">
        <w:rPr>
          <w:rFonts w:ascii="Calibri" w:hAnsi="Calibri" w:cs="Calibri"/>
          <w:b/>
          <w:bCs/>
          <w:sz w:val="26"/>
          <w:szCs w:val="26"/>
        </w:rPr>
        <w:t>kladný příspěvek</w:t>
      </w:r>
      <w:r>
        <w:rPr>
          <w:rFonts w:ascii="Calibri" w:hAnsi="Calibri" w:cs="Calibri"/>
          <w:sz w:val="26"/>
          <w:szCs w:val="26"/>
        </w:rPr>
        <w:t xml:space="preserve">. </w:t>
      </w:r>
      <w:r w:rsidRPr="00067037">
        <w:rPr>
          <w:rFonts w:ascii="Calibri" w:hAnsi="Calibri" w:cs="Calibri"/>
          <w:b/>
          <w:bCs/>
          <w:sz w:val="26"/>
          <w:szCs w:val="26"/>
        </w:rPr>
        <w:t>Spotřeba domácností</w:t>
      </w:r>
      <w:r>
        <w:rPr>
          <w:rFonts w:ascii="Calibri" w:hAnsi="Calibri" w:cs="Calibri"/>
          <w:sz w:val="26"/>
          <w:szCs w:val="26"/>
        </w:rPr>
        <w:t xml:space="preserve"> </w:t>
      </w:r>
      <w:r w:rsidRPr="00067037">
        <w:rPr>
          <w:rFonts w:ascii="Calibri" w:hAnsi="Calibri" w:cs="Calibri"/>
          <w:b/>
          <w:bCs/>
          <w:sz w:val="26"/>
          <w:szCs w:val="26"/>
        </w:rPr>
        <w:t>se meziročně propadla o 5,2</w:t>
      </w:r>
      <w:r>
        <w:rPr>
          <w:rFonts w:ascii="Calibri" w:hAnsi="Calibri" w:cs="Calibri"/>
          <w:b/>
          <w:bCs/>
          <w:sz w:val="26"/>
          <w:szCs w:val="26"/>
        </w:rPr>
        <w:t> </w:t>
      </w:r>
      <w:r w:rsidRPr="00067037">
        <w:rPr>
          <w:rFonts w:ascii="Calibri" w:hAnsi="Calibri" w:cs="Calibri"/>
          <w:b/>
          <w:bCs/>
          <w:sz w:val="26"/>
          <w:szCs w:val="26"/>
        </w:rPr>
        <w:t xml:space="preserve">% </w:t>
      </w:r>
      <w:r>
        <w:rPr>
          <w:rFonts w:ascii="Calibri" w:hAnsi="Calibri" w:cs="Calibri"/>
          <w:sz w:val="26"/>
          <w:szCs w:val="26"/>
        </w:rPr>
        <w:t xml:space="preserve">a její </w:t>
      </w:r>
      <w:r w:rsidRPr="00067037">
        <w:rPr>
          <w:rFonts w:ascii="Calibri" w:hAnsi="Calibri" w:cs="Calibri"/>
          <w:b/>
          <w:bCs/>
          <w:sz w:val="26"/>
          <w:szCs w:val="26"/>
        </w:rPr>
        <w:t>pokles</w:t>
      </w:r>
      <w:r>
        <w:rPr>
          <w:rFonts w:ascii="Calibri" w:hAnsi="Calibri" w:cs="Calibri"/>
          <w:sz w:val="26"/>
          <w:szCs w:val="26"/>
        </w:rPr>
        <w:t xml:space="preserve"> tak </w:t>
      </w:r>
      <w:r w:rsidRPr="00067037">
        <w:rPr>
          <w:rFonts w:ascii="Calibri" w:hAnsi="Calibri" w:cs="Calibri"/>
          <w:b/>
          <w:bCs/>
          <w:sz w:val="26"/>
          <w:szCs w:val="26"/>
        </w:rPr>
        <w:t>byl</w:t>
      </w:r>
      <w:r>
        <w:rPr>
          <w:rFonts w:ascii="Calibri" w:hAnsi="Calibri" w:cs="Calibri"/>
          <w:sz w:val="26"/>
          <w:szCs w:val="26"/>
        </w:rPr>
        <w:t xml:space="preserve"> </w:t>
      </w:r>
      <w:r w:rsidRPr="00067037">
        <w:rPr>
          <w:rFonts w:ascii="Calibri" w:hAnsi="Calibri" w:cs="Calibri"/>
          <w:b/>
          <w:bCs/>
          <w:sz w:val="26"/>
          <w:szCs w:val="26"/>
        </w:rPr>
        <w:t>nejvyšší od roku 1993</w:t>
      </w:r>
      <w:r>
        <w:rPr>
          <w:rFonts w:ascii="Calibri" w:hAnsi="Calibri" w:cs="Calibri"/>
          <w:sz w:val="26"/>
          <w:szCs w:val="26"/>
        </w:rPr>
        <w:t xml:space="preserve">. Její příspěvek k poklesu HDP (zhruba třetinový) byl nejvyšší ve 4. čtvrtletí (v 1. čtvrtletí byl příspěvek ještě neutrální). </w:t>
      </w:r>
      <w:r w:rsidRPr="00CB10A5">
        <w:rPr>
          <w:rFonts w:ascii="Calibri" w:hAnsi="Calibri" w:cs="Calibri"/>
          <w:bCs/>
          <w:sz w:val="26"/>
          <w:szCs w:val="26"/>
        </w:rPr>
        <w:t>Příspěvek tvorby hrubého kapitálu</w:t>
      </w:r>
      <w:r w:rsidRPr="00CB10A5">
        <w:rPr>
          <w:rFonts w:ascii="Calibri" w:hAnsi="Calibri" w:cs="Calibri"/>
          <w:b/>
          <w:sz w:val="26"/>
          <w:szCs w:val="26"/>
        </w:rPr>
        <w:t xml:space="preserve"> </w:t>
      </w:r>
      <w:r w:rsidRPr="00CB10A5">
        <w:rPr>
          <w:rFonts w:ascii="Calibri" w:hAnsi="Calibri" w:cs="Calibri"/>
          <w:bCs/>
          <w:sz w:val="26"/>
          <w:szCs w:val="26"/>
        </w:rPr>
        <w:t xml:space="preserve">na celkovém poklesu byl přibližně na hodnotě </w:t>
      </w:r>
      <w:r>
        <w:rPr>
          <w:rFonts w:ascii="Calibri" w:hAnsi="Calibri" w:cs="Calibri"/>
          <w:bCs/>
          <w:sz w:val="26"/>
          <w:szCs w:val="26"/>
        </w:rPr>
        <w:t>50 </w:t>
      </w:r>
      <w:r w:rsidRPr="00CB10A5">
        <w:rPr>
          <w:rFonts w:ascii="Calibri" w:hAnsi="Calibri" w:cs="Calibri"/>
          <w:bCs/>
          <w:sz w:val="26"/>
          <w:szCs w:val="26"/>
        </w:rPr>
        <w:t>%. Meziroční pokles hlavní položky – fixní</w:t>
      </w:r>
      <w:r>
        <w:rPr>
          <w:rFonts w:ascii="Calibri" w:hAnsi="Calibri" w:cs="Calibri"/>
          <w:bCs/>
          <w:sz w:val="26"/>
          <w:szCs w:val="26"/>
        </w:rPr>
        <w:t>ho</w:t>
      </w:r>
      <w:r w:rsidRPr="00CB10A5">
        <w:rPr>
          <w:rFonts w:ascii="Calibri" w:hAnsi="Calibri" w:cs="Calibri"/>
          <w:bCs/>
          <w:sz w:val="26"/>
          <w:szCs w:val="26"/>
        </w:rPr>
        <w:t xml:space="preserve"> kapitál</w:t>
      </w:r>
      <w:r>
        <w:rPr>
          <w:rFonts w:ascii="Calibri" w:hAnsi="Calibri" w:cs="Calibri"/>
          <w:bCs/>
          <w:sz w:val="26"/>
          <w:szCs w:val="26"/>
        </w:rPr>
        <w:t>u –</w:t>
      </w:r>
      <w:r w:rsidRPr="00CB10A5">
        <w:rPr>
          <w:rFonts w:ascii="Calibri" w:hAnsi="Calibri" w:cs="Calibri"/>
          <w:bCs/>
          <w:sz w:val="26"/>
          <w:szCs w:val="26"/>
        </w:rPr>
        <w:t xml:space="preserve"> byl v</w:t>
      </w:r>
      <w:r>
        <w:rPr>
          <w:rFonts w:ascii="Calibri" w:hAnsi="Calibri" w:cs="Calibri"/>
          <w:bCs/>
          <w:sz w:val="26"/>
          <w:szCs w:val="26"/>
        </w:rPr>
        <w:t xml:space="preserve"> prvních dvou</w:t>
      </w:r>
      <w:r w:rsidRPr="00CB10A5">
        <w:rPr>
          <w:rFonts w:ascii="Calibri" w:hAnsi="Calibri" w:cs="Calibri"/>
          <w:bCs/>
          <w:sz w:val="26"/>
          <w:szCs w:val="26"/>
        </w:rPr>
        <w:t xml:space="preserve"> čtvrtletích podobný a pohyboval se na úrovni -</w:t>
      </w:r>
      <w:r>
        <w:rPr>
          <w:rFonts w:ascii="Calibri" w:hAnsi="Calibri" w:cs="Calibri"/>
          <w:bCs/>
          <w:sz w:val="26"/>
          <w:szCs w:val="26"/>
        </w:rPr>
        <w:t>4 </w:t>
      </w:r>
      <w:r w:rsidRPr="00CB10A5">
        <w:rPr>
          <w:rFonts w:ascii="Calibri" w:hAnsi="Calibri" w:cs="Calibri"/>
          <w:bCs/>
          <w:sz w:val="26"/>
          <w:szCs w:val="26"/>
        </w:rPr>
        <w:t>%</w:t>
      </w:r>
      <w:r>
        <w:rPr>
          <w:rFonts w:ascii="Calibri" w:hAnsi="Calibri" w:cs="Calibri"/>
          <w:bCs/>
          <w:sz w:val="26"/>
          <w:szCs w:val="26"/>
        </w:rPr>
        <w:t>. Ve druhé polovině roku ale začal akcelerovat a ve 4.</w:t>
      </w:r>
      <w:r>
        <w:t> </w:t>
      </w:r>
      <w:r>
        <w:rPr>
          <w:rFonts w:ascii="Calibri" w:hAnsi="Calibri" w:cs="Calibri"/>
          <w:bCs/>
          <w:sz w:val="26"/>
          <w:szCs w:val="26"/>
        </w:rPr>
        <w:t xml:space="preserve">čtvrtletí dosáhl snížení o 12,7 %. Podíl zahraničního obchodu na vývoji HDP byl v 1. a 2. pololetí protichůdný. Zatímco v 1. pololetí byl zaznamenám hluboký propad (v samotném 2. čtvrtletí byl zahraniční obchod hlavní příčinou poklesu výkonnosti ekonomiky – </w:t>
      </w:r>
      <w:r>
        <w:rPr>
          <w:rFonts w:ascii="Calibri" w:hAnsi="Calibri" w:cs="Calibri"/>
          <w:sz w:val="26"/>
          <w:szCs w:val="26"/>
        </w:rPr>
        <w:t>s</w:t>
      </w:r>
      <w:r w:rsidRPr="00CB10A5">
        <w:rPr>
          <w:rFonts w:ascii="Calibri" w:hAnsi="Calibri" w:cs="Calibri"/>
          <w:sz w:val="26"/>
          <w:szCs w:val="26"/>
        </w:rPr>
        <w:t xml:space="preserve">ouvislost lze </w:t>
      </w:r>
      <w:r w:rsidR="00724AC1">
        <w:rPr>
          <w:rFonts w:ascii="Calibri" w:hAnsi="Calibri" w:cs="Calibri"/>
          <w:sz w:val="26"/>
          <w:szCs w:val="26"/>
        </w:rPr>
        <w:t>spatřit</w:t>
      </w:r>
      <w:r w:rsidRPr="00CB10A5">
        <w:rPr>
          <w:rFonts w:ascii="Calibri" w:hAnsi="Calibri" w:cs="Calibri"/>
          <w:sz w:val="26"/>
          <w:szCs w:val="26"/>
        </w:rPr>
        <w:t xml:space="preserve"> v</w:t>
      </w:r>
      <w:r>
        <w:rPr>
          <w:rFonts w:ascii="Calibri" w:hAnsi="Calibri" w:cs="Calibri"/>
          <w:sz w:val="26"/>
          <w:szCs w:val="26"/>
        </w:rPr>
        <w:t xml:space="preserve"> </w:t>
      </w:r>
      <w:r w:rsidRPr="00CB10A5">
        <w:rPr>
          <w:rFonts w:ascii="Calibri" w:hAnsi="Calibri" w:cs="Calibri"/>
          <w:sz w:val="26"/>
          <w:szCs w:val="26"/>
        </w:rPr>
        <w:t xml:space="preserve">omezení výroby firem zaměřených na export a také </w:t>
      </w:r>
      <w:r w:rsidR="00724AC1">
        <w:rPr>
          <w:rFonts w:ascii="Calibri" w:hAnsi="Calibri" w:cs="Calibri"/>
          <w:sz w:val="26"/>
          <w:szCs w:val="26"/>
        </w:rPr>
        <w:t>v </w:t>
      </w:r>
      <w:r w:rsidRPr="00CB10A5">
        <w:rPr>
          <w:rFonts w:ascii="Calibri" w:hAnsi="Calibri" w:cs="Calibri"/>
          <w:sz w:val="26"/>
          <w:szCs w:val="26"/>
        </w:rPr>
        <w:t>pokles</w:t>
      </w:r>
      <w:r w:rsidR="00724AC1">
        <w:rPr>
          <w:rFonts w:ascii="Calibri" w:hAnsi="Calibri" w:cs="Calibri"/>
          <w:sz w:val="26"/>
          <w:szCs w:val="26"/>
        </w:rPr>
        <w:t>u</w:t>
      </w:r>
      <w:r w:rsidRPr="00CB10A5">
        <w:rPr>
          <w:rFonts w:ascii="Calibri" w:hAnsi="Calibri" w:cs="Calibri"/>
          <w:sz w:val="26"/>
          <w:szCs w:val="26"/>
        </w:rPr>
        <w:t xml:space="preserve"> poptávky zahraničních odběratelů</w:t>
      </w:r>
      <w:r>
        <w:rPr>
          <w:rFonts w:ascii="Calibri" w:hAnsi="Calibri" w:cs="Calibri"/>
          <w:sz w:val="26"/>
          <w:szCs w:val="26"/>
        </w:rPr>
        <w:t>), tak ve 2. pololetí byly příspěvky zahraničního obchodu k vývoji HDP (v obou čtvrtletích) kladné.</w:t>
      </w:r>
      <w:r w:rsidRPr="00CB10A5">
        <w:rPr>
          <w:rFonts w:ascii="Calibri" w:hAnsi="Calibri" w:cs="Calibri"/>
          <w:bCs/>
          <w:sz w:val="26"/>
          <w:szCs w:val="26"/>
        </w:rPr>
        <w:t xml:space="preserve"> </w:t>
      </w:r>
      <w:r w:rsidRPr="00CB10A5">
        <w:rPr>
          <w:rFonts w:ascii="Calibri" w:hAnsi="Calibri" w:cs="Calibri"/>
          <w:b/>
          <w:bCs/>
          <w:sz w:val="26"/>
          <w:szCs w:val="26"/>
        </w:rPr>
        <w:t>Na nabídkové straně</w:t>
      </w:r>
      <w:r w:rsidRPr="00CB10A5">
        <w:rPr>
          <w:rFonts w:ascii="Calibri" w:hAnsi="Calibri" w:cs="Calibri"/>
          <w:sz w:val="26"/>
          <w:szCs w:val="26"/>
        </w:rPr>
        <w:t xml:space="preserve"> (příspěvky k</w:t>
      </w:r>
      <w:r>
        <w:rPr>
          <w:rFonts w:ascii="Calibri" w:hAnsi="Calibri" w:cs="Calibri"/>
          <w:sz w:val="26"/>
          <w:szCs w:val="26"/>
        </w:rPr>
        <w:t xml:space="preserve"> </w:t>
      </w:r>
      <w:r w:rsidRPr="00CB10A5">
        <w:rPr>
          <w:rFonts w:ascii="Calibri" w:hAnsi="Calibri" w:cs="Calibri"/>
          <w:sz w:val="26"/>
          <w:szCs w:val="26"/>
        </w:rPr>
        <w:t xml:space="preserve">poklesu hrubé přidané hodnoty) </w:t>
      </w:r>
      <w:r w:rsidRPr="006C6F8E">
        <w:rPr>
          <w:rFonts w:ascii="Calibri" w:hAnsi="Calibri" w:cs="Calibri"/>
          <w:b/>
          <w:bCs/>
          <w:sz w:val="26"/>
          <w:szCs w:val="26"/>
        </w:rPr>
        <w:t>měly</w:t>
      </w:r>
      <w:r w:rsidRPr="00CB10A5">
        <w:rPr>
          <w:rFonts w:ascii="Calibri" w:hAnsi="Calibri" w:cs="Calibri"/>
          <w:sz w:val="26"/>
          <w:szCs w:val="26"/>
        </w:rPr>
        <w:t xml:space="preserve"> </w:t>
      </w:r>
      <w:r w:rsidRPr="00CB10A5">
        <w:rPr>
          <w:rFonts w:ascii="Calibri" w:hAnsi="Calibri" w:cs="Calibri"/>
          <w:b/>
          <w:bCs/>
          <w:sz w:val="26"/>
          <w:szCs w:val="26"/>
        </w:rPr>
        <w:t>největší vliv</w:t>
      </w:r>
      <w:r w:rsidRPr="00CB10A5">
        <w:rPr>
          <w:rFonts w:ascii="Calibri" w:hAnsi="Calibri" w:cs="Calibri"/>
          <w:sz w:val="26"/>
          <w:szCs w:val="26"/>
        </w:rPr>
        <w:t xml:space="preserve"> </w:t>
      </w:r>
      <w:r w:rsidRPr="00CB10A5">
        <w:rPr>
          <w:rFonts w:ascii="Calibri" w:hAnsi="Calibri" w:cs="Calibri"/>
          <w:b/>
          <w:bCs/>
          <w:sz w:val="26"/>
          <w:szCs w:val="26"/>
        </w:rPr>
        <w:t>obchod, doprava, ubytování a pohostinství</w:t>
      </w:r>
      <w:r>
        <w:rPr>
          <w:rFonts w:ascii="Calibri" w:hAnsi="Calibri" w:cs="Calibri"/>
          <w:b/>
          <w:bCs/>
          <w:sz w:val="26"/>
          <w:szCs w:val="26"/>
        </w:rPr>
        <w:t xml:space="preserve"> a </w:t>
      </w:r>
      <w:r w:rsidRPr="00CB10A5">
        <w:rPr>
          <w:rFonts w:ascii="Calibri" w:hAnsi="Calibri" w:cs="Calibri"/>
          <w:b/>
          <w:bCs/>
          <w:sz w:val="26"/>
          <w:szCs w:val="26"/>
        </w:rPr>
        <w:t>zpracovatelský</w:t>
      </w:r>
      <w:r w:rsidRPr="00CB10A5">
        <w:rPr>
          <w:rFonts w:ascii="Calibri" w:hAnsi="Calibri" w:cs="Calibri"/>
          <w:sz w:val="26"/>
          <w:szCs w:val="26"/>
        </w:rPr>
        <w:t xml:space="preserve"> </w:t>
      </w:r>
      <w:r w:rsidRPr="00CB10A5">
        <w:rPr>
          <w:rFonts w:ascii="Calibri" w:hAnsi="Calibri" w:cs="Calibri"/>
          <w:b/>
          <w:bCs/>
          <w:sz w:val="26"/>
          <w:szCs w:val="26"/>
        </w:rPr>
        <w:t>průmysl</w:t>
      </w:r>
      <w:r>
        <w:rPr>
          <w:rFonts w:ascii="Calibri" w:hAnsi="Calibri" w:cs="Calibri"/>
          <w:sz w:val="26"/>
          <w:szCs w:val="26"/>
        </w:rPr>
        <w:t>.</w:t>
      </w:r>
    </w:p>
    <w:p w14:paraId="20AEAA2C" w14:textId="77777777" w:rsidR="00100DA4" w:rsidRPr="002F23BA" w:rsidRDefault="00100DA4" w:rsidP="00100DA4">
      <w:pPr>
        <w:spacing w:after="240" w:line="360" w:lineRule="auto"/>
        <w:jc w:val="both"/>
        <w:rPr>
          <w:rFonts w:asciiTheme="minorHAnsi" w:hAnsiTheme="minorHAnsi" w:cstheme="minorHAnsi"/>
          <w:b/>
          <w:bCs/>
          <w:sz w:val="26"/>
          <w:szCs w:val="26"/>
        </w:rPr>
      </w:pPr>
      <w:r w:rsidRPr="002F23BA">
        <w:rPr>
          <w:rFonts w:asciiTheme="minorHAnsi" w:hAnsiTheme="minorHAnsi" w:cstheme="minorHAnsi"/>
          <w:sz w:val="26"/>
          <w:szCs w:val="26"/>
        </w:rPr>
        <w:tab/>
      </w:r>
      <w:r w:rsidRPr="002F23BA">
        <w:rPr>
          <w:rFonts w:asciiTheme="minorHAnsi" w:hAnsiTheme="minorHAnsi" w:cstheme="minorHAnsi"/>
          <w:b/>
          <w:sz w:val="26"/>
          <w:szCs w:val="26"/>
        </w:rPr>
        <w:t xml:space="preserve">Ekonomickou situaci domácností </w:t>
      </w:r>
      <w:r w:rsidRPr="002F23BA">
        <w:rPr>
          <w:rFonts w:asciiTheme="minorHAnsi" w:hAnsiTheme="minorHAnsi" w:cstheme="minorHAnsi"/>
          <w:sz w:val="26"/>
          <w:szCs w:val="26"/>
        </w:rPr>
        <w:t xml:space="preserve">v hodnoceném období </w:t>
      </w:r>
      <w:r w:rsidRPr="002F23BA">
        <w:rPr>
          <w:rFonts w:asciiTheme="minorHAnsi" w:hAnsiTheme="minorHAnsi" w:cstheme="minorHAnsi"/>
          <w:b/>
          <w:sz w:val="26"/>
          <w:szCs w:val="26"/>
        </w:rPr>
        <w:t>charakterizovaly zejména tyto skutečnosti:</w:t>
      </w:r>
    </w:p>
    <w:p w14:paraId="67C32A4E" w14:textId="77777777" w:rsidR="00100DA4" w:rsidRPr="00665B33" w:rsidRDefault="00100DA4" w:rsidP="00100DA4">
      <w:pPr>
        <w:numPr>
          <w:ilvl w:val="0"/>
          <w:numId w:val="25"/>
        </w:numPr>
        <w:tabs>
          <w:tab w:val="num" w:pos="502"/>
        </w:tabs>
        <w:spacing w:after="240" w:line="360" w:lineRule="auto"/>
        <w:ind w:left="357" w:hanging="357"/>
        <w:jc w:val="both"/>
        <w:rPr>
          <w:rFonts w:asciiTheme="minorHAnsi" w:hAnsiTheme="minorHAnsi" w:cs="Arial"/>
          <w:b/>
          <w:bCs/>
          <w:sz w:val="26"/>
          <w:szCs w:val="26"/>
        </w:rPr>
      </w:pPr>
      <w:r w:rsidRPr="001251B6">
        <w:rPr>
          <w:rFonts w:asciiTheme="minorHAnsi" w:hAnsiTheme="minorHAnsi" w:cs="Arial"/>
          <w:sz w:val="26"/>
          <w:szCs w:val="26"/>
        </w:rPr>
        <w:t>hrubý</w:t>
      </w:r>
      <w:r w:rsidRPr="002F23BA">
        <w:rPr>
          <w:rFonts w:asciiTheme="minorHAnsi" w:hAnsiTheme="minorHAnsi" w:cs="Arial"/>
          <w:b/>
          <w:bCs/>
          <w:sz w:val="26"/>
          <w:szCs w:val="26"/>
        </w:rPr>
        <w:t xml:space="preserve"> </w:t>
      </w:r>
      <w:r w:rsidRPr="002F23BA">
        <w:rPr>
          <w:rFonts w:asciiTheme="minorHAnsi" w:hAnsiTheme="minorHAnsi" w:cstheme="minorHAnsi"/>
          <w:b/>
          <w:bCs/>
          <w:sz w:val="26"/>
          <w:szCs w:val="26"/>
        </w:rPr>
        <w:t>disponibilní důchod</w:t>
      </w:r>
      <w:r w:rsidRPr="002F23BA">
        <w:rPr>
          <w:rFonts w:asciiTheme="minorHAnsi" w:hAnsiTheme="minorHAnsi" w:cstheme="minorHAnsi"/>
          <w:sz w:val="26"/>
          <w:szCs w:val="26"/>
        </w:rPr>
        <w:t xml:space="preserve"> </w:t>
      </w:r>
      <w:r w:rsidRPr="006C6F8E">
        <w:rPr>
          <w:rFonts w:ascii="Calibri" w:hAnsi="Calibri" w:cs="Calibri"/>
          <w:sz w:val="26"/>
          <w:szCs w:val="26"/>
        </w:rPr>
        <w:t>sektoru</w:t>
      </w:r>
      <w:r w:rsidRPr="006C6F8E">
        <w:rPr>
          <w:rFonts w:ascii="Calibri" w:hAnsi="Calibri" w:cs="Calibri"/>
          <w:bCs/>
          <w:sz w:val="26"/>
          <w:szCs w:val="26"/>
        </w:rPr>
        <w:t xml:space="preserve"> </w:t>
      </w:r>
      <w:r w:rsidRPr="006C6F8E">
        <w:rPr>
          <w:rFonts w:ascii="Calibri" w:hAnsi="Calibri" w:cs="Calibri"/>
          <w:b/>
          <w:bCs/>
          <w:sz w:val="26"/>
          <w:szCs w:val="26"/>
        </w:rPr>
        <w:t>domácností</w:t>
      </w:r>
      <w:r w:rsidRPr="006C6F8E">
        <w:rPr>
          <w:rFonts w:ascii="Calibri" w:hAnsi="Calibri" w:cs="Calibri"/>
          <w:bCs/>
          <w:sz w:val="26"/>
          <w:szCs w:val="26"/>
        </w:rPr>
        <w:t xml:space="preserve"> </w:t>
      </w:r>
      <w:r w:rsidRPr="006C6F8E">
        <w:rPr>
          <w:rFonts w:ascii="Calibri" w:hAnsi="Calibri" w:cs="Calibri"/>
          <w:sz w:val="26"/>
          <w:szCs w:val="26"/>
        </w:rPr>
        <w:t>(na makroúrovni statistiky národních účtů)</w:t>
      </w:r>
      <w:r w:rsidRPr="006C6F8E">
        <w:rPr>
          <w:rFonts w:ascii="Calibri" w:hAnsi="Calibri" w:cs="Calibri"/>
          <w:bCs/>
          <w:sz w:val="26"/>
          <w:szCs w:val="26"/>
        </w:rPr>
        <w:t xml:space="preserve"> </w:t>
      </w:r>
      <w:r w:rsidRPr="006C6F8E">
        <w:rPr>
          <w:rFonts w:ascii="Calibri" w:hAnsi="Calibri" w:cs="Calibri"/>
          <w:b/>
          <w:bCs/>
          <w:sz w:val="26"/>
          <w:szCs w:val="26"/>
        </w:rPr>
        <w:t>vzrostl</w:t>
      </w:r>
      <w:r w:rsidRPr="006C6F8E">
        <w:rPr>
          <w:rFonts w:ascii="Calibri" w:hAnsi="Calibri" w:cs="Calibri"/>
          <w:bCs/>
          <w:sz w:val="26"/>
          <w:szCs w:val="26"/>
        </w:rPr>
        <w:t xml:space="preserve"> </w:t>
      </w:r>
      <w:r w:rsidRPr="006C6F8E">
        <w:rPr>
          <w:rFonts w:ascii="Calibri" w:hAnsi="Calibri" w:cs="Calibri"/>
          <w:sz w:val="26"/>
          <w:szCs w:val="26"/>
        </w:rPr>
        <w:t xml:space="preserve">nominálně </w:t>
      </w:r>
      <w:r w:rsidRPr="006C6F8E">
        <w:rPr>
          <w:rFonts w:ascii="Calibri" w:hAnsi="Calibri" w:cs="Calibri"/>
          <w:b/>
          <w:bCs/>
          <w:sz w:val="26"/>
          <w:szCs w:val="26"/>
        </w:rPr>
        <w:t>o 5,0</w:t>
      </w:r>
      <w:r>
        <w:rPr>
          <w:rFonts w:ascii="Calibri" w:hAnsi="Calibri" w:cs="Calibri"/>
          <w:b/>
          <w:bCs/>
          <w:sz w:val="26"/>
          <w:szCs w:val="26"/>
        </w:rPr>
        <w:t> </w:t>
      </w:r>
      <w:r w:rsidRPr="006C6F8E">
        <w:rPr>
          <w:rFonts w:ascii="Calibri" w:hAnsi="Calibri" w:cs="Calibri"/>
          <w:b/>
          <w:bCs/>
          <w:sz w:val="26"/>
          <w:szCs w:val="26"/>
        </w:rPr>
        <w:t xml:space="preserve">% na </w:t>
      </w:r>
      <w:r>
        <w:rPr>
          <w:rFonts w:ascii="Calibri" w:hAnsi="Calibri" w:cs="Calibri"/>
          <w:b/>
          <w:bCs/>
          <w:sz w:val="26"/>
          <w:szCs w:val="26"/>
        </w:rPr>
        <w:t>3 162</w:t>
      </w:r>
      <w:r w:rsidRPr="006C6F8E">
        <w:rPr>
          <w:rFonts w:ascii="Calibri" w:hAnsi="Calibri" w:cs="Calibri"/>
          <w:b/>
          <w:bCs/>
          <w:sz w:val="26"/>
          <w:szCs w:val="26"/>
        </w:rPr>
        <w:t>,</w:t>
      </w:r>
      <w:r>
        <w:rPr>
          <w:rFonts w:ascii="Calibri" w:hAnsi="Calibri" w:cs="Calibri"/>
          <w:b/>
          <w:bCs/>
          <w:sz w:val="26"/>
          <w:szCs w:val="26"/>
        </w:rPr>
        <w:t>4</w:t>
      </w:r>
      <w:r w:rsidRPr="006C6F8E">
        <w:rPr>
          <w:rFonts w:ascii="Calibri" w:hAnsi="Calibri" w:cs="Calibri"/>
          <w:b/>
          <w:bCs/>
          <w:sz w:val="26"/>
          <w:szCs w:val="26"/>
        </w:rPr>
        <w:t> mld. Kč,</w:t>
      </w:r>
      <w:r w:rsidRPr="006C6F8E">
        <w:rPr>
          <w:rFonts w:ascii="Calibri" w:hAnsi="Calibri" w:cs="Calibri"/>
          <w:bCs/>
          <w:sz w:val="26"/>
          <w:szCs w:val="26"/>
        </w:rPr>
        <w:t xml:space="preserve"> </w:t>
      </w:r>
      <w:r w:rsidRPr="006C6F8E">
        <w:rPr>
          <w:rFonts w:ascii="Calibri" w:hAnsi="Calibri" w:cs="Calibri"/>
          <w:sz w:val="26"/>
          <w:szCs w:val="26"/>
        </w:rPr>
        <w:t xml:space="preserve">což při zohlednění cenové inflace znamenalo jeho </w:t>
      </w:r>
      <w:r w:rsidRPr="006C6F8E">
        <w:rPr>
          <w:rFonts w:ascii="Calibri" w:hAnsi="Calibri" w:cs="Calibri"/>
          <w:b/>
          <w:bCs/>
          <w:sz w:val="26"/>
          <w:szCs w:val="26"/>
        </w:rPr>
        <w:t>reálné navýšení o 1,</w:t>
      </w:r>
      <w:r>
        <w:rPr>
          <w:rFonts w:ascii="Calibri" w:hAnsi="Calibri" w:cs="Calibri"/>
          <w:b/>
          <w:bCs/>
          <w:sz w:val="26"/>
          <w:szCs w:val="26"/>
        </w:rPr>
        <w:t>7 </w:t>
      </w:r>
      <w:r w:rsidRPr="006C6F8E">
        <w:rPr>
          <w:rFonts w:ascii="Calibri" w:hAnsi="Calibri" w:cs="Calibri"/>
          <w:b/>
          <w:bCs/>
          <w:sz w:val="26"/>
          <w:szCs w:val="26"/>
        </w:rPr>
        <w:t xml:space="preserve">%, hlavní příčinou byl </w:t>
      </w:r>
      <w:r>
        <w:rPr>
          <w:rFonts w:ascii="Calibri" w:hAnsi="Calibri" w:cs="Calibri"/>
          <w:b/>
          <w:bCs/>
          <w:sz w:val="26"/>
          <w:szCs w:val="26"/>
        </w:rPr>
        <w:t>pokles celkových</w:t>
      </w:r>
      <w:r w:rsidRPr="006C6F8E">
        <w:rPr>
          <w:rFonts w:ascii="Calibri" w:hAnsi="Calibri" w:cs="Calibri"/>
          <w:b/>
          <w:bCs/>
          <w:sz w:val="26"/>
          <w:szCs w:val="26"/>
        </w:rPr>
        <w:t xml:space="preserve"> výdajů</w:t>
      </w:r>
      <w:r w:rsidRPr="00C15BB1">
        <w:rPr>
          <w:rFonts w:ascii="Calibri" w:hAnsi="Calibri" w:cs="Calibri"/>
          <w:b/>
          <w:bCs/>
          <w:sz w:val="26"/>
          <w:szCs w:val="26"/>
        </w:rPr>
        <w:t>;</w:t>
      </w:r>
      <w:r w:rsidRPr="00843FDC">
        <w:rPr>
          <w:rFonts w:ascii="Calibri" w:hAnsi="Calibri" w:cs="Calibri"/>
          <w:sz w:val="26"/>
          <w:szCs w:val="26"/>
        </w:rPr>
        <w:t xml:space="preserve"> </w:t>
      </w:r>
      <w:r w:rsidRPr="00843FDC">
        <w:rPr>
          <w:rFonts w:ascii="Calibri" w:hAnsi="Calibri" w:cs="Calibri"/>
          <w:b/>
          <w:bCs/>
          <w:sz w:val="26"/>
          <w:szCs w:val="26"/>
        </w:rPr>
        <w:t>domácnosti</w:t>
      </w:r>
      <w:r w:rsidRPr="00843FDC">
        <w:rPr>
          <w:rFonts w:ascii="Calibri" w:hAnsi="Calibri" w:cs="Calibri"/>
          <w:sz w:val="26"/>
          <w:szCs w:val="26"/>
        </w:rPr>
        <w:t xml:space="preserve"> v době krize (pandemie) </w:t>
      </w:r>
      <w:r w:rsidRPr="00843FDC">
        <w:rPr>
          <w:rFonts w:ascii="Calibri" w:hAnsi="Calibri" w:cs="Calibri"/>
          <w:b/>
          <w:bCs/>
          <w:sz w:val="26"/>
          <w:szCs w:val="26"/>
        </w:rPr>
        <w:t>své prostředky ukládaly</w:t>
      </w:r>
      <w:r w:rsidRPr="00843FDC">
        <w:rPr>
          <w:rFonts w:ascii="Calibri" w:hAnsi="Calibri" w:cs="Calibri"/>
          <w:sz w:val="26"/>
          <w:szCs w:val="26"/>
        </w:rPr>
        <w:t xml:space="preserve"> ve velké míře </w:t>
      </w:r>
      <w:r w:rsidRPr="00843FDC">
        <w:rPr>
          <w:rFonts w:ascii="Calibri" w:hAnsi="Calibri" w:cs="Calibri"/>
          <w:b/>
          <w:bCs/>
          <w:sz w:val="26"/>
          <w:szCs w:val="26"/>
        </w:rPr>
        <w:t>do úspor</w:t>
      </w:r>
      <w:r w:rsidRPr="00665B33">
        <w:rPr>
          <w:rFonts w:asciiTheme="minorHAnsi" w:hAnsiTheme="minorHAnsi" w:cstheme="minorHAnsi"/>
          <w:b/>
          <w:bCs/>
          <w:sz w:val="26"/>
          <w:szCs w:val="26"/>
        </w:rPr>
        <w:t>,</w:t>
      </w:r>
    </w:p>
    <w:p w14:paraId="453AE7C0" w14:textId="77777777" w:rsidR="00100DA4" w:rsidRPr="00665B33" w:rsidRDefault="00100DA4" w:rsidP="00100DA4">
      <w:pPr>
        <w:numPr>
          <w:ilvl w:val="0"/>
          <w:numId w:val="25"/>
        </w:numPr>
        <w:tabs>
          <w:tab w:val="num" w:pos="502"/>
        </w:tabs>
        <w:spacing w:after="240" w:line="360" w:lineRule="auto"/>
        <w:ind w:left="357" w:hanging="357"/>
        <w:jc w:val="both"/>
        <w:rPr>
          <w:rFonts w:asciiTheme="minorHAnsi" w:hAnsiTheme="minorHAnsi" w:cs="Arial"/>
          <w:b/>
          <w:bCs/>
          <w:sz w:val="26"/>
          <w:szCs w:val="26"/>
        </w:rPr>
      </w:pPr>
      <w:r w:rsidRPr="00665B33">
        <w:rPr>
          <w:rFonts w:asciiTheme="minorHAnsi" w:hAnsiTheme="minorHAnsi" w:cs="Arial"/>
          <w:b/>
          <w:iCs/>
          <w:sz w:val="26"/>
          <w:szCs w:val="26"/>
        </w:rPr>
        <w:t>největším</w:t>
      </w:r>
      <w:r w:rsidRPr="00665B33">
        <w:rPr>
          <w:rFonts w:asciiTheme="minorHAnsi" w:hAnsiTheme="minorHAnsi" w:cs="Arial"/>
          <w:bCs/>
          <w:iCs/>
          <w:sz w:val="26"/>
          <w:szCs w:val="26"/>
        </w:rPr>
        <w:t xml:space="preserve"> </w:t>
      </w:r>
      <w:r w:rsidRPr="00665B33">
        <w:rPr>
          <w:rFonts w:asciiTheme="minorHAnsi" w:hAnsiTheme="minorHAnsi" w:cs="Arial"/>
          <w:b/>
          <w:bCs/>
          <w:iCs/>
          <w:sz w:val="26"/>
          <w:szCs w:val="26"/>
        </w:rPr>
        <w:t>zdrojem peněžních příjmů</w:t>
      </w:r>
      <w:r w:rsidRPr="00665B33">
        <w:rPr>
          <w:rFonts w:asciiTheme="minorHAnsi" w:hAnsiTheme="minorHAnsi" w:cs="Arial"/>
          <w:bCs/>
          <w:iCs/>
          <w:sz w:val="26"/>
          <w:szCs w:val="26"/>
        </w:rPr>
        <w:t xml:space="preserve"> </w:t>
      </w:r>
      <w:r w:rsidRPr="00665B33">
        <w:rPr>
          <w:rFonts w:asciiTheme="minorHAnsi" w:hAnsiTheme="minorHAnsi" w:cstheme="minorHAnsi"/>
          <w:bCs/>
          <w:sz w:val="26"/>
          <w:szCs w:val="26"/>
        </w:rPr>
        <w:t xml:space="preserve">domácností byly </w:t>
      </w:r>
      <w:r w:rsidRPr="00665B33">
        <w:rPr>
          <w:rFonts w:asciiTheme="minorHAnsi" w:hAnsiTheme="minorHAnsi" w:cstheme="minorHAnsi"/>
          <w:b/>
          <w:bCs/>
          <w:sz w:val="26"/>
          <w:szCs w:val="26"/>
        </w:rPr>
        <w:t>mzdy;</w:t>
      </w:r>
      <w:r w:rsidRPr="00665B33">
        <w:rPr>
          <w:rFonts w:asciiTheme="minorHAnsi" w:hAnsiTheme="minorHAnsi" w:cstheme="minorHAnsi"/>
          <w:bCs/>
          <w:sz w:val="26"/>
          <w:szCs w:val="26"/>
        </w:rPr>
        <w:t xml:space="preserve"> </w:t>
      </w:r>
      <w:r w:rsidRPr="00665B33">
        <w:rPr>
          <w:rFonts w:asciiTheme="minorHAnsi" w:hAnsiTheme="minorHAnsi" w:cstheme="minorHAnsi"/>
          <w:b/>
          <w:bCs/>
          <w:sz w:val="26"/>
          <w:szCs w:val="26"/>
        </w:rPr>
        <w:t>průměrná měsíční nominální mzda v</w:t>
      </w:r>
      <w:r>
        <w:rPr>
          <w:rFonts w:asciiTheme="minorHAnsi" w:hAnsiTheme="minorHAnsi" w:cstheme="minorHAnsi"/>
          <w:b/>
          <w:bCs/>
          <w:sz w:val="26"/>
          <w:szCs w:val="26"/>
        </w:rPr>
        <w:t xml:space="preserve"> </w:t>
      </w:r>
      <w:r w:rsidRPr="00665B33">
        <w:rPr>
          <w:rFonts w:asciiTheme="minorHAnsi" w:hAnsiTheme="minorHAnsi" w:cstheme="minorHAnsi"/>
          <w:b/>
          <w:bCs/>
          <w:sz w:val="26"/>
          <w:szCs w:val="26"/>
        </w:rPr>
        <w:t>národním hospodářství</w:t>
      </w:r>
      <w:r w:rsidRPr="00665B33">
        <w:rPr>
          <w:rFonts w:asciiTheme="minorHAnsi" w:hAnsiTheme="minorHAnsi" w:cstheme="minorHAnsi"/>
          <w:bCs/>
          <w:sz w:val="26"/>
          <w:szCs w:val="26"/>
        </w:rPr>
        <w:t xml:space="preserve"> (na přepočtené počty zaměstnanců) </w:t>
      </w:r>
      <w:r w:rsidRPr="00665B33">
        <w:rPr>
          <w:rFonts w:asciiTheme="minorHAnsi" w:hAnsiTheme="minorHAnsi" w:cstheme="minorHAnsi"/>
          <w:b/>
          <w:bCs/>
          <w:sz w:val="26"/>
          <w:szCs w:val="26"/>
        </w:rPr>
        <w:t>činila 35 611 Kč a její meziroční dynamika růstu</w:t>
      </w:r>
      <w:r w:rsidRPr="00665B33">
        <w:rPr>
          <w:rFonts w:asciiTheme="minorHAnsi" w:hAnsiTheme="minorHAnsi" w:cstheme="minorHAnsi"/>
          <w:bCs/>
          <w:sz w:val="26"/>
          <w:szCs w:val="26"/>
        </w:rPr>
        <w:t xml:space="preserve"> </w:t>
      </w:r>
      <w:r w:rsidRPr="00665B33">
        <w:rPr>
          <w:rFonts w:asciiTheme="minorHAnsi" w:hAnsiTheme="minorHAnsi" w:cstheme="minorHAnsi"/>
          <w:b/>
          <w:bCs/>
          <w:sz w:val="26"/>
          <w:szCs w:val="26"/>
        </w:rPr>
        <w:t>se</w:t>
      </w:r>
      <w:r w:rsidRPr="00665B33">
        <w:rPr>
          <w:rFonts w:asciiTheme="minorHAnsi" w:hAnsiTheme="minorHAnsi" w:cstheme="minorHAnsi"/>
          <w:bCs/>
          <w:sz w:val="26"/>
          <w:szCs w:val="26"/>
        </w:rPr>
        <w:t xml:space="preserve"> ze</w:t>
      </w:r>
      <w:r>
        <w:rPr>
          <w:rFonts w:asciiTheme="minorHAnsi" w:hAnsiTheme="minorHAnsi" w:cstheme="minorHAnsi"/>
          <w:bCs/>
          <w:sz w:val="26"/>
          <w:szCs w:val="26"/>
        </w:rPr>
        <w:t xml:space="preserve"> </w:t>
      </w:r>
      <w:r w:rsidRPr="00665B33">
        <w:rPr>
          <w:rFonts w:asciiTheme="minorHAnsi" w:hAnsiTheme="minorHAnsi" w:cstheme="minorHAnsi"/>
          <w:bCs/>
          <w:sz w:val="26"/>
          <w:szCs w:val="26"/>
        </w:rPr>
        <w:t>6,4 % v</w:t>
      </w:r>
      <w:r>
        <w:rPr>
          <w:rFonts w:asciiTheme="minorHAnsi" w:hAnsiTheme="minorHAnsi" w:cstheme="minorHAnsi"/>
          <w:bCs/>
          <w:sz w:val="26"/>
          <w:szCs w:val="26"/>
        </w:rPr>
        <w:t xml:space="preserve"> </w:t>
      </w:r>
      <w:r w:rsidRPr="00665B33">
        <w:rPr>
          <w:rFonts w:asciiTheme="minorHAnsi" w:hAnsiTheme="minorHAnsi" w:cstheme="minorHAnsi"/>
          <w:bCs/>
          <w:sz w:val="26"/>
          <w:szCs w:val="26"/>
        </w:rPr>
        <w:t xml:space="preserve">roce 2019 </w:t>
      </w:r>
      <w:r w:rsidRPr="00665B33">
        <w:rPr>
          <w:rFonts w:asciiTheme="minorHAnsi" w:hAnsiTheme="minorHAnsi" w:cstheme="minorHAnsi"/>
          <w:b/>
          <w:bCs/>
          <w:sz w:val="26"/>
          <w:szCs w:val="26"/>
        </w:rPr>
        <w:t>snížila na 4,4</w:t>
      </w:r>
      <w:r w:rsidRPr="00665B33">
        <w:rPr>
          <w:rFonts w:asciiTheme="minorHAnsi" w:hAnsiTheme="minorHAnsi" w:cs="Arial"/>
          <w:b/>
          <w:bCs/>
          <w:iCs/>
          <w:sz w:val="26"/>
          <w:szCs w:val="26"/>
        </w:rPr>
        <w:t> %</w:t>
      </w:r>
      <w:r w:rsidRPr="00665B33">
        <w:rPr>
          <w:rFonts w:asciiTheme="minorHAnsi" w:hAnsiTheme="minorHAnsi" w:cs="Arial"/>
          <w:b/>
          <w:iCs/>
          <w:sz w:val="26"/>
          <w:szCs w:val="26"/>
        </w:rPr>
        <w:t>,</w:t>
      </w:r>
    </w:p>
    <w:p w14:paraId="7FD97C6D" w14:textId="77777777" w:rsidR="00100DA4" w:rsidRDefault="00100DA4" w:rsidP="00100DA4">
      <w:pPr>
        <w:numPr>
          <w:ilvl w:val="0"/>
          <w:numId w:val="25"/>
        </w:numPr>
        <w:tabs>
          <w:tab w:val="num" w:pos="502"/>
        </w:tabs>
        <w:spacing w:after="240" w:line="360" w:lineRule="auto"/>
        <w:ind w:left="357" w:hanging="357"/>
        <w:jc w:val="both"/>
        <w:rPr>
          <w:rFonts w:asciiTheme="minorHAnsi" w:hAnsiTheme="minorHAnsi" w:cs="Arial"/>
          <w:b/>
          <w:bCs/>
          <w:sz w:val="26"/>
          <w:szCs w:val="26"/>
        </w:rPr>
      </w:pPr>
      <w:r w:rsidRPr="00665B33">
        <w:rPr>
          <w:rFonts w:asciiTheme="minorHAnsi" w:hAnsiTheme="minorHAnsi" w:cs="Arial"/>
          <w:bCs/>
          <w:iCs/>
          <w:sz w:val="26"/>
          <w:szCs w:val="26"/>
        </w:rPr>
        <w:lastRenderedPageBreak/>
        <w:t xml:space="preserve">nižší </w:t>
      </w:r>
      <w:r w:rsidRPr="00665B33">
        <w:rPr>
          <w:rFonts w:asciiTheme="minorHAnsi" w:hAnsiTheme="minorHAnsi" w:cstheme="minorHAnsi"/>
          <w:bCs/>
          <w:iCs/>
          <w:sz w:val="26"/>
          <w:szCs w:val="26"/>
        </w:rPr>
        <w:t>dynamika růstu průměrné nominální mzdy a zároveň mírně vyšší meziroční tempo růstu spotřebitelských cen v</w:t>
      </w:r>
      <w:r>
        <w:rPr>
          <w:rFonts w:asciiTheme="minorHAnsi" w:hAnsiTheme="minorHAnsi" w:cstheme="minorHAnsi"/>
          <w:bCs/>
          <w:iCs/>
          <w:sz w:val="26"/>
          <w:szCs w:val="26"/>
        </w:rPr>
        <w:t xml:space="preserve"> </w:t>
      </w:r>
      <w:r w:rsidRPr="00665B33">
        <w:rPr>
          <w:rFonts w:asciiTheme="minorHAnsi" w:hAnsiTheme="minorHAnsi" w:cstheme="minorHAnsi"/>
          <w:bCs/>
          <w:iCs/>
          <w:sz w:val="26"/>
          <w:szCs w:val="26"/>
        </w:rPr>
        <w:t>porovnání s</w:t>
      </w:r>
      <w:r>
        <w:rPr>
          <w:rFonts w:asciiTheme="minorHAnsi" w:hAnsiTheme="minorHAnsi" w:cstheme="minorHAnsi"/>
          <w:bCs/>
          <w:iCs/>
          <w:sz w:val="26"/>
          <w:szCs w:val="26"/>
        </w:rPr>
        <w:t xml:space="preserve"> </w:t>
      </w:r>
      <w:r w:rsidRPr="00665B33">
        <w:rPr>
          <w:rFonts w:asciiTheme="minorHAnsi" w:hAnsiTheme="minorHAnsi" w:cstheme="minorHAnsi"/>
          <w:bCs/>
          <w:iCs/>
          <w:sz w:val="26"/>
          <w:szCs w:val="26"/>
        </w:rPr>
        <w:t xml:space="preserve">rokem 2019 </w:t>
      </w:r>
      <w:r w:rsidRPr="00665B33">
        <w:rPr>
          <w:rFonts w:asciiTheme="minorHAnsi" w:hAnsiTheme="minorHAnsi" w:cstheme="minorHAnsi"/>
          <w:b/>
          <w:bCs/>
          <w:iCs/>
          <w:sz w:val="26"/>
          <w:szCs w:val="26"/>
        </w:rPr>
        <w:t>zapříčinily</w:t>
      </w:r>
      <w:r>
        <w:rPr>
          <w:rFonts w:asciiTheme="minorHAnsi" w:hAnsiTheme="minorHAnsi" w:cstheme="minorHAnsi"/>
          <w:b/>
          <w:bCs/>
          <w:iCs/>
          <w:sz w:val="26"/>
          <w:szCs w:val="26"/>
        </w:rPr>
        <w:t xml:space="preserve"> </w:t>
      </w:r>
      <w:r w:rsidRPr="00665B33">
        <w:rPr>
          <w:rFonts w:asciiTheme="minorHAnsi" w:hAnsiTheme="minorHAnsi" w:cstheme="minorHAnsi"/>
          <w:b/>
          <w:bCs/>
          <w:iCs/>
          <w:sz w:val="26"/>
          <w:szCs w:val="26"/>
        </w:rPr>
        <w:t>nejnižší posílení reálné úrovně průměrné mzdy od roku</w:t>
      </w:r>
      <w:r w:rsidRPr="00665B33">
        <w:rPr>
          <w:rFonts w:asciiTheme="minorHAnsi" w:hAnsiTheme="minorHAnsi" w:cs="Arial"/>
          <w:b/>
          <w:bCs/>
          <w:iCs/>
          <w:sz w:val="26"/>
          <w:szCs w:val="26"/>
        </w:rPr>
        <w:t xml:space="preserve"> 2013</w:t>
      </w:r>
      <w:r w:rsidRPr="00665B33">
        <w:rPr>
          <w:rFonts w:asciiTheme="minorHAnsi" w:hAnsiTheme="minorHAnsi" w:cs="Arial"/>
          <w:b/>
          <w:bCs/>
          <w:sz w:val="26"/>
          <w:szCs w:val="26"/>
        </w:rPr>
        <w:t>,</w:t>
      </w:r>
    </w:p>
    <w:p w14:paraId="55874CF8" w14:textId="77777777" w:rsidR="00100DA4" w:rsidRDefault="00100DA4" w:rsidP="00100DA4">
      <w:pPr>
        <w:numPr>
          <w:ilvl w:val="0"/>
          <w:numId w:val="25"/>
        </w:numPr>
        <w:tabs>
          <w:tab w:val="num" w:pos="502"/>
        </w:tabs>
        <w:spacing w:after="240" w:line="360" w:lineRule="auto"/>
        <w:ind w:left="357" w:hanging="357"/>
        <w:jc w:val="both"/>
        <w:rPr>
          <w:rFonts w:ascii="Calibri" w:hAnsi="Calibri" w:cs="Calibri"/>
          <w:b/>
          <w:bCs/>
          <w:sz w:val="26"/>
          <w:szCs w:val="26"/>
        </w:rPr>
      </w:pPr>
      <w:r w:rsidRPr="00C50DEA">
        <w:rPr>
          <w:rFonts w:ascii="Calibri" w:hAnsi="Calibri" w:cs="Calibri"/>
          <w:b/>
          <w:sz w:val="26"/>
          <w:szCs w:val="26"/>
        </w:rPr>
        <w:t>příjmy domácností sociálního charakteru</w:t>
      </w:r>
      <w:r w:rsidRPr="00C50DEA">
        <w:rPr>
          <w:rFonts w:ascii="Calibri" w:hAnsi="Calibri" w:cs="Calibri"/>
          <w:sz w:val="26"/>
          <w:szCs w:val="26"/>
        </w:rPr>
        <w:t xml:space="preserve"> – druhé nejvýznamnější složky úhrnných příjmů domácností – </w:t>
      </w:r>
      <w:r w:rsidRPr="00C50DEA">
        <w:rPr>
          <w:rFonts w:ascii="Calibri" w:hAnsi="Calibri" w:cs="Calibri"/>
          <w:b/>
          <w:sz w:val="26"/>
          <w:szCs w:val="26"/>
        </w:rPr>
        <w:t>vzrostly</w:t>
      </w:r>
      <w:r w:rsidRPr="00C50DEA">
        <w:rPr>
          <w:rFonts w:ascii="Calibri" w:hAnsi="Calibri" w:cs="Calibri"/>
          <w:sz w:val="26"/>
          <w:szCs w:val="26"/>
        </w:rPr>
        <w:t xml:space="preserve"> jak nominálně (o 14,3</w:t>
      </w:r>
      <w:r>
        <w:rPr>
          <w:rFonts w:ascii="Calibri" w:hAnsi="Calibri" w:cs="Calibri"/>
          <w:sz w:val="26"/>
          <w:szCs w:val="26"/>
        </w:rPr>
        <w:t> </w:t>
      </w:r>
      <w:r w:rsidRPr="00C50DEA">
        <w:rPr>
          <w:rFonts w:ascii="Calibri" w:hAnsi="Calibri" w:cs="Calibri"/>
          <w:sz w:val="26"/>
          <w:szCs w:val="26"/>
        </w:rPr>
        <w:t>%), tak i reálně (o</w:t>
      </w:r>
      <w:r>
        <w:rPr>
          <w:rFonts w:ascii="Calibri" w:hAnsi="Calibri" w:cs="Calibri"/>
          <w:sz w:val="26"/>
          <w:szCs w:val="26"/>
        </w:rPr>
        <w:t xml:space="preserve"> </w:t>
      </w:r>
      <w:r w:rsidRPr="00C50DEA">
        <w:rPr>
          <w:rFonts w:ascii="Calibri" w:hAnsi="Calibri" w:cs="Calibri"/>
          <w:sz w:val="26"/>
          <w:szCs w:val="26"/>
        </w:rPr>
        <w:t>10,8</w:t>
      </w:r>
      <w:r>
        <w:rPr>
          <w:rFonts w:ascii="Calibri" w:hAnsi="Calibri" w:cs="Calibri"/>
          <w:sz w:val="26"/>
          <w:szCs w:val="26"/>
        </w:rPr>
        <w:t> </w:t>
      </w:r>
      <w:r w:rsidRPr="00C50DEA">
        <w:rPr>
          <w:rFonts w:ascii="Calibri" w:hAnsi="Calibri" w:cs="Calibri"/>
          <w:sz w:val="26"/>
          <w:szCs w:val="26"/>
        </w:rPr>
        <w:t xml:space="preserve">%). </w:t>
      </w:r>
      <w:r w:rsidRPr="00C50DEA">
        <w:rPr>
          <w:rFonts w:ascii="Calibri" w:hAnsi="Calibri" w:cs="Calibri"/>
          <w:b/>
          <w:sz w:val="26"/>
          <w:szCs w:val="26"/>
        </w:rPr>
        <w:t>Pokles</w:t>
      </w:r>
      <w:r w:rsidRPr="00C50DEA">
        <w:rPr>
          <w:rFonts w:ascii="Calibri" w:hAnsi="Calibri" w:cs="Calibri"/>
          <w:sz w:val="26"/>
          <w:szCs w:val="26"/>
        </w:rPr>
        <w:t xml:space="preserve"> byl zaznamenán </w:t>
      </w:r>
      <w:r w:rsidRPr="00C50DEA">
        <w:rPr>
          <w:rFonts w:ascii="Calibri" w:hAnsi="Calibri" w:cs="Calibri"/>
          <w:b/>
          <w:sz w:val="26"/>
          <w:szCs w:val="26"/>
        </w:rPr>
        <w:t>pouze</w:t>
      </w:r>
      <w:r w:rsidRPr="00C50DEA">
        <w:rPr>
          <w:rFonts w:ascii="Calibri" w:hAnsi="Calibri" w:cs="Calibri"/>
          <w:sz w:val="26"/>
          <w:szCs w:val="26"/>
        </w:rPr>
        <w:t xml:space="preserve"> </w:t>
      </w:r>
      <w:r w:rsidRPr="00C50DEA">
        <w:rPr>
          <w:rFonts w:ascii="Calibri" w:hAnsi="Calibri" w:cs="Calibri"/>
          <w:b/>
          <w:sz w:val="26"/>
          <w:szCs w:val="26"/>
        </w:rPr>
        <w:t>u dávek pro osoby se zdravotním postižením</w:t>
      </w:r>
      <w:r w:rsidRPr="00C50DEA">
        <w:rPr>
          <w:rFonts w:ascii="Calibri" w:hAnsi="Calibri" w:cs="Calibri"/>
          <w:sz w:val="26"/>
          <w:szCs w:val="26"/>
        </w:rPr>
        <w:t>. Příjmy občanů ze všech ostatních sociálních dávek se zvýšily,</w:t>
      </w:r>
    </w:p>
    <w:p w14:paraId="42A0AB2C" w14:textId="77777777" w:rsidR="00100DA4" w:rsidRDefault="00100DA4" w:rsidP="00100DA4">
      <w:pPr>
        <w:numPr>
          <w:ilvl w:val="0"/>
          <w:numId w:val="25"/>
        </w:numPr>
        <w:tabs>
          <w:tab w:val="num" w:pos="502"/>
        </w:tabs>
        <w:spacing w:after="240" w:line="360" w:lineRule="auto"/>
        <w:ind w:left="357" w:hanging="357"/>
        <w:jc w:val="both"/>
        <w:rPr>
          <w:rFonts w:ascii="Calibri" w:hAnsi="Calibri" w:cs="Calibri"/>
          <w:b/>
          <w:bCs/>
          <w:sz w:val="26"/>
          <w:szCs w:val="26"/>
        </w:rPr>
      </w:pPr>
      <w:r w:rsidRPr="00C50DEA">
        <w:rPr>
          <w:rFonts w:ascii="Calibri" w:hAnsi="Calibri" w:cs="Calibri"/>
          <w:b/>
          <w:sz w:val="26"/>
          <w:szCs w:val="26"/>
        </w:rPr>
        <w:t>v</w:t>
      </w:r>
      <w:r>
        <w:rPr>
          <w:rFonts w:ascii="Calibri" w:hAnsi="Calibri" w:cs="Calibri"/>
          <w:b/>
          <w:sz w:val="26"/>
          <w:szCs w:val="26"/>
        </w:rPr>
        <w:t xml:space="preserve"> </w:t>
      </w:r>
      <w:r w:rsidRPr="00C50DEA">
        <w:rPr>
          <w:rFonts w:ascii="Calibri" w:hAnsi="Calibri" w:cs="Calibri"/>
          <w:b/>
          <w:sz w:val="26"/>
          <w:szCs w:val="26"/>
        </w:rPr>
        <w:t>prosinci 2020 dosáhla průměrná výše</w:t>
      </w:r>
      <w:r w:rsidRPr="00C50DEA">
        <w:rPr>
          <w:rFonts w:ascii="Calibri" w:hAnsi="Calibri" w:cs="Calibri"/>
          <w:sz w:val="26"/>
          <w:szCs w:val="26"/>
        </w:rPr>
        <w:t xml:space="preserve"> (samostatně vypláceného) </w:t>
      </w:r>
      <w:r w:rsidRPr="00C50DEA">
        <w:rPr>
          <w:rFonts w:ascii="Calibri" w:hAnsi="Calibri" w:cs="Calibri"/>
          <w:b/>
          <w:sz w:val="26"/>
          <w:szCs w:val="26"/>
        </w:rPr>
        <w:t>starobního důchodu</w:t>
      </w:r>
      <w:r w:rsidRPr="00C50DEA">
        <w:rPr>
          <w:rFonts w:ascii="Calibri" w:hAnsi="Calibri" w:cs="Calibri"/>
          <w:sz w:val="26"/>
          <w:szCs w:val="26"/>
        </w:rPr>
        <w:t xml:space="preserve"> úrovně </w:t>
      </w:r>
      <w:r w:rsidRPr="00C50DEA">
        <w:rPr>
          <w:rFonts w:ascii="Calibri" w:hAnsi="Calibri" w:cs="Calibri"/>
          <w:b/>
          <w:sz w:val="26"/>
          <w:szCs w:val="26"/>
        </w:rPr>
        <w:t>14</w:t>
      </w:r>
      <w:r>
        <w:rPr>
          <w:rFonts w:ascii="Calibri" w:hAnsi="Calibri" w:cs="Calibri"/>
          <w:b/>
          <w:sz w:val="26"/>
          <w:szCs w:val="26"/>
        </w:rPr>
        <w:t> </w:t>
      </w:r>
      <w:r w:rsidRPr="00C50DEA">
        <w:rPr>
          <w:rFonts w:ascii="Calibri" w:hAnsi="Calibri" w:cs="Calibri"/>
          <w:b/>
          <w:sz w:val="26"/>
          <w:szCs w:val="26"/>
        </w:rPr>
        <w:t>502</w:t>
      </w:r>
      <w:r>
        <w:rPr>
          <w:rFonts w:ascii="Calibri" w:hAnsi="Calibri" w:cs="Calibri"/>
          <w:b/>
          <w:sz w:val="26"/>
          <w:szCs w:val="26"/>
        </w:rPr>
        <w:t> </w:t>
      </w:r>
      <w:r w:rsidRPr="00C50DEA">
        <w:rPr>
          <w:rFonts w:ascii="Calibri" w:hAnsi="Calibri" w:cs="Calibri"/>
          <w:b/>
          <w:sz w:val="26"/>
          <w:szCs w:val="26"/>
        </w:rPr>
        <w:t>Kč</w:t>
      </w:r>
      <w:r w:rsidRPr="00C50DEA">
        <w:rPr>
          <w:rFonts w:ascii="Calibri" w:hAnsi="Calibri" w:cs="Calibri"/>
          <w:sz w:val="26"/>
          <w:szCs w:val="26"/>
        </w:rPr>
        <w:t xml:space="preserve"> a srovnatelnou skutečnost za rok 2019 překročila o</w:t>
      </w:r>
      <w:r>
        <w:rPr>
          <w:rFonts w:ascii="Calibri" w:hAnsi="Calibri" w:cs="Calibri"/>
          <w:sz w:val="26"/>
          <w:szCs w:val="26"/>
        </w:rPr>
        <w:t> </w:t>
      </w:r>
      <w:r w:rsidRPr="00C50DEA">
        <w:rPr>
          <w:rFonts w:ascii="Calibri" w:hAnsi="Calibri" w:cs="Calibri"/>
          <w:sz w:val="26"/>
          <w:szCs w:val="26"/>
        </w:rPr>
        <w:t>7,5</w:t>
      </w:r>
      <w:r>
        <w:rPr>
          <w:rFonts w:ascii="Calibri" w:hAnsi="Calibri" w:cs="Calibri"/>
          <w:sz w:val="26"/>
          <w:szCs w:val="26"/>
        </w:rPr>
        <w:t> </w:t>
      </w:r>
      <w:r w:rsidRPr="00C50DEA">
        <w:rPr>
          <w:rFonts w:ascii="Calibri" w:hAnsi="Calibri" w:cs="Calibri"/>
          <w:sz w:val="26"/>
          <w:szCs w:val="26"/>
        </w:rPr>
        <w:t>%; celkový počet důchodců se ke stejnému datu meziročně snížil o 16,1</w:t>
      </w:r>
      <w:r>
        <w:rPr>
          <w:rFonts w:ascii="Calibri" w:hAnsi="Calibri" w:cs="Calibri"/>
          <w:sz w:val="26"/>
          <w:szCs w:val="26"/>
        </w:rPr>
        <w:t> </w:t>
      </w:r>
      <w:r w:rsidRPr="00C50DEA">
        <w:rPr>
          <w:rFonts w:ascii="Calibri" w:hAnsi="Calibri" w:cs="Calibri"/>
          <w:sz w:val="26"/>
          <w:szCs w:val="26"/>
        </w:rPr>
        <w:t>tis.,</w:t>
      </w:r>
    </w:p>
    <w:p w14:paraId="28D39219" w14:textId="77777777" w:rsidR="00100DA4" w:rsidRDefault="00100DA4" w:rsidP="00100DA4">
      <w:pPr>
        <w:numPr>
          <w:ilvl w:val="0"/>
          <w:numId w:val="25"/>
        </w:numPr>
        <w:tabs>
          <w:tab w:val="num" w:pos="502"/>
        </w:tabs>
        <w:spacing w:after="240" w:line="360" w:lineRule="auto"/>
        <w:ind w:left="357" w:hanging="357"/>
        <w:jc w:val="both"/>
        <w:rPr>
          <w:rFonts w:ascii="Calibri" w:hAnsi="Calibri" w:cs="Calibri"/>
          <w:b/>
          <w:bCs/>
          <w:sz w:val="26"/>
          <w:szCs w:val="26"/>
        </w:rPr>
      </w:pPr>
      <w:r w:rsidRPr="00C50DEA">
        <w:rPr>
          <w:rFonts w:ascii="Calibri" w:hAnsi="Calibri" w:cs="Calibri"/>
          <w:b/>
          <w:sz w:val="26"/>
          <w:szCs w:val="26"/>
        </w:rPr>
        <w:t xml:space="preserve">na dávkách nemocenského pojištění </w:t>
      </w:r>
      <w:r w:rsidRPr="00C50DEA">
        <w:rPr>
          <w:rFonts w:ascii="Calibri" w:hAnsi="Calibri" w:cs="Calibri"/>
          <w:sz w:val="26"/>
          <w:szCs w:val="26"/>
        </w:rPr>
        <w:t xml:space="preserve">bylo vyplaceno </w:t>
      </w:r>
      <w:r w:rsidRPr="00C50DEA">
        <w:rPr>
          <w:rFonts w:ascii="Calibri" w:hAnsi="Calibri" w:cs="Calibri"/>
          <w:b/>
          <w:sz w:val="26"/>
          <w:szCs w:val="26"/>
        </w:rPr>
        <w:t>o 42,0</w:t>
      </w:r>
      <w:r>
        <w:rPr>
          <w:rFonts w:ascii="Calibri" w:hAnsi="Calibri" w:cs="Calibri"/>
          <w:b/>
          <w:sz w:val="26"/>
          <w:szCs w:val="26"/>
        </w:rPr>
        <w:t> </w:t>
      </w:r>
      <w:r w:rsidRPr="00C50DEA">
        <w:rPr>
          <w:rFonts w:ascii="Calibri" w:hAnsi="Calibri" w:cs="Calibri"/>
          <w:b/>
          <w:sz w:val="26"/>
          <w:szCs w:val="26"/>
        </w:rPr>
        <w:t>%</w:t>
      </w:r>
      <w:r w:rsidRPr="00C50DEA">
        <w:rPr>
          <w:rFonts w:ascii="Calibri" w:hAnsi="Calibri" w:cs="Calibri"/>
          <w:sz w:val="26"/>
          <w:szCs w:val="26"/>
        </w:rPr>
        <w:t xml:space="preserve"> finančních prostředků </w:t>
      </w:r>
      <w:r w:rsidRPr="00C50DEA">
        <w:rPr>
          <w:rFonts w:ascii="Calibri" w:hAnsi="Calibri" w:cs="Calibri"/>
          <w:b/>
          <w:sz w:val="26"/>
          <w:szCs w:val="26"/>
        </w:rPr>
        <w:t>více</w:t>
      </w:r>
      <w:r w:rsidRPr="00C50DEA">
        <w:rPr>
          <w:rFonts w:ascii="Calibri" w:hAnsi="Calibri" w:cs="Calibri"/>
          <w:sz w:val="26"/>
          <w:szCs w:val="26"/>
        </w:rPr>
        <w:t xml:space="preserve"> než ve stejném období předchozího roku, nejvýrazněji se </w:t>
      </w:r>
      <w:r w:rsidRPr="00C50DEA">
        <w:rPr>
          <w:rFonts w:ascii="Calibri" w:hAnsi="Calibri" w:cs="Calibri"/>
          <w:b/>
          <w:sz w:val="26"/>
          <w:szCs w:val="26"/>
        </w:rPr>
        <w:t>zvýšily</w:t>
      </w:r>
      <w:r w:rsidRPr="00C50DEA">
        <w:rPr>
          <w:rFonts w:ascii="Calibri" w:hAnsi="Calibri" w:cs="Calibri"/>
          <w:sz w:val="26"/>
          <w:szCs w:val="26"/>
        </w:rPr>
        <w:t xml:space="preserve"> výdaje na </w:t>
      </w:r>
      <w:r w:rsidRPr="00C50DEA">
        <w:rPr>
          <w:rFonts w:ascii="Calibri" w:hAnsi="Calibri" w:cs="Calibri"/>
          <w:b/>
          <w:sz w:val="26"/>
          <w:szCs w:val="26"/>
        </w:rPr>
        <w:t>ošetřovné</w:t>
      </w:r>
      <w:r w:rsidRPr="00C50DEA">
        <w:rPr>
          <w:rFonts w:ascii="Calibri" w:hAnsi="Calibri" w:cs="Calibri"/>
          <w:sz w:val="26"/>
          <w:szCs w:val="26"/>
        </w:rPr>
        <w:t xml:space="preserve"> (</w:t>
      </w:r>
      <w:r w:rsidRPr="00C50DEA">
        <w:rPr>
          <w:rFonts w:ascii="Calibri" w:hAnsi="Calibri" w:cs="Calibri"/>
          <w:b/>
          <w:sz w:val="26"/>
          <w:szCs w:val="26"/>
        </w:rPr>
        <w:t>o 562,8</w:t>
      </w:r>
      <w:r>
        <w:rPr>
          <w:rFonts w:ascii="Calibri" w:hAnsi="Calibri" w:cs="Calibri"/>
          <w:b/>
          <w:sz w:val="26"/>
          <w:szCs w:val="26"/>
        </w:rPr>
        <w:t> </w:t>
      </w:r>
      <w:r w:rsidRPr="00C50DEA">
        <w:rPr>
          <w:rFonts w:ascii="Calibri" w:hAnsi="Calibri" w:cs="Calibri"/>
          <w:b/>
          <w:sz w:val="26"/>
          <w:szCs w:val="26"/>
        </w:rPr>
        <w:t>%</w:t>
      </w:r>
      <w:r w:rsidRPr="00C50DEA">
        <w:rPr>
          <w:rFonts w:ascii="Calibri" w:hAnsi="Calibri" w:cs="Calibri"/>
          <w:sz w:val="26"/>
          <w:szCs w:val="26"/>
        </w:rPr>
        <w:t>); nárůst byl způsoben zejména přijatými sociálními opatřeními vlády v</w:t>
      </w:r>
      <w:r>
        <w:rPr>
          <w:rFonts w:ascii="Calibri" w:hAnsi="Calibri" w:cs="Calibri"/>
          <w:sz w:val="26"/>
          <w:szCs w:val="26"/>
        </w:rPr>
        <w:t xml:space="preserve"> </w:t>
      </w:r>
      <w:r w:rsidRPr="00C50DEA">
        <w:rPr>
          <w:rFonts w:ascii="Calibri" w:hAnsi="Calibri" w:cs="Calibri"/>
          <w:sz w:val="26"/>
          <w:szCs w:val="26"/>
        </w:rPr>
        <w:t>souvislosti s</w:t>
      </w:r>
      <w:r>
        <w:rPr>
          <w:rFonts w:ascii="Calibri" w:hAnsi="Calibri" w:cs="Calibri"/>
          <w:sz w:val="26"/>
          <w:szCs w:val="26"/>
        </w:rPr>
        <w:t xml:space="preserve"> </w:t>
      </w:r>
      <w:r w:rsidRPr="00C50DEA">
        <w:rPr>
          <w:rFonts w:ascii="Calibri" w:hAnsi="Calibri" w:cs="Calibri"/>
          <w:sz w:val="26"/>
          <w:szCs w:val="26"/>
        </w:rPr>
        <w:t>pandemií viru SARS-CoV-2,</w:t>
      </w:r>
    </w:p>
    <w:p w14:paraId="57989E20" w14:textId="77777777" w:rsidR="00100DA4" w:rsidRPr="00861959" w:rsidRDefault="00100DA4" w:rsidP="00100DA4">
      <w:pPr>
        <w:numPr>
          <w:ilvl w:val="0"/>
          <w:numId w:val="25"/>
        </w:numPr>
        <w:tabs>
          <w:tab w:val="num" w:pos="502"/>
        </w:tabs>
        <w:spacing w:after="240" w:line="360" w:lineRule="auto"/>
        <w:ind w:left="357" w:hanging="357"/>
        <w:jc w:val="both"/>
        <w:rPr>
          <w:rFonts w:ascii="Calibri" w:hAnsi="Calibri" w:cs="Calibri"/>
          <w:b/>
          <w:bCs/>
          <w:sz w:val="26"/>
          <w:szCs w:val="26"/>
        </w:rPr>
      </w:pPr>
      <w:r w:rsidRPr="00C50DEA">
        <w:rPr>
          <w:rFonts w:ascii="Calibri" w:hAnsi="Calibri" w:cs="Calibri"/>
          <w:sz w:val="26"/>
          <w:szCs w:val="26"/>
        </w:rPr>
        <w:t>na podporu v</w:t>
      </w:r>
      <w:r>
        <w:rPr>
          <w:rFonts w:ascii="Calibri" w:hAnsi="Calibri" w:cs="Calibri"/>
          <w:sz w:val="26"/>
          <w:szCs w:val="26"/>
        </w:rPr>
        <w:t xml:space="preserve"> </w:t>
      </w:r>
      <w:r w:rsidRPr="00C50DEA">
        <w:rPr>
          <w:rFonts w:ascii="Calibri" w:hAnsi="Calibri" w:cs="Calibri"/>
          <w:sz w:val="26"/>
          <w:szCs w:val="26"/>
        </w:rPr>
        <w:t>nezaměstnanosti bylo čerpáno o 2,4</w:t>
      </w:r>
      <w:r>
        <w:rPr>
          <w:rFonts w:ascii="Calibri" w:hAnsi="Calibri" w:cs="Calibri"/>
          <w:sz w:val="26"/>
          <w:szCs w:val="26"/>
        </w:rPr>
        <w:t> </w:t>
      </w:r>
      <w:r w:rsidRPr="00C50DEA">
        <w:rPr>
          <w:rFonts w:ascii="Calibri" w:hAnsi="Calibri" w:cs="Calibri"/>
          <w:sz w:val="26"/>
          <w:szCs w:val="26"/>
        </w:rPr>
        <w:t>mld.</w:t>
      </w:r>
      <w:r>
        <w:rPr>
          <w:rFonts w:ascii="Calibri" w:hAnsi="Calibri" w:cs="Calibri"/>
          <w:sz w:val="26"/>
          <w:szCs w:val="26"/>
        </w:rPr>
        <w:t> </w:t>
      </w:r>
      <w:r w:rsidRPr="00C50DEA">
        <w:rPr>
          <w:rFonts w:ascii="Calibri" w:hAnsi="Calibri" w:cs="Calibri"/>
          <w:sz w:val="26"/>
          <w:szCs w:val="26"/>
        </w:rPr>
        <w:t>Kč (o 29,7</w:t>
      </w:r>
      <w:r>
        <w:rPr>
          <w:rFonts w:ascii="Calibri" w:hAnsi="Calibri" w:cs="Calibri"/>
          <w:sz w:val="26"/>
          <w:szCs w:val="26"/>
        </w:rPr>
        <w:t> </w:t>
      </w:r>
      <w:r w:rsidRPr="00C50DEA">
        <w:rPr>
          <w:rFonts w:ascii="Calibri" w:hAnsi="Calibri" w:cs="Calibri"/>
          <w:sz w:val="26"/>
          <w:szCs w:val="26"/>
        </w:rPr>
        <w:t>%) více než v</w:t>
      </w:r>
      <w:r>
        <w:rPr>
          <w:rFonts w:ascii="Calibri" w:hAnsi="Calibri" w:cs="Calibri"/>
          <w:sz w:val="26"/>
          <w:szCs w:val="26"/>
        </w:rPr>
        <w:t xml:space="preserve"> </w:t>
      </w:r>
      <w:r w:rsidRPr="00C50DEA">
        <w:rPr>
          <w:rFonts w:ascii="Calibri" w:hAnsi="Calibri" w:cs="Calibri"/>
          <w:sz w:val="26"/>
          <w:szCs w:val="26"/>
        </w:rPr>
        <w:t xml:space="preserve">roce 2019; </w:t>
      </w:r>
      <w:r w:rsidRPr="00C50DEA">
        <w:rPr>
          <w:rFonts w:ascii="Calibri" w:hAnsi="Calibri" w:cs="Calibri"/>
          <w:b/>
          <w:sz w:val="26"/>
          <w:szCs w:val="26"/>
        </w:rPr>
        <w:t>průměrný podíl nezaměstnaných osob se zvýšil</w:t>
      </w:r>
      <w:r w:rsidRPr="00C50DEA">
        <w:rPr>
          <w:rFonts w:ascii="Calibri" w:hAnsi="Calibri" w:cs="Calibri"/>
          <w:sz w:val="26"/>
          <w:szCs w:val="26"/>
        </w:rPr>
        <w:t xml:space="preserve"> o 0,7</w:t>
      </w:r>
      <w:r>
        <w:rPr>
          <w:rFonts w:ascii="Calibri" w:hAnsi="Calibri" w:cs="Calibri"/>
          <w:sz w:val="26"/>
          <w:szCs w:val="26"/>
        </w:rPr>
        <w:t> </w:t>
      </w:r>
      <w:r w:rsidRPr="00C50DEA">
        <w:rPr>
          <w:rFonts w:ascii="Calibri" w:hAnsi="Calibri" w:cs="Calibri"/>
          <w:sz w:val="26"/>
          <w:szCs w:val="26"/>
        </w:rPr>
        <w:t>p.</w:t>
      </w:r>
      <w:r>
        <w:rPr>
          <w:rFonts w:ascii="Calibri" w:hAnsi="Calibri" w:cs="Calibri"/>
          <w:sz w:val="26"/>
          <w:szCs w:val="26"/>
        </w:rPr>
        <w:t> </w:t>
      </w:r>
      <w:r w:rsidRPr="00C50DEA">
        <w:rPr>
          <w:rFonts w:ascii="Calibri" w:hAnsi="Calibri" w:cs="Calibri"/>
          <w:sz w:val="26"/>
          <w:szCs w:val="26"/>
        </w:rPr>
        <w:t xml:space="preserve">b. </w:t>
      </w:r>
      <w:r w:rsidRPr="00C50DEA">
        <w:rPr>
          <w:rFonts w:ascii="Calibri" w:hAnsi="Calibri" w:cs="Calibri"/>
          <w:b/>
          <w:sz w:val="26"/>
          <w:szCs w:val="26"/>
        </w:rPr>
        <w:t>na 3,5</w:t>
      </w:r>
      <w:r>
        <w:rPr>
          <w:rFonts w:ascii="Calibri" w:hAnsi="Calibri" w:cs="Calibri"/>
          <w:b/>
          <w:sz w:val="26"/>
          <w:szCs w:val="26"/>
        </w:rPr>
        <w:t> </w:t>
      </w:r>
      <w:r w:rsidRPr="00C50DEA">
        <w:rPr>
          <w:rFonts w:ascii="Calibri" w:hAnsi="Calibri" w:cs="Calibri"/>
          <w:b/>
          <w:sz w:val="26"/>
          <w:szCs w:val="26"/>
        </w:rPr>
        <w:t>%</w:t>
      </w:r>
      <w:r w:rsidRPr="00C50DEA">
        <w:rPr>
          <w:rFonts w:ascii="Calibri" w:hAnsi="Calibri" w:cs="Calibri"/>
          <w:sz w:val="26"/>
          <w:szCs w:val="26"/>
        </w:rPr>
        <w:t xml:space="preserve">; </w:t>
      </w:r>
      <w:r w:rsidRPr="00C50DEA">
        <w:rPr>
          <w:rFonts w:ascii="Calibri" w:hAnsi="Calibri" w:cs="Calibri"/>
          <w:b/>
          <w:sz w:val="26"/>
          <w:szCs w:val="26"/>
        </w:rPr>
        <w:t>průměrná výše podpory v</w:t>
      </w:r>
      <w:r>
        <w:rPr>
          <w:rFonts w:ascii="Calibri" w:hAnsi="Calibri" w:cs="Calibri"/>
          <w:b/>
          <w:sz w:val="26"/>
          <w:szCs w:val="26"/>
        </w:rPr>
        <w:t xml:space="preserve"> </w:t>
      </w:r>
      <w:r w:rsidRPr="00C50DEA">
        <w:rPr>
          <w:rFonts w:ascii="Calibri" w:hAnsi="Calibri" w:cs="Calibri"/>
          <w:b/>
          <w:sz w:val="26"/>
          <w:szCs w:val="26"/>
        </w:rPr>
        <w:t>nezaměstnanosti</w:t>
      </w:r>
      <w:r w:rsidRPr="00C50DEA">
        <w:rPr>
          <w:rFonts w:ascii="Calibri" w:hAnsi="Calibri" w:cs="Calibri"/>
          <w:sz w:val="26"/>
          <w:szCs w:val="26"/>
        </w:rPr>
        <w:t xml:space="preserve"> činila </w:t>
      </w:r>
      <w:r w:rsidRPr="00C50DEA">
        <w:rPr>
          <w:rFonts w:ascii="Calibri" w:hAnsi="Calibri" w:cs="Calibri"/>
          <w:b/>
          <w:sz w:val="26"/>
          <w:szCs w:val="26"/>
        </w:rPr>
        <w:t>8</w:t>
      </w:r>
      <w:r>
        <w:rPr>
          <w:rFonts w:ascii="Calibri" w:hAnsi="Calibri" w:cs="Calibri"/>
          <w:b/>
          <w:sz w:val="26"/>
          <w:szCs w:val="26"/>
        </w:rPr>
        <w:t> </w:t>
      </w:r>
      <w:r w:rsidRPr="00C50DEA">
        <w:rPr>
          <w:rFonts w:ascii="Calibri" w:hAnsi="Calibri" w:cs="Calibri"/>
          <w:b/>
          <w:sz w:val="26"/>
          <w:szCs w:val="26"/>
        </w:rPr>
        <w:t xml:space="preserve">534 Kč </w:t>
      </w:r>
      <w:r w:rsidRPr="00C50DEA">
        <w:rPr>
          <w:rFonts w:ascii="Calibri" w:hAnsi="Calibri" w:cs="Calibri"/>
          <w:sz w:val="26"/>
          <w:szCs w:val="26"/>
        </w:rPr>
        <w:t>a byla o</w:t>
      </w:r>
      <w:r>
        <w:rPr>
          <w:rFonts w:ascii="Calibri" w:hAnsi="Calibri" w:cs="Calibri"/>
          <w:sz w:val="26"/>
          <w:szCs w:val="26"/>
        </w:rPr>
        <w:t xml:space="preserve"> </w:t>
      </w:r>
      <w:r w:rsidRPr="00C50DEA">
        <w:rPr>
          <w:rFonts w:ascii="Calibri" w:hAnsi="Calibri" w:cs="Calibri"/>
          <w:sz w:val="26"/>
          <w:szCs w:val="26"/>
        </w:rPr>
        <w:t>612</w:t>
      </w:r>
      <w:r>
        <w:rPr>
          <w:rFonts w:ascii="Calibri" w:hAnsi="Calibri" w:cs="Calibri"/>
          <w:sz w:val="26"/>
          <w:szCs w:val="26"/>
        </w:rPr>
        <w:t> </w:t>
      </w:r>
      <w:r w:rsidRPr="00C50DEA">
        <w:rPr>
          <w:rFonts w:ascii="Calibri" w:hAnsi="Calibri" w:cs="Calibri"/>
          <w:sz w:val="26"/>
          <w:szCs w:val="26"/>
        </w:rPr>
        <w:t xml:space="preserve">Kč </w:t>
      </w:r>
      <w:r w:rsidRPr="00C50DEA">
        <w:rPr>
          <w:rFonts w:ascii="Calibri" w:hAnsi="Calibri" w:cs="Calibri"/>
          <w:b/>
          <w:sz w:val="26"/>
          <w:szCs w:val="26"/>
        </w:rPr>
        <w:t>vyšší</w:t>
      </w:r>
      <w:r w:rsidRPr="00C50DEA">
        <w:rPr>
          <w:rFonts w:ascii="Calibri" w:hAnsi="Calibri" w:cs="Calibri"/>
          <w:sz w:val="26"/>
          <w:szCs w:val="26"/>
        </w:rPr>
        <w:t xml:space="preserve"> </w:t>
      </w:r>
      <w:r w:rsidRPr="00861959">
        <w:rPr>
          <w:rFonts w:ascii="Calibri" w:hAnsi="Calibri" w:cs="Calibri"/>
          <w:sz w:val="26"/>
          <w:szCs w:val="26"/>
        </w:rPr>
        <w:t>než v</w:t>
      </w:r>
      <w:r>
        <w:rPr>
          <w:rFonts w:ascii="Calibri" w:hAnsi="Calibri" w:cs="Calibri"/>
          <w:sz w:val="26"/>
          <w:szCs w:val="26"/>
        </w:rPr>
        <w:t xml:space="preserve"> </w:t>
      </w:r>
      <w:r w:rsidRPr="00861959">
        <w:rPr>
          <w:rFonts w:ascii="Calibri" w:hAnsi="Calibri" w:cs="Calibri"/>
          <w:sz w:val="26"/>
          <w:szCs w:val="26"/>
        </w:rPr>
        <w:t>roce 2019,</w:t>
      </w:r>
    </w:p>
    <w:p w14:paraId="14F711B0" w14:textId="44224FAE" w:rsidR="00100DA4" w:rsidRPr="00C15BB1" w:rsidRDefault="00100DA4" w:rsidP="00100DA4">
      <w:pPr>
        <w:numPr>
          <w:ilvl w:val="0"/>
          <w:numId w:val="25"/>
        </w:numPr>
        <w:spacing w:after="240" w:line="360" w:lineRule="auto"/>
        <w:ind w:left="357" w:hanging="357"/>
        <w:jc w:val="both"/>
        <w:rPr>
          <w:rFonts w:asciiTheme="minorHAnsi" w:hAnsiTheme="minorHAnsi" w:cs="Arial"/>
          <w:sz w:val="26"/>
          <w:szCs w:val="26"/>
        </w:rPr>
      </w:pPr>
      <w:r w:rsidRPr="00861959">
        <w:rPr>
          <w:rFonts w:asciiTheme="minorHAnsi" w:hAnsiTheme="minorHAnsi" w:cs="Arial"/>
          <w:b/>
          <w:sz w:val="26"/>
          <w:szCs w:val="26"/>
        </w:rPr>
        <w:t>průměrná meziroční</w:t>
      </w:r>
      <w:r w:rsidRPr="00861959">
        <w:rPr>
          <w:rFonts w:asciiTheme="minorHAnsi" w:hAnsiTheme="minorHAnsi" w:cs="Arial"/>
          <w:b/>
          <w:bCs/>
          <w:sz w:val="26"/>
          <w:szCs w:val="26"/>
        </w:rPr>
        <w:t xml:space="preserve"> míra cenové inflace činila 3</w:t>
      </w:r>
      <w:r w:rsidRPr="00861959">
        <w:rPr>
          <w:rFonts w:asciiTheme="minorHAnsi" w:hAnsiTheme="minorHAnsi" w:cs="Arial"/>
          <w:b/>
          <w:sz w:val="26"/>
          <w:szCs w:val="26"/>
        </w:rPr>
        <w:t xml:space="preserve">,2 % </w:t>
      </w:r>
      <w:r w:rsidRPr="00861959">
        <w:rPr>
          <w:rFonts w:asciiTheme="minorHAnsi" w:hAnsiTheme="minorHAnsi" w:cs="Arial"/>
          <w:sz w:val="26"/>
          <w:szCs w:val="26"/>
        </w:rPr>
        <w:t>– největší vliv na růst cenové hladiny v</w:t>
      </w:r>
      <w:r>
        <w:rPr>
          <w:rFonts w:asciiTheme="minorHAnsi" w:hAnsiTheme="minorHAnsi" w:cs="Arial"/>
          <w:sz w:val="26"/>
          <w:szCs w:val="26"/>
        </w:rPr>
        <w:t xml:space="preserve"> </w:t>
      </w:r>
      <w:r w:rsidRPr="00861959">
        <w:rPr>
          <w:rFonts w:asciiTheme="minorHAnsi" w:hAnsiTheme="minorHAnsi" w:cs="Arial"/>
          <w:sz w:val="26"/>
          <w:szCs w:val="26"/>
        </w:rPr>
        <w:t xml:space="preserve">roce 2020 měly rostoucí náklady na potraviny (zejména na pekárenské výrobky, obiloviny, maso </w:t>
      </w:r>
      <w:r w:rsidRPr="00C15BB1">
        <w:rPr>
          <w:rFonts w:asciiTheme="minorHAnsi" w:hAnsiTheme="minorHAnsi" w:cs="Arial"/>
          <w:sz w:val="26"/>
          <w:szCs w:val="26"/>
        </w:rPr>
        <w:t xml:space="preserve">či ovoce) a na bydlení, kde výrazně vzrostly ceny nájemného a elektřiny. Významný proinflační vliv měly také </w:t>
      </w:r>
      <w:r w:rsidRPr="00C15BB1">
        <w:rPr>
          <w:rFonts w:asciiTheme="minorHAnsi" w:hAnsiTheme="minorHAnsi"/>
          <w:sz w:val="26"/>
          <w:szCs w:val="26"/>
        </w:rPr>
        <w:t>rostoucí ceny</w:t>
      </w:r>
      <w:r w:rsidRPr="00C15BB1">
        <w:rPr>
          <w:rFonts w:asciiTheme="minorHAnsi" w:hAnsiTheme="minorHAnsi" w:cs="Arial"/>
          <w:sz w:val="26"/>
          <w:szCs w:val="26"/>
        </w:rPr>
        <w:t xml:space="preserve"> alkoholických nápojů, tabáku a stravování a ubytování,</w:t>
      </w:r>
    </w:p>
    <w:p w14:paraId="656E3B2B" w14:textId="77777777" w:rsidR="00100DA4" w:rsidRPr="00C15BB1" w:rsidRDefault="00100DA4" w:rsidP="00100DA4">
      <w:pPr>
        <w:pStyle w:val="Odstavecseseznamem"/>
        <w:numPr>
          <w:ilvl w:val="0"/>
          <w:numId w:val="25"/>
        </w:numPr>
      </w:pPr>
      <w:r w:rsidRPr="00C15BB1">
        <w:br w:type="page"/>
      </w:r>
    </w:p>
    <w:p w14:paraId="50E0BD3B" w14:textId="77777777" w:rsidR="00100DA4" w:rsidRPr="00861959" w:rsidRDefault="00100DA4" w:rsidP="00100DA4">
      <w:pPr>
        <w:numPr>
          <w:ilvl w:val="0"/>
          <w:numId w:val="25"/>
        </w:numPr>
        <w:spacing w:after="240" w:line="360" w:lineRule="auto"/>
        <w:ind w:left="357" w:hanging="357"/>
        <w:jc w:val="both"/>
        <w:rPr>
          <w:rFonts w:asciiTheme="minorHAnsi" w:hAnsiTheme="minorHAnsi" w:cs="Arial"/>
          <w:sz w:val="26"/>
          <w:szCs w:val="26"/>
        </w:rPr>
      </w:pPr>
      <w:r>
        <w:rPr>
          <w:rFonts w:asciiTheme="minorHAnsi" w:hAnsiTheme="minorHAnsi" w:cs="Arial"/>
          <w:sz w:val="26"/>
          <w:szCs w:val="26"/>
        </w:rPr>
        <w:lastRenderedPageBreak/>
        <w:t>ž</w:t>
      </w:r>
      <w:r w:rsidRPr="00E14F02">
        <w:rPr>
          <w:rFonts w:asciiTheme="minorHAnsi" w:hAnsiTheme="minorHAnsi" w:cs="Arial"/>
          <w:sz w:val="26"/>
          <w:szCs w:val="26"/>
        </w:rPr>
        <w:t>ivotní náklady domácností důchodců vzrostly v roce 2020 o 0,7</w:t>
      </w:r>
      <w:r>
        <w:rPr>
          <w:rFonts w:asciiTheme="minorHAnsi" w:hAnsiTheme="minorHAnsi" w:cs="Arial"/>
          <w:sz w:val="26"/>
          <w:szCs w:val="26"/>
        </w:rPr>
        <w:t> </w:t>
      </w:r>
      <w:r w:rsidRPr="00E14F02">
        <w:rPr>
          <w:rFonts w:asciiTheme="minorHAnsi" w:hAnsiTheme="minorHAnsi" w:cs="Arial"/>
          <w:sz w:val="26"/>
          <w:szCs w:val="26"/>
        </w:rPr>
        <w:t xml:space="preserve">p. b. více než v předcházejícím roce a </w:t>
      </w:r>
      <w:r w:rsidRPr="00E14F02">
        <w:rPr>
          <w:rFonts w:asciiTheme="minorHAnsi" w:hAnsiTheme="minorHAnsi" w:cs="Arial"/>
          <w:b/>
          <w:sz w:val="26"/>
          <w:szCs w:val="26"/>
        </w:rPr>
        <w:t>index spotřebitelských cen domácností důchodců se v průměru za celý rok zvýšil o 3,5 %.</w:t>
      </w:r>
      <w:r w:rsidRPr="00E14F02">
        <w:rPr>
          <w:rFonts w:asciiTheme="minorHAnsi" w:hAnsiTheme="minorHAnsi" w:cs="Arial"/>
          <w:sz w:val="26"/>
          <w:szCs w:val="26"/>
        </w:rPr>
        <w:t xml:space="preserve"> Při srovnání s celkovým indexem domácností se důchodcům mírně více zvýšily náklady v </w:t>
      </w:r>
      <w:r w:rsidRPr="00861959">
        <w:rPr>
          <w:rFonts w:asciiTheme="minorHAnsi" w:hAnsiTheme="minorHAnsi" w:cs="Arial"/>
          <w:sz w:val="26"/>
          <w:szCs w:val="26"/>
        </w:rPr>
        <w:t>oddílech potraviny a nealkoholické nápoje, bydlení, rekreace a kultura, ostatní zboží a služby,</w:t>
      </w:r>
    </w:p>
    <w:p w14:paraId="58C86DC1" w14:textId="77777777" w:rsidR="00100DA4" w:rsidRPr="00DB5448" w:rsidRDefault="00100DA4" w:rsidP="00100DA4">
      <w:pPr>
        <w:numPr>
          <w:ilvl w:val="0"/>
          <w:numId w:val="25"/>
        </w:numPr>
        <w:tabs>
          <w:tab w:val="num" w:pos="502"/>
        </w:tabs>
        <w:spacing w:after="240" w:line="360" w:lineRule="auto"/>
        <w:ind w:left="357" w:hanging="357"/>
        <w:jc w:val="both"/>
        <w:rPr>
          <w:rFonts w:asciiTheme="minorHAnsi" w:hAnsiTheme="minorHAnsi" w:cs="Arial"/>
          <w:sz w:val="26"/>
          <w:szCs w:val="26"/>
        </w:rPr>
      </w:pPr>
      <w:r w:rsidRPr="00861959">
        <w:rPr>
          <w:rFonts w:asciiTheme="minorHAnsi" w:hAnsiTheme="minorHAnsi" w:cs="Arial"/>
          <w:b/>
          <w:sz w:val="26"/>
          <w:szCs w:val="26"/>
        </w:rPr>
        <w:t>harmonizovaný index spotřebitelských cen</w:t>
      </w:r>
      <w:r w:rsidRPr="00861959">
        <w:rPr>
          <w:rFonts w:asciiTheme="minorHAnsi" w:hAnsiTheme="minorHAnsi" w:cs="Arial"/>
          <w:sz w:val="26"/>
          <w:szCs w:val="26"/>
        </w:rPr>
        <w:t xml:space="preserve"> (podle metodiky EU) činil v ČR v ročním průměru </w:t>
      </w:r>
      <w:r w:rsidRPr="00861959">
        <w:rPr>
          <w:rFonts w:asciiTheme="minorHAnsi" w:hAnsiTheme="minorHAnsi" w:cs="Arial"/>
          <w:b/>
          <w:sz w:val="26"/>
          <w:szCs w:val="26"/>
        </w:rPr>
        <w:t>103,3 %,</w:t>
      </w:r>
      <w:r w:rsidRPr="00861959">
        <w:rPr>
          <w:rFonts w:asciiTheme="minorHAnsi" w:hAnsiTheme="minorHAnsi" w:cs="Arial"/>
          <w:sz w:val="26"/>
          <w:szCs w:val="26"/>
        </w:rPr>
        <w:t xml:space="preserve"> což bylo </w:t>
      </w:r>
      <w:r w:rsidRPr="00861959">
        <w:rPr>
          <w:rFonts w:asciiTheme="minorHAnsi" w:hAnsiTheme="minorHAnsi" w:cs="Arial"/>
          <w:b/>
          <w:sz w:val="26"/>
          <w:szCs w:val="26"/>
        </w:rPr>
        <w:t>o 2,6 p. b. více než průměr</w:t>
      </w:r>
      <w:r w:rsidRPr="00861959">
        <w:rPr>
          <w:rFonts w:asciiTheme="minorHAnsi" w:hAnsiTheme="minorHAnsi" w:cs="Arial"/>
          <w:sz w:val="26"/>
          <w:szCs w:val="26"/>
        </w:rPr>
        <w:t xml:space="preserve"> 27 členských zemí </w:t>
      </w:r>
      <w:r w:rsidRPr="00861959">
        <w:rPr>
          <w:rFonts w:asciiTheme="minorHAnsi" w:hAnsiTheme="minorHAnsi" w:cs="Arial"/>
          <w:b/>
          <w:sz w:val="26"/>
          <w:szCs w:val="26"/>
        </w:rPr>
        <w:t xml:space="preserve">EU a o 0,7 p. b. více </w:t>
      </w:r>
      <w:r w:rsidRPr="00861959">
        <w:rPr>
          <w:rFonts w:asciiTheme="minorHAnsi" w:hAnsiTheme="minorHAnsi" w:cs="Arial"/>
          <w:sz w:val="26"/>
          <w:szCs w:val="26"/>
        </w:rPr>
        <w:t>než v roce 2019,</w:t>
      </w:r>
    </w:p>
    <w:p w14:paraId="1C275F7B" w14:textId="77777777" w:rsidR="00100DA4" w:rsidRPr="00DB5448" w:rsidRDefault="00100DA4" w:rsidP="00100DA4">
      <w:pPr>
        <w:numPr>
          <w:ilvl w:val="0"/>
          <w:numId w:val="25"/>
        </w:numPr>
        <w:tabs>
          <w:tab w:val="num" w:pos="502"/>
        </w:tabs>
        <w:spacing w:after="240" w:line="360" w:lineRule="auto"/>
        <w:ind w:left="357" w:hanging="357"/>
        <w:jc w:val="both"/>
        <w:rPr>
          <w:rFonts w:asciiTheme="minorHAnsi" w:hAnsiTheme="minorHAnsi" w:cs="Arial"/>
          <w:sz w:val="26"/>
          <w:szCs w:val="26"/>
        </w:rPr>
      </w:pPr>
      <w:r w:rsidRPr="00DB5448">
        <w:rPr>
          <w:rFonts w:asciiTheme="minorHAnsi" w:hAnsiTheme="minorHAnsi" w:cs="Arial"/>
          <w:b/>
          <w:sz w:val="26"/>
          <w:szCs w:val="26"/>
        </w:rPr>
        <w:t>tempo výdajů na individuální spotřebu na makroúrovni se snížilo</w:t>
      </w:r>
      <w:r w:rsidRPr="00DB5448">
        <w:rPr>
          <w:rFonts w:asciiTheme="minorHAnsi" w:hAnsiTheme="minorHAnsi" w:cs="Arial"/>
          <w:sz w:val="26"/>
          <w:szCs w:val="26"/>
        </w:rPr>
        <w:t xml:space="preserve"> v nominálním vyjádření o 2,5 %, v reálném vyjádření pokles dosáhl 5,5 %; </w:t>
      </w:r>
      <w:r w:rsidRPr="00DB5448">
        <w:rPr>
          <w:rFonts w:asciiTheme="minorHAnsi" w:hAnsiTheme="minorHAnsi" w:cs="Arial"/>
          <w:b/>
          <w:sz w:val="26"/>
          <w:szCs w:val="26"/>
        </w:rPr>
        <w:t>míra investic domácností činila 8,6 %</w:t>
      </w:r>
      <w:r w:rsidRPr="00DB5448">
        <w:rPr>
          <w:rFonts w:asciiTheme="minorHAnsi" w:hAnsiTheme="minorHAnsi" w:cs="Arial"/>
          <w:sz w:val="26"/>
          <w:szCs w:val="26"/>
        </w:rPr>
        <w:t xml:space="preserve"> hrubého disponibilního důchodu,</w:t>
      </w:r>
    </w:p>
    <w:p w14:paraId="2D86A769" w14:textId="77777777" w:rsidR="00100DA4" w:rsidRPr="00D7356E" w:rsidRDefault="00100DA4" w:rsidP="00100DA4">
      <w:pPr>
        <w:numPr>
          <w:ilvl w:val="0"/>
          <w:numId w:val="25"/>
        </w:numPr>
        <w:tabs>
          <w:tab w:val="num" w:pos="502"/>
        </w:tabs>
        <w:spacing w:after="240" w:line="360" w:lineRule="auto"/>
        <w:ind w:left="357" w:hanging="357"/>
        <w:jc w:val="both"/>
        <w:rPr>
          <w:rFonts w:asciiTheme="minorHAnsi" w:hAnsiTheme="minorHAnsi" w:cs="Arial"/>
          <w:sz w:val="26"/>
          <w:szCs w:val="26"/>
        </w:rPr>
      </w:pPr>
      <w:r w:rsidRPr="00DB5448">
        <w:rPr>
          <w:rFonts w:asciiTheme="minorHAnsi" w:hAnsiTheme="minorHAnsi"/>
          <w:sz w:val="26"/>
          <w:szCs w:val="26"/>
        </w:rPr>
        <w:t xml:space="preserve">celkový </w:t>
      </w:r>
      <w:r w:rsidRPr="00DB5448">
        <w:rPr>
          <w:rFonts w:asciiTheme="minorHAnsi" w:hAnsiTheme="minorHAnsi"/>
          <w:b/>
          <w:bCs/>
          <w:sz w:val="26"/>
          <w:szCs w:val="26"/>
        </w:rPr>
        <w:t xml:space="preserve">objem úvěrů domácností </w:t>
      </w:r>
      <w:r w:rsidRPr="00DB5448">
        <w:rPr>
          <w:rFonts w:asciiTheme="minorHAnsi" w:hAnsiTheme="minorHAnsi"/>
          <w:sz w:val="26"/>
          <w:szCs w:val="26"/>
        </w:rPr>
        <w:t xml:space="preserve">evidovaných u peněžních ústavů </w:t>
      </w:r>
      <w:r w:rsidRPr="00DB5448">
        <w:rPr>
          <w:rFonts w:asciiTheme="minorHAnsi" w:hAnsiTheme="minorHAnsi"/>
          <w:b/>
          <w:bCs/>
          <w:sz w:val="26"/>
          <w:szCs w:val="26"/>
        </w:rPr>
        <w:t>vzrostl</w:t>
      </w:r>
      <w:r w:rsidRPr="00DB5448">
        <w:rPr>
          <w:rFonts w:asciiTheme="minorHAnsi" w:hAnsiTheme="minorHAnsi"/>
          <w:sz w:val="26"/>
          <w:szCs w:val="26"/>
        </w:rPr>
        <w:t xml:space="preserve"> meziročně oproti roku 2019 </w:t>
      </w:r>
      <w:r w:rsidRPr="00DB5448">
        <w:rPr>
          <w:rFonts w:asciiTheme="minorHAnsi" w:hAnsiTheme="minorHAnsi"/>
          <w:b/>
          <w:bCs/>
          <w:sz w:val="26"/>
          <w:szCs w:val="26"/>
        </w:rPr>
        <w:t>o 114,3 mld. Kč</w:t>
      </w:r>
      <w:r w:rsidRPr="00DB5448">
        <w:rPr>
          <w:rFonts w:asciiTheme="minorHAnsi" w:hAnsiTheme="minorHAnsi"/>
          <w:sz w:val="26"/>
          <w:szCs w:val="26"/>
        </w:rPr>
        <w:t xml:space="preserve"> (o 6,5 %) a </w:t>
      </w:r>
      <w:r w:rsidRPr="00DB5448">
        <w:rPr>
          <w:rFonts w:asciiTheme="minorHAnsi" w:hAnsiTheme="minorHAnsi"/>
          <w:b/>
          <w:bCs/>
          <w:sz w:val="26"/>
          <w:szCs w:val="26"/>
        </w:rPr>
        <w:t>dosáhl tak</w:t>
      </w:r>
      <w:r w:rsidRPr="00DB5448">
        <w:rPr>
          <w:rFonts w:asciiTheme="minorHAnsi" w:hAnsiTheme="minorHAnsi"/>
          <w:sz w:val="26"/>
          <w:szCs w:val="26"/>
        </w:rPr>
        <w:t xml:space="preserve"> ke konci minulého roku </w:t>
      </w:r>
      <w:r w:rsidRPr="00DB5448">
        <w:rPr>
          <w:rFonts w:asciiTheme="minorHAnsi" w:hAnsiTheme="minorHAnsi"/>
          <w:b/>
          <w:bCs/>
          <w:sz w:val="26"/>
          <w:szCs w:val="26"/>
        </w:rPr>
        <w:t>1 862,4 mld. Kč;</w:t>
      </w:r>
      <w:r w:rsidRPr="00DB5448">
        <w:rPr>
          <w:rFonts w:asciiTheme="minorHAnsi" w:hAnsiTheme="minorHAnsi"/>
          <w:sz w:val="26"/>
          <w:szCs w:val="26"/>
        </w:rPr>
        <w:t xml:space="preserve"> </w:t>
      </w:r>
      <w:r w:rsidRPr="00DB5448">
        <w:rPr>
          <w:rFonts w:asciiTheme="minorHAnsi" w:hAnsiTheme="minorHAnsi"/>
          <w:b/>
          <w:bCs/>
          <w:sz w:val="26"/>
          <w:szCs w:val="26"/>
        </w:rPr>
        <w:t>rozhodující část</w:t>
      </w:r>
      <w:r w:rsidRPr="00DB5448">
        <w:rPr>
          <w:rFonts w:asciiTheme="minorHAnsi" w:hAnsiTheme="minorHAnsi"/>
          <w:sz w:val="26"/>
          <w:szCs w:val="26"/>
        </w:rPr>
        <w:t xml:space="preserve"> meziročního </w:t>
      </w:r>
      <w:r w:rsidRPr="00DB5448">
        <w:rPr>
          <w:rFonts w:asciiTheme="minorHAnsi" w:hAnsiTheme="minorHAnsi"/>
          <w:b/>
          <w:bCs/>
          <w:sz w:val="26"/>
          <w:szCs w:val="26"/>
        </w:rPr>
        <w:t xml:space="preserve">vzestupu objemu </w:t>
      </w:r>
      <w:r w:rsidRPr="00DB5448">
        <w:rPr>
          <w:rFonts w:asciiTheme="minorHAnsi" w:hAnsiTheme="minorHAnsi"/>
          <w:sz w:val="26"/>
          <w:szCs w:val="26"/>
        </w:rPr>
        <w:t xml:space="preserve">bankovních peněžních </w:t>
      </w:r>
      <w:r w:rsidRPr="00DB5448">
        <w:rPr>
          <w:rFonts w:asciiTheme="minorHAnsi" w:hAnsiTheme="minorHAnsi"/>
          <w:b/>
          <w:bCs/>
          <w:sz w:val="26"/>
          <w:szCs w:val="26"/>
        </w:rPr>
        <w:t>půjček</w:t>
      </w:r>
      <w:r w:rsidRPr="00DB5448">
        <w:rPr>
          <w:rFonts w:asciiTheme="minorHAnsi" w:hAnsiTheme="minorHAnsi"/>
          <w:sz w:val="26"/>
          <w:szCs w:val="26"/>
        </w:rPr>
        <w:t xml:space="preserve"> </w:t>
      </w:r>
      <w:r w:rsidRPr="00DB5448">
        <w:rPr>
          <w:rFonts w:asciiTheme="minorHAnsi" w:hAnsiTheme="minorHAnsi"/>
          <w:b/>
          <w:bCs/>
          <w:sz w:val="26"/>
          <w:szCs w:val="26"/>
        </w:rPr>
        <w:t xml:space="preserve">představovaly </w:t>
      </w:r>
      <w:r w:rsidRPr="00DB5448">
        <w:rPr>
          <w:rFonts w:asciiTheme="minorHAnsi" w:hAnsiTheme="minorHAnsi"/>
          <w:sz w:val="26"/>
          <w:szCs w:val="26"/>
        </w:rPr>
        <w:t>hypoteční a jiné</w:t>
      </w:r>
      <w:r w:rsidRPr="00DB5448">
        <w:rPr>
          <w:rFonts w:asciiTheme="minorHAnsi" w:hAnsiTheme="minorHAnsi"/>
          <w:b/>
          <w:bCs/>
          <w:sz w:val="26"/>
          <w:szCs w:val="26"/>
        </w:rPr>
        <w:t xml:space="preserve"> úvěry na</w:t>
      </w:r>
      <w:r>
        <w:rPr>
          <w:rFonts w:asciiTheme="minorHAnsi" w:hAnsiTheme="minorHAnsi"/>
          <w:b/>
          <w:bCs/>
          <w:sz w:val="26"/>
          <w:szCs w:val="26"/>
        </w:rPr>
        <w:t xml:space="preserve"> </w:t>
      </w:r>
      <w:r w:rsidRPr="00DB5448">
        <w:rPr>
          <w:rFonts w:asciiTheme="minorHAnsi" w:hAnsiTheme="minorHAnsi"/>
          <w:b/>
          <w:bCs/>
          <w:sz w:val="26"/>
          <w:szCs w:val="26"/>
        </w:rPr>
        <w:t xml:space="preserve">bydlení </w:t>
      </w:r>
      <w:r w:rsidRPr="00DB5448">
        <w:rPr>
          <w:rFonts w:asciiTheme="minorHAnsi" w:hAnsiTheme="minorHAnsi"/>
          <w:sz w:val="26"/>
          <w:szCs w:val="26"/>
        </w:rPr>
        <w:t xml:space="preserve">(1 435,8 mld. Kč), z toho se celkový </w:t>
      </w:r>
      <w:r w:rsidRPr="00DB5448">
        <w:rPr>
          <w:rFonts w:asciiTheme="minorHAnsi" w:hAnsiTheme="minorHAnsi"/>
          <w:b/>
          <w:bCs/>
          <w:sz w:val="26"/>
          <w:szCs w:val="26"/>
        </w:rPr>
        <w:t xml:space="preserve">objem hypotečních úvěrů zvýšil o 106,6 mld. Kč </w:t>
      </w:r>
      <w:r w:rsidRPr="00DB5448">
        <w:rPr>
          <w:rFonts w:asciiTheme="minorHAnsi" w:hAnsiTheme="minorHAnsi"/>
          <w:sz w:val="26"/>
          <w:szCs w:val="26"/>
        </w:rPr>
        <w:t>(na 1 342,9 mld. Kč),</w:t>
      </w:r>
    </w:p>
    <w:p w14:paraId="21D123B0" w14:textId="577097C3" w:rsidR="00100DA4" w:rsidRPr="00D7356E" w:rsidRDefault="00100DA4" w:rsidP="00100DA4">
      <w:pPr>
        <w:numPr>
          <w:ilvl w:val="0"/>
          <w:numId w:val="25"/>
        </w:numPr>
        <w:tabs>
          <w:tab w:val="num" w:pos="502"/>
        </w:tabs>
        <w:spacing w:after="240" w:line="360" w:lineRule="auto"/>
        <w:ind w:left="357" w:hanging="357"/>
        <w:jc w:val="both"/>
      </w:pPr>
      <w:r w:rsidRPr="00D7356E">
        <w:rPr>
          <w:rFonts w:asciiTheme="minorHAnsi" w:hAnsiTheme="minorHAnsi" w:cs="Arial"/>
          <w:sz w:val="26"/>
          <w:szCs w:val="26"/>
        </w:rPr>
        <w:t>opatření proti pandemii viru SARS-CoV-2 a negativní očekávání se výrazně projevily na</w:t>
      </w:r>
      <w:r w:rsidRPr="00D7356E">
        <w:rPr>
          <w:rFonts w:asciiTheme="minorHAnsi" w:hAnsiTheme="minorHAnsi" w:cs="Arial"/>
          <w:b/>
          <w:bCs/>
          <w:sz w:val="26"/>
          <w:szCs w:val="26"/>
        </w:rPr>
        <w:t xml:space="preserve"> bankovních úsporách domácností</w:t>
      </w:r>
      <w:r w:rsidRPr="00D7356E">
        <w:rPr>
          <w:rFonts w:asciiTheme="minorHAnsi" w:hAnsiTheme="minorHAnsi" w:cs="Arial"/>
          <w:sz w:val="26"/>
          <w:szCs w:val="26"/>
        </w:rPr>
        <w:t>,</w:t>
      </w:r>
      <w:r w:rsidRPr="00D7356E">
        <w:rPr>
          <w:rFonts w:asciiTheme="minorHAnsi" w:hAnsiTheme="minorHAnsi" w:cs="Arial"/>
          <w:b/>
          <w:bCs/>
          <w:sz w:val="26"/>
          <w:szCs w:val="26"/>
        </w:rPr>
        <w:t xml:space="preserve"> </w:t>
      </w:r>
      <w:r w:rsidRPr="00D7356E">
        <w:rPr>
          <w:rFonts w:asciiTheme="minorHAnsi" w:hAnsiTheme="minorHAnsi" w:cs="Arial"/>
          <w:bCs/>
          <w:sz w:val="26"/>
          <w:szCs w:val="26"/>
        </w:rPr>
        <w:t xml:space="preserve">kdy se jejich celkový </w:t>
      </w:r>
      <w:r w:rsidRPr="00D7356E">
        <w:rPr>
          <w:rFonts w:asciiTheme="minorHAnsi" w:hAnsiTheme="minorHAnsi" w:cs="Arial"/>
          <w:b/>
          <w:bCs/>
          <w:sz w:val="26"/>
          <w:szCs w:val="26"/>
        </w:rPr>
        <w:t>objem</w:t>
      </w:r>
      <w:r w:rsidRPr="00D7356E">
        <w:rPr>
          <w:rFonts w:asciiTheme="minorHAnsi" w:hAnsiTheme="minorHAnsi" w:cs="Arial"/>
          <w:sz w:val="26"/>
          <w:szCs w:val="26"/>
        </w:rPr>
        <w:t xml:space="preserve"> </w:t>
      </w:r>
      <w:r w:rsidRPr="00D7356E">
        <w:rPr>
          <w:rFonts w:asciiTheme="minorHAnsi" w:hAnsiTheme="minorHAnsi" w:cs="Arial"/>
          <w:bCs/>
          <w:sz w:val="26"/>
          <w:szCs w:val="26"/>
        </w:rPr>
        <w:t>v roce</w:t>
      </w:r>
      <w:r w:rsidRPr="00D7356E">
        <w:rPr>
          <w:rFonts w:asciiTheme="minorHAnsi" w:hAnsiTheme="minorHAnsi" w:cs="Arial"/>
          <w:sz w:val="26"/>
          <w:szCs w:val="26"/>
        </w:rPr>
        <w:t xml:space="preserve"> 2020 meziročně </w:t>
      </w:r>
      <w:r w:rsidRPr="00D7356E">
        <w:rPr>
          <w:rFonts w:asciiTheme="minorHAnsi" w:hAnsiTheme="minorHAnsi" w:cs="Arial"/>
          <w:b/>
          <w:bCs/>
          <w:sz w:val="26"/>
          <w:szCs w:val="26"/>
        </w:rPr>
        <w:t>zvýšil</w:t>
      </w:r>
      <w:r w:rsidRPr="00D7356E">
        <w:rPr>
          <w:rFonts w:asciiTheme="minorHAnsi" w:hAnsiTheme="minorHAnsi" w:cs="Arial"/>
          <w:bCs/>
          <w:sz w:val="26"/>
          <w:szCs w:val="26"/>
        </w:rPr>
        <w:t xml:space="preserve"> </w:t>
      </w:r>
      <w:r w:rsidRPr="00D7356E">
        <w:rPr>
          <w:rFonts w:asciiTheme="minorHAnsi" w:hAnsiTheme="minorHAnsi" w:cs="Arial"/>
          <w:b/>
          <w:bCs/>
          <w:sz w:val="26"/>
          <w:szCs w:val="26"/>
        </w:rPr>
        <w:t xml:space="preserve">o 12,2 % </w:t>
      </w:r>
      <w:r w:rsidRPr="00D7356E">
        <w:rPr>
          <w:rFonts w:asciiTheme="minorHAnsi" w:hAnsiTheme="minorHAnsi" w:cs="Arial"/>
          <w:bCs/>
          <w:sz w:val="26"/>
          <w:szCs w:val="26"/>
        </w:rPr>
        <w:t xml:space="preserve">(331,3 mld. Kč) </w:t>
      </w:r>
      <w:r w:rsidRPr="00D7356E">
        <w:rPr>
          <w:rFonts w:asciiTheme="minorHAnsi" w:hAnsiTheme="minorHAnsi" w:cs="Arial"/>
          <w:b/>
          <w:bCs/>
          <w:sz w:val="26"/>
          <w:szCs w:val="26"/>
        </w:rPr>
        <w:t xml:space="preserve">na 3 056,8 mld. Kč, </w:t>
      </w:r>
      <w:r w:rsidRPr="00D7356E">
        <w:rPr>
          <w:rFonts w:asciiTheme="minorHAnsi" w:hAnsiTheme="minorHAnsi" w:cs="Arial"/>
          <w:sz w:val="26"/>
          <w:szCs w:val="26"/>
        </w:rPr>
        <w:t>což byl nejvyšší zaznamenaný nárůst úspor od začátku století;</w:t>
      </w:r>
      <w:r w:rsidRPr="00D7356E">
        <w:rPr>
          <w:rFonts w:asciiTheme="minorHAnsi" w:hAnsiTheme="minorHAnsi" w:cs="Arial"/>
          <w:bCs/>
          <w:sz w:val="26"/>
          <w:szCs w:val="26"/>
        </w:rPr>
        <w:t xml:space="preserve"> domácnosti </w:t>
      </w:r>
      <w:r w:rsidRPr="00D7356E">
        <w:rPr>
          <w:rFonts w:asciiTheme="minorHAnsi" w:hAnsiTheme="minorHAnsi"/>
          <w:sz w:val="26"/>
          <w:szCs w:val="26"/>
        </w:rPr>
        <w:t>dávaly přednost spoření v </w:t>
      </w:r>
      <w:r w:rsidRPr="00D7356E">
        <w:rPr>
          <w:rFonts w:asciiTheme="minorHAnsi" w:hAnsiTheme="minorHAnsi"/>
          <w:b/>
          <w:bCs/>
          <w:sz w:val="26"/>
          <w:szCs w:val="26"/>
        </w:rPr>
        <w:t xml:space="preserve">netermínované formě </w:t>
      </w:r>
      <w:r w:rsidRPr="00D7356E">
        <w:rPr>
          <w:rFonts w:asciiTheme="minorHAnsi" w:hAnsiTheme="minorHAnsi"/>
          <w:bCs/>
          <w:sz w:val="26"/>
          <w:szCs w:val="26"/>
        </w:rPr>
        <w:t>(</w:t>
      </w:r>
      <w:r w:rsidR="00724AC1">
        <w:rPr>
          <w:rFonts w:asciiTheme="minorHAnsi" w:hAnsiTheme="minorHAnsi"/>
          <w:bCs/>
          <w:sz w:val="26"/>
          <w:szCs w:val="26"/>
        </w:rPr>
        <w:t xml:space="preserve">nárůst </w:t>
      </w:r>
      <w:r w:rsidRPr="00D7356E">
        <w:rPr>
          <w:rFonts w:asciiTheme="minorHAnsi" w:hAnsiTheme="minorHAnsi"/>
          <w:bCs/>
          <w:sz w:val="26"/>
          <w:szCs w:val="26"/>
        </w:rPr>
        <w:t>o</w:t>
      </w:r>
      <w:r w:rsidR="00724AC1">
        <w:rPr>
          <w:rFonts w:asciiTheme="minorHAnsi" w:hAnsiTheme="minorHAnsi"/>
          <w:bCs/>
          <w:sz w:val="26"/>
          <w:szCs w:val="26"/>
        </w:rPr>
        <w:t> </w:t>
      </w:r>
      <w:r w:rsidRPr="00D7356E">
        <w:rPr>
          <w:rFonts w:asciiTheme="minorHAnsi" w:hAnsiTheme="minorHAnsi"/>
          <w:bCs/>
          <w:sz w:val="26"/>
          <w:szCs w:val="26"/>
        </w:rPr>
        <w:t xml:space="preserve">384,3 mld. Kč), naopak </w:t>
      </w:r>
      <w:r w:rsidRPr="00D7356E">
        <w:rPr>
          <w:rFonts w:asciiTheme="minorHAnsi" w:hAnsiTheme="minorHAnsi"/>
          <w:b/>
          <w:sz w:val="26"/>
          <w:szCs w:val="26"/>
        </w:rPr>
        <w:t>termínové vklady zaznamenaly pokles</w:t>
      </w:r>
      <w:r w:rsidRPr="00D7356E">
        <w:rPr>
          <w:rFonts w:asciiTheme="minorHAnsi" w:hAnsiTheme="minorHAnsi"/>
          <w:bCs/>
          <w:sz w:val="26"/>
          <w:szCs w:val="26"/>
        </w:rPr>
        <w:t xml:space="preserve"> (o 53,0 mld. Kč).</w:t>
      </w:r>
    </w:p>
    <w:p w14:paraId="6F52E7C8" w14:textId="77777777" w:rsidR="00100DA4" w:rsidRPr="00D7356E" w:rsidRDefault="00100DA4" w:rsidP="00100DA4"/>
    <w:p w14:paraId="6197AF8F" w14:textId="6EBE6219" w:rsidR="002F23BA" w:rsidRPr="002F23BA" w:rsidRDefault="002F23BA" w:rsidP="002F23BA">
      <w:r w:rsidRPr="004471FB">
        <w:rPr>
          <w:color w:val="FF0000"/>
        </w:rPr>
        <w:br w:type="page"/>
      </w:r>
    </w:p>
    <w:p w14:paraId="1D2DE712" w14:textId="77777777" w:rsidR="002B41D9" w:rsidRPr="00710980" w:rsidRDefault="002B41D9" w:rsidP="003501F0">
      <w:pPr>
        <w:pStyle w:val="Nadpis1"/>
        <w:numPr>
          <w:ilvl w:val="0"/>
          <w:numId w:val="17"/>
        </w:numPr>
        <w:tabs>
          <w:tab w:val="left" w:pos="708"/>
        </w:tabs>
        <w:spacing w:after="360" w:line="240" w:lineRule="auto"/>
        <w:rPr>
          <w:rFonts w:asciiTheme="minorHAnsi" w:hAnsiTheme="minorHAnsi"/>
          <w:b w:val="0"/>
          <w:smallCaps/>
          <w:color w:val="1F497D"/>
          <w:sz w:val="44"/>
        </w:rPr>
      </w:pPr>
      <w:r w:rsidRPr="00710980">
        <w:rPr>
          <w:rFonts w:asciiTheme="minorHAnsi" w:hAnsiTheme="minorHAnsi"/>
          <w:smallCaps/>
          <w:color w:val="1F497D"/>
          <w:sz w:val="44"/>
        </w:rPr>
        <w:lastRenderedPageBreak/>
        <w:t xml:space="preserve">Vývoj rozhodujících skupin příjmů, životních nákladů, výdajů, úvěrů a úspor domácností </w:t>
      </w:r>
      <w:r w:rsidRPr="00710980">
        <w:rPr>
          <w:rFonts w:asciiTheme="minorHAnsi" w:hAnsiTheme="minorHAnsi"/>
          <w:b w:val="0"/>
          <w:smallCaps/>
          <w:color w:val="1F497D"/>
          <w:sz w:val="44"/>
        </w:rPr>
        <w:t>(podrobnější zhodnocení)</w:t>
      </w:r>
    </w:p>
    <w:p w14:paraId="05065CC8" w14:textId="77777777" w:rsidR="002B41D9" w:rsidRPr="00710980" w:rsidRDefault="002B41D9" w:rsidP="003501F0">
      <w:pPr>
        <w:spacing w:after="240" w:line="360" w:lineRule="auto"/>
        <w:jc w:val="both"/>
        <w:rPr>
          <w:rFonts w:asciiTheme="minorHAnsi" w:hAnsiTheme="minorHAnsi" w:cs="Arial"/>
          <w:b/>
          <w:smallCaps/>
          <w:color w:val="1F497D"/>
          <w:sz w:val="40"/>
          <w:szCs w:val="40"/>
        </w:rPr>
      </w:pPr>
      <w:r w:rsidRPr="00710980">
        <w:rPr>
          <w:rFonts w:asciiTheme="minorHAnsi" w:hAnsiTheme="minorHAnsi" w:cs="Arial"/>
          <w:b/>
          <w:smallCaps/>
          <w:color w:val="1F497D"/>
          <w:sz w:val="40"/>
          <w:szCs w:val="40"/>
        </w:rPr>
        <w:t>1. Příjmy domácností</w:t>
      </w:r>
    </w:p>
    <w:p w14:paraId="602223D2" w14:textId="77777777" w:rsidR="002B41D9" w:rsidRPr="00710980" w:rsidRDefault="002B41D9" w:rsidP="003501F0">
      <w:pPr>
        <w:spacing w:after="360" w:line="360" w:lineRule="auto"/>
        <w:jc w:val="both"/>
        <w:rPr>
          <w:rFonts w:asciiTheme="minorHAnsi" w:hAnsiTheme="minorHAnsi" w:cs="Arial"/>
          <w:smallCaps/>
          <w:color w:val="1F497D"/>
          <w:sz w:val="36"/>
          <w:szCs w:val="36"/>
        </w:rPr>
      </w:pPr>
      <w:r w:rsidRPr="00710980">
        <w:rPr>
          <w:rFonts w:asciiTheme="minorHAnsi" w:hAnsiTheme="minorHAnsi"/>
          <w:b/>
          <w:bCs/>
          <w:i/>
          <w:iCs/>
          <w:smallCaps/>
          <w:color w:val="1F497D"/>
          <w:sz w:val="36"/>
          <w:szCs w:val="36"/>
        </w:rPr>
        <w:t>1. 1 Základní charakteristika</w:t>
      </w:r>
    </w:p>
    <w:p w14:paraId="22C743D7" w14:textId="77777777" w:rsidR="00C62602" w:rsidRPr="004E4535" w:rsidRDefault="00C62602" w:rsidP="00D1044C">
      <w:pPr>
        <w:spacing w:after="240" w:line="360" w:lineRule="auto"/>
        <w:jc w:val="both"/>
        <w:rPr>
          <w:rFonts w:asciiTheme="minorHAnsi" w:hAnsiTheme="minorHAnsi" w:cstheme="minorHAnsi"/>
          <w:sz w:val="26"/>
          <w:szCs w:val="26"/>
        </w:rPr>
      </w:pPr>
      <w:r w:rsidRPr="004E4535">
        <w:rPr>
          <w:rFonts w:asciiTheme="minorHAnsi" w:hAnsiTheme="minorHAnsi" w:cstheme="minorHAnsi"/>
          <w:sz w:val="26"/>
          <w:szCs w:val="26"/>
        </w:rPr>
        <w:tab/>
      </w:r>
      <w:r w:rsidRPr="004E4535">
        <w:rPr>
          <w:rFonts w:asciiTheme="minorHAnsi" w:hAnsiTheme="minorHAnsi" w:cstheme="minorHAnsi"/>
          <w:b/>
          <w:bCs/>
          <w:sz w:val="26"/>
          <w:szCs w:val="26"/>
        </w:rPr>
        <w:t xml:space="preserve">Běžné příjmy </w:t>
      </w:r>
      <w:r w:rsidRPr="004E4535">
        <w:rPr>
          <w:rFonts w:asciiTheme="minorHAnsi" w:hAnsiTheme="minorHAnsi" w:cstheme="minorHAnsi"/>
          <w:sz w:val="26"/>
          <w:szCs w:val="26"/>
        </w:rPr>
        <w:t>sektoru domácností</w:t>
      </w:r>
      <w:r w:rsidRPr="004E4535">
        <w:rPr>
          <w:rFonts w:asciiTheme="minorHAnsi" w:hAnsiTheme="minorHAnsi" w:cstheme="minorHAnsi"/>
          <w:b/>
          <w:bCs/>
          <w:sz w:val="26"/>
          <w:szCs w:val="26"/>
        </w:rPr>
        <w:t xml:space="preserve"> </w:t>
      </w:r>
      <w:r w:rsidRPr="004E4535">
        <w:rPr>
          <w:rFonts w:asciiTheme="minorHAnsi" w:hAnsiTheme="minorHAnsi" w:cstheme="minorHAnsi"/>
          <w:sz w:val="26"/>
          <w:szCs w:val="26"/>
        </w:rPr>
        <w:t>(podle statistiky národních účtů)</w:t>
      </w:r>
      <w:r w:rsidRPr="004E4535">
        <w:rPr>
          <w:rFonts w:asciiTheme="minorHAnsi" w:hAnsiTheme="minorHAnsi" w:cstheme="minorHAnsi"/>
          <w:b/>
          <w:bCs/>
          <w:sz w:val="26"/>
          <w:szCs w:val="26"/>
        </w:rPr>
        <w:t xml:space="preserve"> dosáhly </w:t>
      </w:r>
      <w:r w:rsidRPr="004E4535">
        <w:rPr>
          <w:rFonts w:asciiTheme="minorHAnsi" w:hAnsiTheme="minorHAnsi" w:cstheme="minorHAnsi"/>
          <w:sz w:val="26"/>
          <w:szCs w:val="26"/>
        </w:rPr>
        <w:t xml:space="preserve">celkové </w:t>
      </w:r>
      <w:r w:rsidRPr="004E4535">
        <w:rPr>
          <w:rFonts w:asciiTheme="minorHAnsi" w:hAnsiTheme="minorHAnsi" w:cstheme="minorHAnsi"/>
          <w:b/>
          <w:bCs/>
          <w:sz w:val="26"/>
          <w:szCs w:val="26"/>
        </w:rPr>
        <w:t>výše</w:t>
      </w:r>
      <w:r w:rsidRPr="004E4535">
        <w:rPr>
          <w:rFonts w:asciiTheme="minorHAnsi" w:hAnsiTheme="minorHAnsi" w:cstheme="minorHAnsi"/>
          <w:sz w:val="26"/>
          <w:szCs w:val="26"/>
        </w:rPr>
        <w:t xml:space="preserve"> </w:t>
      </w:r>
      <w:r>
        <w:rPr>
          <w:rFonts w:asciiTheme="minorHAnsi" w:hAnsiTheme="minorHAnsi" w:cstheme="minorHAnsi"/>
          <w:b/>
          <w:bCs/>
          <w:sz w:val="26"/>
          <w:szCs w:val="26"/>
        </w:rPr>
        <w:t>4</w:t>
      </w:r>
      <w:r w:rsidRPr="004E4535">
        <w:rPr>
          <w:rFonts w:asciiTheme="minorHAnsi" w:hAnsiTheme="minorHAnsi" w:cstheme="minorHAnsi"/>
          <w:b/>
          <w:bCs/>
          <w:sz w:val="26"/>
          <w:szCs w:val="26"/>
        </w:rPr>
        <w:t> </w:t>
      </w:r>
      <w:r>
        <w:rPr>
          <w:rFonts w:asciiTheme="minorHAnsi" w:hAnsiTheme="minorHAnsi" w:cstheme="minorHAnsi"/>
          <w:b/>
          <w:bCs/>
          <w:sz w:val="26"/>
          <w:szCs w:val="26"/>
        </w:rPr>
        <w:t>823</w:t>
      </w:r>
      <w:r w:rsidRPr="004E4535">
        <w:rPr>
          <w:rFonts w:asciiTheme="minorHAnsi" w:hAnsiTheme="minorHAnsi" w:cstheme="minorHAnsi"/>
          <w:b/>
          <w:bCs/>
          <w:sz w:val="26"/>
          <w:szCs w:val="26"/>
        </w:rPr>
        <w:t>,</w:t>
      </w:r>
      <w:r>
        <w:rPr>
          <w:rFonts w:asciiTheme="minorHAnsi" w:hAnsiTheme="minorHAnsi" w:cstheme="minorHAnsi"/>
          <w:b/>
          <w:bCs/>
          <w:sz w:val="26"/>
          <w:szCs w:val="26"/>
        </w:rPr>
        <w:t>8</w:t>
      </w:r>
      <w:r w:rsidRPr="004E4535">
        <w:rPr>
          <w:rFonts w:asciiTheme="minorHAnsi" w:hAnsiTheme="minorHAnsi" w:cstheme="minorHAnsi"/>
          <w:b/>
          <w:bCs/>
          <w:sz w:val="26"/>
          <w:szCs w:val="26"/>
        </w:rPr>
        <w:t> mld. Kč.</w:t>
      </w:r>
      <w:r w:rsidRPr="004E4535">
        <w:rPr>
          <w:rFonts w:asciiTheme="minorHAnsi" w:hAnsiTheme="minorHAnsi" w:cstheme="minorHAnsi"/>
          <w:sz w:val="26"/>
          <w:szCs w:val="26"/>
        </w:rPr>
        <w:t xml:space="preserve"> Meziročně tak </w:t>
      </w:r>
      <w:r w:rsidRPr="004E4535">
        <w:rPr>
          <w:rFonts w:asciiTheme="minorHAnsi" w:hAnsiTheme="minorHAnsi" w:cstheme="minorHAnsi"/>
          <w:b/>
          <w:sz w:val="26"/>
          <w:szCs w:val="26"/>
        </w:rPr>
        <w:t>vzrostly</w:t>
      </w:r>
      <w:r w:rsidRPr="004E4535">
        <w:rPr>
          <w:rFonts w:asciiTheme="minorHAnsi" w:hAnsiTheme="minorHAnsi" w:cstheme="minorHAnsi"/>
          <w:b/>
          <w:bCs/>
          <w:sz w:val="26"/>
          <w:szCs w:val="26"/>
        </w:rPr>
        <w:t xml:space="preserve"> nominálně o</w:t>
      </w:r>
      <w:r>
        <w:rPr>
          <w:rFonts w:asciiTheme="minorHAnsi" w:hAnsiTheme="minorHAnsi" w:cstheme="minorHAnsi"/>
          <w:b/>
          <w:bCs/>
          <w:sz w:val="26"/>
          <w:szCs w:val="26"/>
        </w:rPr>
        <w:t xml:space="preserve"> 3</w:t>
      </w:r>
      <w:r w:rsidRPr="004E4535">
        <w:rPr>
          <w:rFonts w:asciiTheme="minorHAnsi" w:hAnsiTheme="minorHAnsi" w:cstheme="minorHAnsi"/>
          <w:b/>
          <w:bCs/>
          <w:sz w:val="26"/>
          <w:szCs w:val="26"/>
        </w:rPr>
        <w:t>,</w:t>
      </w:r>
      <w:r>
        <w:rPr>
          <w:rFonts w:asciiTheme="minorHAnsi" w:hAnsiTheme="minorHAnsi" w:cstheme="minorHAnsi"/>
          <w:b/>
          <w:bCs/>
          <w:sz w:val="26"/>
          <w:szCs w:val="26"/>
        </w:rPr>
        <w:t>1</w:t>
      </w:r>
      <w:r w:rsidRPr="004E4535">
        <w:rPr>
          <w:rFonts w:asciiTheme="minorHAnsi" w:hAnsiTheme="minorHAnsi" w:cstheme="minorHAnsi"/>
          <w:b/>
          <w:bCs/>
          <w:sz w:val="26"/>
          <w:szCs w:val="26"/>
        </w:rPr>
        <w:t xml:space="preserve"> % </w:t>
      </w:r>
      <w:r>
        <w:rPr>
          <w:rFonts w:asciiTheme="minorHAnsi" w:hAnsiTheme="minorHAnsi" w:cstheme="minorHAnsi"/>
          <w:bCs/>
          <w:sz w:val="26"/>
          <w:szCs w:val="26"/>
        </w:rPr>
        <w:t>(+146</w:t>
      </w:r>
      <w:r w:rsidRPr="004E4535">
        <w:rPr>
          <w:rFonts w:asciiTheme="minorHAnsi" w:hAnsiTheme="minorHAnsi" w:cstheme="minorHAnsi"/>
          <w:bCs/>
          <w:sz w:val="26"/>
          <w:szCs w:val="26"/>
        </w:rPr>
        <w:t>,</w:t>
      </w:r>
      <w:r>
        <w:rPr>
          <w:rFonts w:asciiTheme="minorHAnsi" w:hAnsiTheme="minorHAnsi" w:cstheme="minorHAnsi"/>
          <w:bCs/>
          <w:sz w:val="26"/>
          <w:szCs w:val="26"/>
        </w:rPr>
        <w:t>7</w:t>
      </w:r>
      <w:r w:rsidRPr="004E4535">
        <w:rPr>
          <w:rFonts w:asciiTheme="minorHAnsi" w:hAnsiTheme="minorHAnsi" w:cstheme="minorHAnsi"/>
          <w:bCs/>
          <w:sz w:val="26"/>
          <w:szCs w:val="26"/>
        </w:rPr>
        <w:t> mld. Kč)</w:t>
      </w:r>
      <w:r>
        <w:rPr>
          <w:rFonts w:asciiTheme="minorHAnsi" w:hAnsiTheme="minorHAnsi" w:cstheme="minorHAnsi"/>
          <w:bCs/>
          <w:sz w:val="26"/>
          <w:szCs w:val="26"/>
        </w:rPr>
        <w:t>, ale</w:t>
      </w:r>
      <w:r w:rsidRPr="004E4535">
        <w:rPr>
          <w:rFonts w:asciiTheme="minorHAnsi" w:hAnsiTheme="minorHAnsi" w:cstheme="minorHAnsi"/>
          <w:b/>
          <w:bCs/>
          <w:sz w:val="26"/>
          <w:szCs w:val="26"/>
        </w:rPr>
        <w:t xml:space="preserve"> reálně </w:t>
      </w:r>
      <w:r>
        <w:rPr>
          <w:rFonts w:asciiTheme="minorHAnsi" w:hAnsiTheme="minorHAnsi" w:cstheme="minorHAnsi"/>
          <w:b/>
          <w:bCs/>
          <w:sz w:val="26"/>
          <w:szCs w:val="26"/>
        </w:rPr>
        <w:t xml:space="preserve">poklesly </w:t>
      </w:r>
      <w:r w:rsidRPr="004E4535">
        <w:rPr>
          <w:rFonts w:asciiTheme="minorHAnsi" w:hAnsiTheme="minorHAnsi" w:cstheme="minorHAnsi"/>
          <w:b/>
          <w:bCs/>
          <w:sz w:val="26"/>
          <w:szCs w:val="26"/>
        </w:rPr>
        <w:t>o </w:t>
      </w:r>
      <w:r>
        <w:rPr>
          <w:rFonts w:asciiTheme="minorHAnsi" w:hAnsiTheme="minorHAnsi" w:cstheme="minorHAnsi"/>
          <w:b/>
          <w:bCs/>
          <w:sz w:val="26"/>
          <w:szCs w:val="26"/>
        </w:rPr>
        <w:t>0</w:t>
      </w:r>
      <w:r w:rsidRPr="004E4535">
        <w:rPr>
          <w:rFonts w:asciiTheme="minorHAnsi" w:hAnsiTheme="minorHAnsi" w:cstheme="minorHAnsi"/>
          <w:b/>
          <w:bCs/>
          <w:sz w:val="26"/>
          <w:szCs w:val="26"/>
        </w:rPr>
        <w:t>,</w:t>
      </w:r>
      <w:r>
        <w:rPr>
          <w:rFonts w:asciiTheme="minorHAnsi" w:hAnsiTheme="minorHAnsi" w:cstheme="minorHAnsi"/>
          <w:b/>
          <w:bCs/>
          <w:sz w:val="26"/>
          <w:szCs w:val="26"/>
        </w:rPr>
        <w:t>1</w:t>
      </w:r>
      <w:r w:rsidRPr="004E4535">
        <w:rPr>
          <w:rFonts w:asciiTheme="minorHAnsi" w:hAnsiTheme="minorHAnsi" w:cstheme="minorHAnsi"/>
          <w:b/>
          <w:bCs/>
          <w:sz w:val="26"/>
          <w:szCs w:val="26"/>
        </w:rPr>
        <w:t> %</w:t>
      </w:r>
      <w:r w:rsidRPr="004E4535">
        <w:rPr>
          <w:rFonts w:asciiTheme="minorHAnsi" w:hAnsiTheme="minorHAnsi" w:cstheme="minorHAnsi"/>
          <w:bCs/>
          <w:sz w:val="26"/>
          <w:szCs w:val="26"/>
        </w:rPr>
        <w:t xml:space="preserve"> (při </w:t>
      </w:r>
      <w:r>
        <w:rPr>
          <w:rFonts w:asciiTheme="minorHAnsi" w:hAnsiTheme="minorHAnsi" w:cstheme="minorHAnsi"/>
          <w:bCs/>
          <w:sz w:val="26"/>
          <w:szCs w:val="26"/>
        </w:rPr>
        <w:t>pokles</w:t>
      </w:r>
      <w:r w:rsidRPr="004E4535">
        <w:rPr>
          <w:rFonts w:asciiTheme="minorHAnsi" w:hAnsiTheme="minorHAnsi" w:cstheme="minorHAnsi"/>
          <w:bCs/>
          <w:sz w:val="26"/>
          <w:szCs w:val="26"/>
        </w:rPr>
        <w:t>u hrubého domácího produktu ve stálých cenách o</w:t>
      </w:r>
      <w:r>
        <w:rPr>
          <w:rFonts w:asciiTheme="minorHAnsi" w:hAnsiTheme="minorHAnsi" w:cstheme="minorHAnsi"/>
          <w:bCs/>
          <w:sz w:val="26"/>
          <w:szCs w:val="26"/>
        </w:rPr>
        <w:t xml:space="preserve"> 5,6</w:t>
      </w:r>
      <w:r w:rsidRPr="004E4535">
        <w:rPr>
          <w:rFonts w:asciiTheme="minorHAnsi" w:hAnsiTheme="minorHAnsi" w:cstheme="minorHAnsi"/>
          <w:bCs/>
          <w:sz w:val="26"/>
          <w:szCs w:val="26"/>
        </w:rPr>
        <w:t> %)</w:t>
      </w:r>
      <w:r w:rsidRPr="004E4535">
        <w:rPr>
          <w:rFonts w:asciiTheme="minorHAnsi" w:hAnsiTheme="minorHAnsi" w:cstheme="minorHAnsi"/>
          <w:sz w:val="26"/>
          <w:szCs w:val="26"/>
        </w:rPr>
        <w:t>. Strukturu běžných příjmů ukazuje graf č. 1 v příloze.</w:t>
      </w:r>
    </w:p>
    <w:p w14:paraId="518242CE" w14:textId="7BDA0C24" w:rsidR="00C62602" w:rsidRPr="004E4535" w:rsidRDefault="00C62602" w:rsidP="00D1044C">
      <w:pPr>
        <w:spacing w:after="480"/>
        <w:ind w:left="709"/>
        <w:jc w:val="both"/>
        <w:rPr>
          <w:rFonts w:asciiTheme="minorHAnsi" w:hAnsiTheme="minorHAnsi" w:cstheme="minorHAnsi"/>
          <w:sz w:val="26"/>
          <w:szCs w:val="26"/>
        </w:rPr>
      </w:pPr>
      <w:r w:rsidRPr="004E4535">
        <w:rPr>
          <w:rFonts w:asciiTheme="minorHAnsi" w:hAnsiTheme="minorHAnsi" w:cstheme="minorHAnsi"/>
          <w:b/>
          <w:bCs/>
          <w:sz w:val="26"/>
          <w:szCs w:val="26"/>
        </w:rPr>
        <w:t>Na</w:t>
      </w:r>
      <w:r w:rsidRPr="004E4535">
        <w:rPr>
          <w:rFonts w:asciiTheme="minorHAnsi" w:hAnsiTheme="minorHAnsi" w:cstheme="minorHAnsi"/>
          <w:sz w:val="26"/>
          <w:szCs w:val="26"/>
        </w:rPr>
        <w:t xml:space="preserve"> </w:t>
      </w:r>
      <w:r w:rsidRPr="004E4535">
        <w:rPr>
          <w:rFonts w:asciiTheme="minorHAnsi" w:hAnsiTheme="minorHAnsi" w:cstheme="minorHAnsi"/>
          <w:b/>
          <w:bCs/>
          <w:sz w:val="26"/>
          <w:szCs w:val="26"/>
        </w:rPr>
        <w:t xml:space="preserve">reálném </w:t>
      </w:r>
      <w:r>
        <w:rPr>
          <w:rFonts w:asciiTheme="minorHAnsi" w:hAnsiTheme="minorHAnsi" w:cstheme="minorHAnsi"/>
          <w:b/>
          <w:bCs/>
          <w:sz w:val="26"/>
          <w:szCs w:val="26"/>
        </w:rPr>
        <w:t>pokles</w:t>
      </w:r>
      <w:r w:rsidRPr="004E4535">
        <w:rPr>
          <w:rFonts w:asciiTheme="minorHAnsi" w:hAnsiTheme="minorHAnsi" w:cstheme="minorHAnsi"/>
          <w:b/>
          <w:bCs/>
          <w:sz w:val="26"/>
          <w:szCs w:val="26"/>
        </w:rPr>
        <w:t>u</w:t>
      </w:r>
      <w:r w:rsidRPr="004E4535">
        <w:rPr>
          <w:rFonts w:asciiTheme="minorHAnsi" w:hAnsiTheme="minorHAnsi" w:cstheme="minorHAnsi"/>
          <w:sz w:val="26"/>
          <w:szCs w:val="26"/>
        </w:rPr>
        <w:t xml:space="preserve"> úhrnného objemu</w:t>
      </w:r>
      <w:r w:rsidRPr="004E4535">
        <w:rPr>
          <w:rFonts w:asciiTheme="minorHAnsi" w:hAnsiTheme="minorHAnsi" w:cstheme="minorHAnsi"/>
          <w:b/>
          <w:bCs/>
          <w:sz w:val="26"/>
          <w:szCs w:val="26"/>
        </w:rPr>
        <w:t xml:space="preserve"> běžných příjmů </w:t>
      </w:r>
      <w:r w:rsidRPr="004E4535">
        <w:rPr>
          <w:rFonts w:asciiTheme="minorHAnsi" w:hAnsiTheme="minorHAnsi" w:cstheme="minorHAnsi"/>
          <w:b/>
          <w:sz w:val="26"/>
          <w:szCs w:val="26"/>
        </w:rPr>
        <w:t>se</w:t>
      </w:r>
      <w:r w:rsidRPr="004E4535">
        <w:rPr>
          <w:rFonts w:asciiTheme="minorHAnsi" w:hAnsiTheme="minorHAnsi" w:cstheme="minorHAnsi"/>
          <w:sz w:val="26"/>
          <w:szCs w:val="26"/>
        </w:rPr>
        <w:t xml:space="preserve"> </w:t>
      </w:r>
      <w:r>
        <w:rPr>
          <w:rFonts w:asciiTheme="minorHAnsi" w:hAnsiTheme="minorHAnsi" w:cstheme="minorHAnsi"/>
          <w:sz w:val="26"/>
          <w:szCs w:val="26"/>
        </w:rPr>
        <w:t>34</w:t>
      </w:r>
      <w:r w:rsidRPr="004E4535">
        <w:rPr>
          <w:rFonts w:asciiTheme="minorHAnsi" w:hAnsiTheme="minorHAnsi" w:cstheme="minorHAnsi"/>
          <w:sz w:val="26"/>
          <w:szCs w:val="26"/>
        </w:rPr>
        <w:t xml:space="preserve"> % </w:t>
      </w:r>
      <w:r w:rsidRPr="004E4535">
        <w:rPr>
          <w:rFonts w:asciiTheme="minorHAnsi" w:hAnsiTheme="minorHAnsi" w:cstheme="minorHAnsi"/>
          <w:b/>
          <w:bCs/>
          <w:sz w:val="26"/>
          <w:szCs w:val="26"/>
        </w:rPr>
        <w:t xml:space="preserve">podílely náhrady zaměstnancům </w:t>
      </w:r>
      <w:r w:rsidRPr="004E4535">
        <w:rPr>
          <w:rFonts w:asciiTheme="minorHAnsi" w:hAnsiTheme="minorHAnsi" w:cstheme="minorHAnsi"/>
          <w:bCs/>
          <w:sz w:val="26"/>
          <w:szCs w:val="26"/>
        </w:rPr>
        <w:t>(</w:t>
      </w:r>
      <w:r>
        <w:rPr>
          <w:rFonts w:asciiTheme="minorHAnsi" w:hAnsiTheme="minorHAnsi" w:cstheme="minorHAnsi"/>
          <w:bCs/>
          <w:sz w:val="26"/>
          <w:szCs w:val="26"/>
        </w:rPr>
        <w:t>pokles</w:t>
      </w:r>
      <w:r w:rsidRPr="004E4535">
        <w:rPr>
          <w:rFonts w:asciiTheme="minorHAnsi" w:hAnsiTheme="minorHAnsi" w:cstheme="minorHAnsi"/>
          <w:bCs/>
          <w:sz w:val="26"/>
          <w:szCs w:val="26"/>
        </w:rPr>
        <w:t xml:space="preserve"> o</w:t>
      </w:r>
      <w:r>
        <w:rPr>
          <w:rFonts w:asciiTheme="minorHAnsi" w:hAnsiTheme="minorHAnsi" w:cstheme="minorHAnsi"/>
          <w:bCs/>
          <w:sz w:val="26"/>
          <w:szCs w:val="26"/>
        </w:rPr>
        <w:t xml:space="preserve"> 1</w:t>
      </w:r>
      <w:r w:rsidRPr="004E4535">
        <w:rPr>
          <w:rFonts w:asciiTheme="minorHAnsi" w:hAnsiTheme="minorHAnsi" w:cstheme="minorHAnsi"/>
          <w:bCs/>
          <w:sz w:val="26"/>
          <w:szCs w:val="26"/>
        </w:rPr>
        <w:t>,</w:t>
      </w:r>
      <w:r>
        <w:rPr>
          <w:rFonts w:asciiTheme="minorHAnsi" w:hAnsiTheme="minorHAnsi" w:cstheme="minorHAnsi"/>
          <w:bCs/>
          <w:sz w:val="26"/>
          <w:szCs w:val="26"/>
        </w:rPr>
        <w:t>6 %). Přibližně 30 %</w:t>
      </w:r>
      <w:r w:rsidRPr="004E4535">
        <w:rPr>
          <w:rFonts w:asciiTheme="minorHAnsi" w:hAnsiTheme="minorHAnsi" w:cstheme="minorHAnsi"/>
          <w:bCs/>
          <w:sz w:val="26"/>
          <w:szCs w:val="26"/>
        </w:rPr>
        <w:t xml:space="preserve"> a 2</w:t>
      </w:r>
      <w:r>
        <w:rPr>
          <w:rFonts w:asciiTheme="minorHAnsi" w:hAnsiTheme="minorHAnsi" w:cstheme="minorHAnsi"/>
          <w:bCs/>
          <w:sz w:val="26"/>
          <w:szCs w:val="26"/>
        </w:rPr>
        <w:t>8</w:t>
      </w:r>
      <w:r w:rsidRPr="004E4535">
        <w:rPr>
          <w:rFonts w:asciiTheme="minorHAnsi" w:hAnsiTheme="minorHAnsi" w:cstheme="minorHAnsi"/>
          <w:bCs/>
          <w:sz w:val="26"/>
          <w:szCs w:val="26"/>
        </w:rPr>
        <w:t xml:space="preserve"> % se na </w:t>
      </w:r>
      <w:r>
        <w:rPr>
          <w:rFonts w:asciiTheme="minorHAnsi" w:hAnsiTheme="minorHAnsi" w:cstheme="minorHAnsi"/>
          <w:bCs/>
          <w:sz w:val="26"/>
          <w:szCs w:val="26"/>
        </w:rPr>
        <w:t>pokles</w:t>
      </w:r>
      <w:r w:rsidRPr="004E4535">
        <w:rPr>
          <w:rFonts w:asciiTheme="minorHAnsi" w:hAnsiTheme="minorHAnsi" w:cstheme="minorHAnsi"/>
          <w:bCs/>
          <w:sz w:val="26"/>
          <w:szCs w:val="26"/>
        </w:rPr>
        <w:t>u reálných příjmů podílel</w:t>
      </w:r>
      <w:r>
        <w:rPr>
          <w:rFonts w:asciiTheme="minorHAnsi" w:hAnsiTheme="minorHAnsi" w:cstheme="minorHAnsi"/>
          <w:bCs/>
          <w:sz w:val="26"/>
          <w:szCs w:val="26"/>
        </w:rPr>
        <w:t>y</w:t>
      </w:r>
      <w:r w:rsidRPr="004E4535">
        <w:rPr>
          <w:rFonts w:asciiTheme="minorHAnsi" w:hAnsiTheme="minorHAnsi" w:cstheme="minorHAnsi"/>
          <w:sz w:val="26"/>
          <w:szCs w:val="26"/>
        </w:rPr>
        <w:t xml:space="preserve"> </w:t>
      </w:r>
      <w:r w:rsidRPr="004E4535">
        <w:rPr>
          <w:rFonts w:asciiTheme="minorHAnsi" w:hAnsiTheme="minorHAnsi" w:cstheme="minorHAnsi"/>
          <w:b/>
          <w:sz w:val="26"/>
          <w:szCs w:val="26"/>
        </w:rPr>
        <w:t xml:space="preserve">ostatní běžné transfery </w:t>
      </w:r>
      <w:r>
        <w:rPr>
          <w:rFonts w:asciiTheme="minorHAnsi" w:hAnsiTheme="minorHAnsi" w:cstheme="minorHAnsi"/>
          <w:sz w:val="26"/>
          <w:szCs w:val="26"/>
        </w:rPr>
        <w:t>(-10</w:t>
      </w:r>
      <w:r w:rsidRPr="004E4535">
        <w:rPr>
          <w:rFonts w:asciiTheme="minorHAnsi" w:hAnsiTheme="minorHAnsi" w:cstheme="minorHAnsi"/>
          <w:sz w:val="26"/>
          <w:szCs w:val="26"/>
        </w:rPr>
        <w:t>,</w:t>
      </w:r>
      <w:r>
        <w:rPr>
          <w:rFonts w:asciiTheme="minorHAnsi" w:hAnsiTheme="minorHAnsi" w:cstheme="minorHAnsi"/>
          <w:sz w:val="26"/>
          <w:szCs w:val="26"/>
        </w:rPr>
        <w:t>7</w:t>
      </w:r>
      <w:r w:rsidRPr="004E4535">
        <w:rPr>
          <w:rFonts w:asciiTheme="minorHAnsi" w:hAnsiTheme="minorHAnsi" w:cstheme="minorHAnsi"/>
          <w:sz w:val="26"/>
          <w:szCs w:val="26"/>
        </w:rPr>
        <w:t> %</w:t>
      </w:r>
      <w:r w:rsidRPr="004E4535">
        <w:rPr>
          <w:rFonts w:asciiTheme="minorHAnsi" w:hAnsiTheme="minorHAnsi" w:cstheme="minorHAnsi"/>
          <w:b/>
          <w:sz w:val="26"/>
          <w:szCs w:val="26"/>
        </w:rPr>
        <w:t> </w:t>
      </w:r>
      <w:r w:rsidRPr="004E4535">
        <w:rPr>
          <w:rFonts w:asciiTheme="minorHAnsi" w:hAnsiTheme="minorHAnsi" w:cstheme="minorHAnsi"/>
          <w:sz w:val="26"/>
          <w:szCs w:val="26"/>
        </w:rPr>
        <w:t>– jedná se o</w:t>
      </w:r>
      <w:r>
        <w:rPr>
          <w:rFonts w:asciiTheme="minorHAnsi" w:hAnsiTheme="minorHAnsi" w:cstheme="minorHAnsi"/>
          <w:sz w:val="26"/>
          <w:szCs w:val="26"/>
        </w:rPr>
        <w:t xml:space="preserve"> </w:t>
      </w:r>
      <w:r w:rsidRPr="004E4535">
        <w:rPr>
          <w:rFonts w:asciiTheme="minorHAnsi" w:hAnsiTheme="minorHAnsi" w:cstheme="minorHAnsi"/>
          <w:sz w:val="26"/>
          <w:szCs w:val="26"/>
        </w:rPr>
        <w:t>náhrady z neživotního pojištění, výhry ze sázek a loterií apod.</w:t>
      </w:r>
      <w:r>
        <w:rPr>
          <w:rFonts w:asciiTheme="minorHAnsi" w:hAnsiTheme="minorHAnsi" w:cstheme="minorHAnsi"/>
          <w:sz w:val="26"/>
          <w:szCs w:val="26"/>
        </w:rPr>
        <w:t xml:space="preserve">) a </w:t>
      </w:r>
      <w:r w:rsidRPr="004E4535">
        <w:rPr>
          <w:rFonts w:asciiTheme="minorHAnsi" w:hAnsiTheme="minorHAnsi" w:cstheme="minorHAnsi"/>
          <w:b/>
          <w:bCs/>
          <w:sz w:val="26"/>
          <w:szCs w:val="26"/>
        </w:rPr>
        <w:t>smíšený důchod</w:t>
      </w:r>
      <w:r w:rsidRPr="004E4535">
        <w:rPr>
          <w:rFonts w:asciiTheme="minorHAnsi" w:hAnsiTheme="minorHAnsi" w:cstheme="minorHAnsi"/>
          <w:sz w:val="26"/>
          <w:szCs w:val="26"/>
        </w:rPr>
        <w:t xml:space="preserve"> (zahrnující zejména pří</w:t>
      </w:r>
      <w:r>
        <w:rPr>
          <w:rFonts w:asciiTheme="minorHAnsi" w:hAnsiTheme="minorHAnsi" w:cstheme="minorHAnsi"/>
          <w:sz w:val="26"/>
          <w:szCs w:val="26"/>
        </w:rPr>
        <w:t>jmy z podnikatelských aktivit -4</w:t>
      </w:r>
      <w:r w:rsidRPr="004E4535">
        <w:rPr>
          <w:rFonts w:asciiTheme="minorHAnsi" w:hAnsiTheme="minorHAnsi" w:cstheme="minorHAnsi"/>
          <w:sz w:val="26"/>
          <w:szCs w:val="26"/>
        </w:rPr>
        <w:t>,</w:t>
      </w:r>
      <w:r>
        <w:rPr>
          <w:rFonts w:asciiTheme="minorHAnsi" w:hAnsiTheme="minorHAnsi" w:cstheme="minorHAnsi"/>
          <w:sz w:val="26"/>
          <w:szCs w:val="26"/>
        </w:rPr>
        <w:t>0</w:t>
      </w:r>
      <w:r w:rsidRPr="004E4535">
        <w:rPr>
          <w:rFonts w:asciiTheme="minorHAnsi" w:hAnsiTheme="minorHAnsi" w:cstheme="minorHAnsi"/>
          <w:sz w:val="26"/>
          <w:szCs w:val="26"/>
        </w:rPr>
        <w:t> %)</w:t>
      </w:r>
      <w:r>
        <w:rPr>
          <w:rFonts w:asciiTheme="minorHAnsi" w:hAnsiTheme="minorHAnsi" w:cstheme="minorHAnsi"/>
          <w:sz w:val="26"/>
          <w:szCs w:val="26"/>
        </w:rPr>
        <w:t>.</w:t>
      </w:r>
      <w:r w:rsidRPr="004E4535">
        <w:rPr>
          <w:rFonts w:asciiTheme="minorHAnsi" w:hAnsiTheme="minorHAnsi" w:cstheme="minorHAnsi"/>
          <w:sz w:val="26"/>
          <w:szCs w:val="26"/>
        </w:rPr>
        <w:t xml:space="preserve"> </w:t>
      </w:r>
      <w:r>
        <w:rPr>
          <w:rFonts w:asciiTheme="minorHAnsi" w:hAnsiTheme="minorHAnsi" w:cstheme="minorHAnsi"/>
          <w:sz w:val="26"/>
          <w:szCs w:val="26"/>
        </w:rPr>
        <w:t xml:space="preserve">V </w:t>
      </w:r>
      <w:r w:rsidRPr="004E4535">
        <w:rPr>
          <w:rFonts w:asciiTheme="minorHAnsi" w:hAnsiTheme="minorHAnsi" w:cstheme="minorHAnsi"/>
          <w:sz w:val="26"/>
          <w:szCs w:val="26"/>
        </w:rPr>
        <w:t>menší míře pak na něm participovaly</w:t>
      </w:r>
      <w:r w:rsidRPr="004E4535">
        <w:rPr>
          <w:rFonts w:asciiTheme="minorHAnsi" w:hAnsiTheme="minorHAnsi" w:cstheme="minorHAnsi"/>
          <w:bCs/>
          <w:sz w:val="26"/>
          <w:szCs w:val="26"/>
        </w:rPr>
        <w:t xml:space="preserve"> </w:t>
      </w:r>
      <w:r w:rsidRPr="004E4535">
        <w:rPr>
          <w:rFonts w:asciiTheme="minorHAnsi" w:hAnsiTheme="minorHAnsi" w:cstheme="minorHAnsi"/>
          <w:b/>
          <w:sz w:val="26"/>
          <w:szCs w:val="26"/>
        </w:rPr>
        <w:t>důchod</w:t>
      </w:r>
      <w:r w:rsidR="00D13546">
        <w:rPr>
          <w:rFonts w:asciiTheme="minorHAnsi" w:hAnsiTheme="minorHAnsi" w:cstheme="minorHAnsi"/>
          <w:b/>
          <w:sz w:val="26"/>
          <w:szCs w:val="26"/>
        </w:rPr>
        <w:t>y</w:t>
      </w:r>
      <w:r w:rsidRPr="004E4535">
        <w:rPr>
          <w:rFonts w:asciiTheme="minorHAnsi" w:hAnsiTheme="minorHAnsi" w:cstheme="minorHAnsi"/>
          <w:b/>
          <w:sz w:val="26"/>
          <w:szCs w:val="26"/>
        </w:rPr>
        <w:t xml:space="preserve"> z vlastnictví</w:t>
      </w:r>
      <w:r>
        <w:rPr>
          <w:rFonts w:asciiTheme="minorHAnsi" w:hAnsiTheme="minorHAnsi" w:cstheme="minorHAnsi"/>
          <w:sz w:val="26"/>
          <w:szCs w:val="26"/>
        </w:rPr>
        <w:t xml:space="preserve"> (-4</w:t>
      </w:r>
      <w:r w:rsidRPr="004E4535">
        <w:rPr>
          <w:rFonts w:asciiTheme="minorHAnsi" w:hAnsiTheme="minorHAnsi" w:cstheme="minorHAnsi"/>
          <w:sz w:val="26"/>
          <w:szCs w:val="26"/>
        </w:rPr>
        <w:t>,</w:t>
      </w:r>
      <w:r>
        <w:rPr>
          <w:rFonts w:asciiTheme="minorHAnsi" w:hAnsiTheme="minorHAnsi" w:cstheme="minorHAnsi"/>
          <w:sz w:val="26"/>
          <w:szCs w:val="26"/>
        </w:rPr>
        <w:t>6</w:t>
      </w:r>
      <w:r w:rsidRPr="004E4535">
        <w:rPr>
          <w:rFonts w:asciiTheme="minorHAnsi" w:hAnsiTheme="minorHAnsi" w:cstheme="minorHAnsi"/>
          <w:sz w:val="26"/>
          <w:szCs w:val="26"/>
        </w:rPr>
        <w:t> %).</w:t>
      </w:r>
      <w:r>
        <w:rPr>
          <w:rFonts w:asciiTheme="minorHAnsi" w:hAnsiTheme="minorHAnsi" w:cstheme="minorHAnsi"/>
          <w:sz w:val="26"/>
          <w:szCs w:val="26"/>
        </w:rPr>
        <w:t xml:space="preserve"> N</w:t>
      </w:r>
      <w:r w:rsidRPr="004E4535">
        <w:rPr>
          <w:rFonts w:asciiTheme="minorHAnsi" w:hAnsiTheme="minorHAnsi" w:cstheme="minorHAnsi"/>
          <w:sz w:val="26"/>
          <w:szCs w:val="26"/>
        </w:rPr>
        <w:t>a</w:t>
      </w:r>
      <w:r>
        <w:rPr>
          <w:rFonts w:asciiTheme="minorHAnsi" w:hAnsiTheme="minorHAnsi" w:cstheme="minorHAnsi"/>
          <w:sz w:val="26"/>
          <w:szCs w:val="26"/>
        </w:rPr>
        <w:t>opak vzrostla kupní síla</w:t>
      </w:r>
      <w:r>
        <w:rPr>
          <w:rFonts w:asciiTheme="minorHAnsi" w:hAnsiTheme="minorHAnsi" w:cstheme="minorHAnsi"/>
          <w:bCs/>
          <w:sz w:val="26"/>
          <w:szCs w:val="26"/>
        </w:rPr>
        <w:t xml:space="preserve"> </w:t>
      </w:r>
      <w:r w:rsidRPr="004E4535">
        <w:rPr>
          <w:rFonts w:asciiTheme="minorHAnsi" w:hAnsiTheme="minorHAnsi" w:cstheme="minorHAnsi"/>
          <w:b/>
          <w:bCs/>
          <w:sz w:val="26"/>
          <w:szCs w:val="26"/>
        </w:rPr>
        <w:t>sociální</w:t>
      </w:r>
      <w:r>
        <w:rPr>
          <w:rFonts w:asciiTheme="minorHAnsi" w:hAnsiTheme="minorHAnsi" w:cstheme="minorHAnsi"/>
          <w:b/>
          <w:bCs/>
          <w:sz w:val="26"/>
          <w:szCs w:val="26"/>
        </w:rPr>
        <w:t>ch</w:t>
      </w:r>
      <w:r w:rsidRPr="004E4535">
        <w:rPr>
          <w:rFonts w:asciiTheme="minorHAnsi" w:hAnsiTheme="minorHAnsi" w:cstheme="minorHAnsi"/>
          <w:b/>
          <w:bCs/>
          <w:sz w:val="26"/>
          <w:szCs w:val="26"/>
        </w:rPr>
        <w:t xml:space="preserve"> dáv</w:t>
      </w:r>
      <w:r>
        <w:rPr>
          <w:rFonts w:asciiTheme="minorHAnsi" w:hAnsiTheme="minorHAnsi" w:cstheme="minorHAnsi"/>
          <w:b/>
          <w:bCs/>
          <w:sz w:val="26"/>
          <w:szCs w:val="26"/>
        </w:rPr>
        <w:t>ek</w:t>
      </w:r>
      <w:r>
        <w:rPr>
          <w:rFonts w:asciiTheme="minorHAnsi" w:hAnsiTheme="minorHAnsi" w:cstheme="minorHAnsi"/>
          <w:bCs/>
          <w:sz w:val="26"/>
          <w:szCs w:val="26"/>
        </w:rPr>
        <w:t xml:space="preserve"> (+15</w:t>
      </w:r>
      <w:r w:rsidRPr="004E4535">
        <w:rPr>
          <w:rFonts w:asciiTheme="minorHAnsi" w:hAnsiTheme="minorHAnsi" w:cstheme="minorHAnsi"/>
          <w:bCs/>
          <w:sz w:val="26"/>
          <w:szCs w:val="26"/>
        </w:rPr>
        <w:t>,</w:t>
      </w:r>
      <w:r>
        <w:rPr>
          <w:rFonts w:asciiTheme="minorHAnsi" w:hAnsiTheme="minorHAnsi" w:cstheme="minorHAnsi"/>
          <w:bCs/>
          <w:sz w:val="26"/>
          <w:szCs w:val="26"/>
        </w:rPr>
        <w:t>7</w:t>
      </w:r>
      <w:r w:rsidRPr="004E4535">
        <w:rPr>
          <w:rFonts w:asciiTheme="minorHAnsi" w:hAnsiTheme="minorHAnsi" w:cstheme="minorHAnsi"/>
          <w:bCs/>
          <w:sz w:val="26"/>
          <w:szCs w:val="26"/>
        </w:rPr>
        <w:t> %)</w:t>
      </w:r>
      <w:r>
        <w:rPr>
          <w:rFonts w:asciiTheme="minorHAnsi" w:hAnsiTheme="minorHAnsi" w:cstheme="minorHAnsi"/>
          <w:bCs/>
          <w:sz w:val="26"/>
          <w:szCs w:val="26"/>
        </w:rPr>
        <w:t>.</w:t>
      </w:r>
    </w:p>
    <w:p w14:paraId="0D49BF6B" w14:textId="77777777" w:rsidR="00C62602" w:rsidRPr="004E4535" w:rsidRDefault="00C62602" w:rsidP="00D1044C">
      <w:pPr>
        <w:spacing w:after="240" w:line="360" w:lineRule="auto"/>
        <w:jc w:val="both"/>
        <w:rPr>
          <w:rFonts w:asciiTheme="minorHAnsi" w:hAnsiTheme="minorHAnsi" w:cstheme="minorHAnsi"/>
          <w:sz w:val="26"/>
          <w:szCs w:val="26"/>
        </w:rPr>
      </w:pPr>
      <w:r w:rsidRPr="004E4535">
        <w:rPr>
          <w:rFonts w:asciiTheme="minorHAnsi" w:hAnsiTheme="minorHAnsi" w:cstheme="minorHAnsi"/>
          <w:sz w:val="26"/>
          <w:szCs w:val="26"/>
        </w:rPr>
        <w:tab/>
        <w:t xml:space="preserve">Po odpočtu běžných výdajů (především daní z příjmů a příspěvků na sociální a zdravotní pojištění) zůstal sektoru domácností </w:t>
      </w:r>
      <w:r w:rsidRPr="004E4535">
        <w:rPr>
          <w:rFonts w:asciiTheme="minorHAnsi" w:hAnsiTheme="minorHAnsi" w:cstheme="minorHAnsi"/>
          <w:b/>
          <w:bCs/>
          <w:sz w:val="26"/>
          <w:szCs w:val="26"/>
        </w:rPr>
        <w:t xml:space="preserve">úhrnný disponibilní důchod </w:t>
      </w:r>
      <w:r w:rsidRPr="004E4535">
        <w:rPr>
          <w:rFonts w:asciiTheme="minorHAnsi" w:hAnsiTheme="minorHAnsi" w:cstheme="minorHAnsi"/>
          <w:sz w:val="26"/>
          <w:szCs w:val="26"/>
        </w:rPr>
        <w:t>v</w:t>
      </w:r>
      <w:r>
        <w:rPr>
          <w:rFonts w:asciiTheme="minorHAnsi" w:hAnsiTheme="minorHAnsi" w:cstheme="minorHAnsi"/>
          <w:sz w:val="26"/>
          <w:szCs w:val="26"/>
        </w:rPr>
        <w:t xml:space="preserve"> </w:t>
      </w:r>
      <w:r w:rsidRPr="004E4535">
        <w:rPr>
          <w:rFonts w:asciiTheme="minorHAnsi" w:hAnsiTheme="minorHAnsi" w:cstheme="minorHAnsi"/>
          <w:sz w:val="26"/>
          <w:szCs w:val="26"/>
        </w:rPr>
        <w:t xml:space="preserve">částce </w:t>
      </w:r>
      <w:r>
        <w:rPr>
          <w:rFonts w:asciiTheme="minorHAnsi" w:hAnsiTheme="minorHAnsi" w:cstheme="minorHAnsi"/>
          <w:b/>
          <w:bCs/>
          <w:sz w:val="26"/>
          <w:szCs w:val="26"/>
        </w:rPr>
        <w:t>3</w:t>
      </w:r>
      <w:r w:rsidRPr="004E4535">
        <w:rPr>
          <w:rFonts w:asciiTheme="minorHAnsi" w:hAnsiTheme="minorHAnsi" w:cstheme="minorHAnsi"/>
          <w:b/>
          <w:bCs/>
          <w:sz w:val="26"/>
          <w:szCs w:val="26"/>
        </w:rPr>
        <w:t> </w:t>
      </w:r>
      <w:r>
        <w:rPr>
          <w:rFonts w:asciiTheme="minorHAnsi" w:hAnsiTheme="minorHAnsi" w:cstheme="minorHAnsi"/>
          <w:b/>
          <w:bCs/>
          <w:sz w:val="26"/>
          <w:szCs w:val="26"/>
        </w:rPr>
        <w:t>162</w:t>
      </w:r>
      <w:r w:rsidRPr="004E4535">
        <w:rPr>
          <w:rFonts w:asciiTheme="minorHAnsi" w:hAnsiTheme="minorHAnsi" w:cstheme="minorHAnsi"/>
          <w:b/>
          <w:bCs/>
          <w:sz w:val="26"/>
          <w:szCs w:val="26"/>
        </w:rPr>
        <w:t>,</w:t>
      </w:r>
      <w:r>
        <w:rPr>
          <w:rFonts w:asciiTheme="minorHAnsi" w:hAnsiTheme="minorHAnsi" w:cstheme="minorHAnsi"/>
          <w:b/>
          <w:bCs/>
          <w:sz w:val="26"/>
          <w:szCs w:val="26"/>
        </w:rPr>
        <w:t>4</w:t>
      </w:r>
      <w:r w:rsidRPr="004E4535">
        <w:rPr>
          <w:rFonts w:asciiTheme="minorHAnsi" w:hAnsiTheme="minorHAnsi" w:cstheme="minorHAnsi"/>
          <w:b/>
          <w:bCs/>
          <w:sz w:val="26"/>
          <w:szCs w:val="26"/>
        </w:rPr>
        <w:t> mld. Kč,</w:t>
      </w:r>
      <w:r w:rsidRPr="004E4535">
        <w:rPr>
          <w:rFonts w:asciiTheme="minorHAnsi" w:hAnsiTheme="minorHAnsi" w:cstheme="minorHAnsi"/>
          <w:sz w:val="26"/>
          <w:szCs w:val="26"/>
        </w:rPr>
        <w:t xml:space="preserve"> což bylo </w:t>
      </w:r>
      <w:r w:rsidRPr="004E4535">
        <w:rPr>
          <w:rFonts w:asciiTheme="minorHAnsi" w:hAnsiTheme="minorHAnsi" w:cstheme="minorHAnsi"/>
          <w:b/>
          <w:bCs/>
          <w:sz w:val="26"/>
          <w:szCs w:val="26"/>
        </w:rPr>
        <w:t>reálně o</w:t>
      </w:r>
      <w:r>
        <w:rPr>
          <w:rFonts w:asciiTheme="minorHAnsi" w:hAnsiTheme="minorHAnsi" w:cstheme="minorHAnsi"/>
          <w:b/>
          <w:bCs/>
          <w:sz w:val="26"/>
          <w:szCs w:val="26"/>
        </w:rPr>
        <w:t xml:space="preserve"> 1</w:t>
      </w:r>
      <w:r w:rsidRPr="004E4535">
        <w:rPr>
          <w:rFonts w:asciiTheme="minorHAnsi" w:hAnsiTheme="minorHAnsi" w:cstheme="minorHAnsi"/>
          <w:b/>
          <w:bCs/>
          <w:sz w:val="26"/>
          <w:szCs w:val="26"/>
        </w:rPr>
        <w:t>,</w:t>
      </w:r>
      <w:r>
        <w:rPr>
          <w:rFonts w:asciiTheme="minorHAnsi" w:hAnsiTheme="minorHAnsi" w:cstheme="minorHAnsi"/>
          <w:b/>
          <w:bCs/>
          <w:sz w:val="26"/>
          <w:szCs w:val="26"/>
        </w:rPr>
        <w:t>7</w:t>
      </w:r>
      <w:r w:rsidRPr="004E4535">
        <w:rPr>
          <w:rFonts w:asciiTheme="minorHAnsi" w:hAnsiTheme="minorHAnsi" w:cstheme="minorHAnsi"/>
          <w:b/>
          <w:bCs/>
          <w:sz w:val="26"/>
          <w:szCs w:val="26"/>
        </w:rPr>
        <w:t xml:space="preserve"> % více </w:t>
      </w:r>
      <w:r w:rsidRPr="004E4535">
        <w:rPr>
          <w:rFonts w:asciiTheme="minorHAnsi" w:hAnsiTheme="minorHAnsi" w:cstheme="minorHAnsi"/>
          <w:sz w:val="26"/>
          <w:szCs w:val="26"/>
        </w:rPr>
        <w:t xml:space="preserve">než ve srovnatelném období </w:t>
      </w:r>
      <w:r>
        <w:rPr>
          <w:rFonts w:asciiTheme="minorHAnsi" w:hAnsiTheme="minorHAnsi" w:cstheme="minorHAnsi"/>
          <w:sz w:val="26"/>
          <w:szCs w:val="26"/>
        </w:rPr>
        <w:t xml:space="preserve">předchozího roku </w:t>
      </w:r>
      <w:r w:rsidRPr="004E4535">
        <w:rPr>
          <w:rFonts w:asciiTheme="minorHAnsi" w:hAnsiTheme="minorHAnsi" w:cstheme="minorHAnsi"/>
          <w:sz w:val="26"/>
          <w:szCs w:val="26"/>
        </w:rPr>
        <w:t>(kdy</w:t>
      </w:r>
      <w:r>
        <w:rPr>
          <w:rFonts w:asciiTheme="minorHAnsi" w:hAnsiTheme="minorHAnsi" w:cstheme="minorHAnsi"/>
          <w:sz w:val="26"/>
          <w:szCs w:val="26"/>
        </w:rPr>
        <w:t xml:space="preserve"> </w:t>
      </w:r>
      <w:r w:rsidRPr="004E4535">
        <w:rPr>
          <w:rFonts w:asciiTheme="minorHAnsi" w:hAnsiTheme="minorHAnsi" w:cstheme="minorHAnsi"/>
          <w:sz w:val="26"/>
          <w:szCs w:val="26"/>
        </w:rPr>
        <w:t>se kupní síla jeho objemu meziročně zvýšila o</w:t>
      </w:r>
      <w:r>
        <w:rPr>
          <w:rFonts w:asciiTheme="minorHAnsi" w:hAnsiTheme="minorHAnsi" w:cstheme="minorHAnsi"/>
          <w:sz w:val="26"/>
          <w:szCs w:val="26"/>
        </w:rPr>
        <w:t xml:space="preserve"> 3,1 </w:t>
      </w:r>
      <w:r w:rsidRPr="004E4535">
        <w:rPr>
          <w:rFonts w:asciiTheme="minorHAnsi" w:hAnsiTheme="minorHAnsi" w:cstheme="minorHAnsi"/>
          <w:sz w:val="26"/>
          <w:szCs w:val="26"/>
        </w:rPr>
        <w:t>%).</w:t>
      </w:r>
    </w:p>
    <w:p w14:paraId="61411288" w14:textId="77777777" w:rsidR="00C62602" w:rsidRPr="004E4535" w:rsidRDefault="00C62602" w:rsidP="00D1044C">
      <w:pPr>
        <w:spacing w:after="240" w:line="360" w:lineRule="auto"/>
        <w:jc w:val="both"/>
        <w:rPr>
          <w:rFonts w:asciiTheme="minorHAnsi" w:hAnsiTheme="minorHAnsi" w:cstheme="minorHAnsi"/>
          <w:b/>
          <w:sz w:val="26"/>
          <w:szCs w:val="26"/>
        </w:rPr>
      </w:pPr>
      <w:r w:rsidRPr="004E4535">
        <w:rPr>
          <w:rFonts w:asciiTheme="minorHAnsi" w:hAnsiTheme="minorHAnsi" w:cstheme="minorHAnsi"/>
          <w:sz w:val="26"/>
          <w:szCs w:val="26"/>
        </w:rPr>
        <w:tab/>
      </w:r>
      <w:r w:rsidRPr="004E4535">
        <w:rPr>
          <w:rFonts w:asciiTheme="minorHAnsi" w:hAnsiTheme="minorHAnsi" w:cstheme="minorHAnsi"/>
          <w:b/>
          <w:sz w:val="26"/>
          <w:szCs w:val="26"/>
        </w:rPr>
        <w:t>Relace disponibilního důchodu k objemu hrubého domácího produktu</w:t>
      </w:r>
      <w:r w:rsidRPr="004E4535">
        <w:rPr>
          <w:rFonts w:asciiTheme="minorHAnsi" w:hAnsiTheme="minorHAnsi" w:cstheme="minorHAnsi"/>
          <w:sz w:val="26"/>
          <w:szCs w:val="26"/>
        </w:rPr>
        <w:t xml:space="preserve"> (v běžných cenách) meziročně </w:t>
      </w:r>
      <w:r w:rsidRPr="004E4535">
        <w:rPr>
          <w:rFonts w:asciiTheme="minorHAnsi" w:hAnsiTheme="minorHAnsi" w:cstheme="minorHAnsi"/>
          <w:b/>
          <w:sz w:val="26"/>
          <w:szCs w:val="26"/>
        </w:rPr>
        <w:t>stoupla</w:t>
      </w:r>
      <w:r w:rsidRPr="004E4535">
        <w:rPr>
          <w:rFonts w:asciiTheme="minorHAnsi" w:hAnsiTheme="minorHAnsi" w:cstheme="minorHAnsi"/>
          <w:sz w:val="26"/>
          <w:szCs w:val="26"/>
        </w:rPr>
        <w:t xml:space="preserve"> o</w:t>
      </w:r>
      <w:r>
        <w:rPr>
          <w:rFonts w:asciiTheme="minorHAnsi" w:hAnsiTheme="minorHAnsi" w:cstheme="minorHAnsi"/>
          <w:sz w:val="26"/>
          <w:szCs w:val="26"/>
        </w:rPr>
        <w:t xml:space="preserve"> 3</w:t>
      </w:r>
      <w:r w:rsidRPr="004E4535">
        <w:rPr>
          <w:rFonts w:asciiTheme="minorHAnsi" w:hAnsiTheme="minorHAnsi" w:cstheme="minorHAnsi"/>
          <w:sz w:val="26"/>
          <w:szCs w:val="26"/>
        </w:rPr>
        <w:t>,</w:t>
      </w:r>
      <w:r>
        <w:rPr>
          <w:rFonts w:asciiTheme="minorHAnsi" w:hAnsiTheme="minorHAnsi" w:cstheme="minorHAnsi"/>
          <w:sz w:val="26"/>
          <w:szCs w:val="26"/>
        </w:rPr>
        <w:t>5</w:t>
      </w:r>
      <w:r w:rsidRPr="004E4535">
        <w:rPr>
          <w:rFonts w:asciiTheme="minorHAnsi" w:hAnsiTheme="minorHAnsi" w:cstheme="minorHAnsi"/>
          <w:sz w:val="26"/>
          <w:szCs w:val="26"/>
        </w:rPr>
        <w:t xml:space="preserve"> p. b. na </w:t>
      </w:r>
      <w:r>
        <w:rPr>
          <w:rFonts w:asciiTheme="minorHAnsi" w:hAnsiTheme="minorHAnsi" w:cstheme="minorHAnsi"/>
          <w:b/>
          <w:sz w:val="26"/>
          <w:szCs w:val="26"/>
        </w:rPr>
        <w:t>55,9</w:t>
      </w:r>
      <w:r w:rsidRPr="004E4535">
        <w:rPr>
          <w:rFonts w:asciiTheme="minorHAnsi" w:hAnsiTheme="minorHAnsi" w:cstheme="minorHAnsi"/>
          <w:b/>
          <w:sz w:val="26"/>
          <w:szCs w:val="26"/>
        </w:rPr>
        <w:t> %.</w:t>
      </w:r>
    </w:p>
    <w:p w14:paraId="1870E11F" w14:textId="77777777" w:rsidR="00C62602" w:rsidRDefault="00C62602" w:rsidP="00D1044C">
      <w:pPr>
        <w:spacing w:after="240" w:line="360" w:lineRule="auto"/>
        <w:jc w:val="both"/>
        <w:rPr>
          <w:rFonts w:asciiTheme="minorHAnsi" w:hAnsiTheme="minorHAnsi" w:cstheme="minorHAnsi"/>
          <w:bCs/>
          <w:sz w:val="26"/>
          <w:szCs w:val="26"/>
        </w:rPr>
      </w:pPr>
      <w:r w:rsidRPr="004E4535">
        <w:rPr>
          <w:rFonts w:asciiTheme="minorHAnsi" w:hAnsiTheme="minorHAnsi" w:cstheme="minorHAnsi"/>
          <w:b/>
          <w:sz w:val="26"/>
          <w:szCs w:val="26"/>
        </w:rPr>
        <w:tab/>
      </w:r>
      <w:r w:rsidRPr="009A1831">
        <w:rPr>
          <w:rFonts w:asciiTheme="minorHAnsi" w:hAnsiTheme="minorHAnsi" w:cstheme="minorHAnsi"/>
          <w:bCs/>
          <w:sz w:val="26"/>
          <w:szCs w:val="26"/>
        </w:rPr>
        <w:t xml:space="preserve">Na základě údajů ČSÚ ze čtvrtletních sektorových účtů </w:t>
      </w:r>
      <w:r w:rsidRPr="009A1831">
        <w:rPr>
          <w:rFonts w:asciiTheme="minorHAnsi" w:hAnsiTheme="minorHAnsi" w:cstheme="minorHAnsi"/>
          <w:b/>
          <w:bCs/>
          <w:sz w:val="26"/>
          <w:szCs w:val="26"/>
        </w:rPr>
        <w:t>vzrostly</w:t>
      </w:r>
      <w:r w:rsidRPr="009A1831">
        <w:rPr>
          <w:rFonts w:asciiTheme="minorHAnsi" w:hAnsiTheme="minorHAnsi" w:cstheme="minorHAnsi"/>
          <w:bCs/>
          <w:sz w:val="26"/>
          <w:szCs w:val="26"/>
        </w:rPr>
        <w:t xml:space="preserve"> v roce 2020 </w:t>
      </w:r>
      <w:r w:rsidRPr="009A1831">
        <w:rPr>
          <w:rFonts w:asciiTheme="minorHAnsi" w:hAnsiTheme="minorHAnsi" w:cstheme="minorHAnsi"/>
          <w:b/>
          <w:bCs/>
          <w:sz w:val="26"/>
          <w:szCs w:val="26"/>
        </w:rPr>
        <w:t>reálné příjmy domácností na obyvatele</w:t>
      </w:r>
      <w:r w:rsidRPr="009A1831">
        <w:rPr>
          <w:rFonts w:asciiTheme="minorHAnsi" w:hAnsiTheme="minorHAnsi" w:cstheme="minorHAnsi"/>
          <w:bCs/>
          <w:sz w:val="26"/>
          <w:szCs w:val="26"/>
        </w:rPr>
        <w:t xml:space="preserve"> meziročně </w:t>
      </w:r>
      <w:r w:rsidRPr="009A1831">
        <w:rPr>
          <w:rFonts w:asciiTheme="minorHAnsi" w:hAnsiTheme="minorHAnsi" w:cstheme="minorHAnsi"/>
          <w:b/>
          <w:bCs/>
          <w:sz w:val="26"/>
          <w:szCs w:val="26"/>
        </w:rPr>
        <w:t>o</w:t>
      </w:r>
      <w:r>
        <w:rPr>
          <w:rFonts w:asciiTheme="minorHAnsi" w:hAnsiTheme="minorHAnsi" w:cstheme="minorHAnsi"/>
          <w:b/>
          <w:bCs/>
          <w:sz w:val="26"/>
          <w:szCs w:val="26"/>
        </w:rPr>
        <w:t xml:space="preserve"> </w:t>
      </w:r>
      <w:r w:rsidRPr="009A1831">
        <w:rPr>
          <w:rFonts w:asciiTheme="minorHAnsi" w:hAnsiTheme="minorHAnsi" w:cstheme="minorHAnsi"/>
          <w:b/>
          <w:bCs/>
          <w:sz w:val="26"/>
          <w:szCs w:val="26"/>
        </w:rPr>
        <w:t>2,8 %.</w:t>
      </w:r>
      <w:r w:rsidRPr="009A1831">
        <w:rPr>
          <w:rFonts w:asciiTheme="minorHAnsi" w:hAnsiTheme="minorHAnsi" w:cstheme="minorHAnsi"/>
          <w:bCs/>
          <w:sz w:val="26"/>
          <w:szCs w:val="26"/>
        </w:rPr>
        <w:t xml:space="preserve"> </w:t>
      </w:r>
      <w:r w:rsidRPr="009A1831">
        <w:rPr>
          <w:rFonts w:asciiTheme="minorHAnsi" w:hAnsiTheme="minorHAnsi" w:cstheme="minorHAnsi"/>
          <w:b/>
          <w:bCs/>
          <w:sz w:val="26"/>
          <w:szCs w:val="26"/>
        </w:rPr>
        <w:t>Průměrný měsíční příjem ze zaměstnání dosáhl</w:t>
      </w:r>
      <w:r w:rsidRPr="009A1831">
        <w:rPr>
          <w:rFonts w:asciiTheme="minorHAnsi" w:hAnsiTheme="minorHAnsi" w:cstheme="minorHAnsi"/>
          <w:bCs/>
          <w:sz w:val="26"/>
          <w:szCs w:val="26"/>
        </w:rPr>
        <w:t xml:space="preserve"> ve stejném období částky </w:t>
      </w:r>
      <w:r w:rsidRPr="009A1831">
        <w:rPr>
          <w:rFonts w:asciiTheme="minorHAnsi" w:hAnsiTheme="minorHAnsi" w:cstheme="minorHAnsi"/>
          <w:b/>
          <w:bCs/>
          <w:sz w:val="26"/>
          <w:szCs w:val="26"/>
        </w:rPr>
        <w:t>36 025 Kč</w:t>
      </w:r>
      <w:r w:rsidRPr="009A1831">
        <w:rPr>
          <w:rFonts w:asciiTheme="minorHAnsi" w:hAnsiTheme="minorHAnsi" w:cstheme="minorHAnsi"/>
          <w:bCs/>
          <w:sz w:val="26"/>
          <w:szCs w:val="26"/>
        </w:rPr>
        <w:t xml:space="preserve"> a reálně se</w:t>
      </w:r>
      <w:r>
        <w:rPr>
          <w:rFonts w:asciiTheme="minorHAnsi" w:hAnsiTheme="minorHAnsi" w:cstheme="minorHAnsi"/>
          <w:bCs/>
          <w:sz w:val="26"/>
          <w:szCs w:val="26"/>
        </w:rPr>
        <w:t xml:space="preserve"> </w:t>
      </w:r>
      <w:r w:rsidRPr="009A1831">
        <w:rPr>
          <w:rFonts w:asciiTheme="minorHAnsi" w:hAnsiTheme="minorHAnsi" w:cstheme="minorHAnsi"/>
          <w:bCs/>
          <w:sz w:val="26"/>
          <w:szCs w:val="26"/>
        </w:rPr>
        <w:t>meziročně snížil o 1,3 %.</w:t>
      </w:r>
    </w:p>
    <w:p w14:paraId="3D792373" w14:textId="77777777" w:rsidR="00C62602" w:rsidRDefault="00C62602" w:rsidP="00D1044C">
      <w:pPr>
        <w:spacing w:after="240" w:line="360" w:lineRule="auto"/>
        <w:jc w:val="both"/>
        <w:rPr>
          <w:rFonts w:asciiTheme="minorHAnsi" w:hAnsiTheme="minorHAnsi" w:cstheme="minorHAnsi"/>
          <w:sz w:val="26"/>
          <w:szCs w:val="26"/>
        </w:rPr>
      </w:pPr>
      <w:r w:rsidRPr="004E4535">
        <w:rPr>
          <w:rFonts w:asciiTheme="minorHAnsi" w:hAnsiTheme="minorHAnsi" w:cstheme="minorHAnsi"/>
          <w:sz w:val="26"/>
          <w:szCs w:val="26"/>
        </w:rPr>
        <w:lastRenderedPageBreak/>
        <w:tab/>
        <w:t>Podrobnější číselné údaje o vývoji ukazatelů v sektoru domácností jsou součástí tabulky č. 1 v příloze.</w:t>
      </w:r>
    </w:p>
    <w:p w14:paraId="6B51CDAA" w14:textId="77777777" w:rsidR="00C62602" w:rsidRDefault="00C62602" w:rsidP="00C62602">
      <w:pPr>
        <w:pStyle w:val="Zkladntext"/>
        <w:spacing w:after="120"/>
        <w:rPr>
          <w:rFonts w:asciiTheme="minorHAnsi" w:hAnsiTheme="minorHAnsi" w:cs="Arial"/>
          <w:sz w:val="26"/>
          <w:szCs w:val="26"/>
        </w:rPr>
      </w:pPr>
    </w:p>
    <w:p w14:paraId="3C4BD943" w14:textId="77777777" w:rsidR="00C62602" w:rsidRDefault="00C62602" w:rsidP="00C62602">
      <w:pPr>
        <w:pStyle w:val="Zkladntext"/>
        <w:spacing w:after="360"/>
        <w:rPr>
          <w:rFonts w:asciiTheme="minorHAnsi" w:hAnsiTheme="minorHAnsi"/>
          <w:b/>
          <w:bCs/>
          <w:sz w:val="26"/>
          <w:szCs w:val="26"/>
        </w:rPr>
      </w:pPr>
      <w:r>
        <w:rPr>
          <w:rFonts w:asciiTheme="minorHAnsi" w:hAnsiTheme="minorHAnsi" w:cs="Arial"/>
          <w:sz w:val="26"/>
          <w:szCs w:val="26"/>
        </w:rPr>
        <w:tab/>
      </w:r>
      <w:r>
        <w:rPr>
          <w:rFonts w:asciiTheme="minorHAnsi" w:hAnsiTheme="minorHAnsi"/>
          <w:b/>
          <w:sz w:val="26"/>
          <w:szCs w:val="26"/>
        </w:rPr>
        <w:t>Další</w:t>
      </w:r>
      <w:r>
        <w:rPr>
          <w:rFonts w:asciiTheme="minorHAnsi" w:hAnsiTheme="minorHAnsi"/>
          <w:b/>
          <w:bCs/>
          <w:sz w:val="26"/>
          <w:szCs w:val="26"/>
        </w:rPr>
        <w:t xml:space="preserve"> </w:t>
      </w:r>
      <w:r>
        <w:rPr>
          <w:rFonts w:asciiTheme="minorHAnsi" w:hAnsiTheme="minorHAnsi"/>
          <w:bCs/>
          <w:sz w:val="26"/>
          <w:szCs w:val="26"/>
        </w:rPr>
        <w:t>relevantní</w:t>
      </w:r>
      <w:r>
        <w:rPr>
          <w:rFonts w:asciiTheme="minorHAnsi" w:hAnsiTheme="minorHAnsi"/>
          <w:b/>
          <w:bCs/>
          <w:sz w:val="26"/>
          <w:szCs w:val="26"/>
        </w:rPr>
        <w:t xml:space="preserve"> </w:t>
      </w:r>
      <w:r>
        <w:rPr>
          <w:rFonts w:asciiTheme="minorHAnsi" w:hAnsiTheme="minorHAnsi"/>
          <w:bCs/>
          <w:sz w:val="26"/>
          <w:szCs w:val="26"/>
        </w:rPr>
        <w:t>a</w:t>
      </w:r>
      <w:r>
        <w:rPr>
          <w:rFonts w:asciiTheme="minorHAnsi" w:hAnsiTheme="minorHAnsi"/>
          <w:b/>
          <w:bCs/>
          <w:sz w:val="26"/>
          <w:szCs w:val="26"/>
        </w:rPr>
        <w:t xml:space="preserve"> doplňující údaje o příjmech českých domácností odpovídající dlouhodobě platným trendům </w:t>
      </w:r>
      <w:r>
        <w:rPr>
          <w:rFonts w:asciiTheme="minorHAnsi" w:hAnsiTheme="minorHAnsi"/>
          <w:b/>
          <w:sz w:val="26"/>
          <w:szCs w:val="26"/>
        </w:rPr>
        <w:t>poskytují</w:t>
      </w:r>
      <w:r>
        <w:rPr>
          <w:rFonts w:asciiTheme="minorHAnsi" w:hAnsiTheme="minorHAnsi"/>
          <w:sz w:val="26"/>
          <w:szCs w:val="26"/>
        </w:rPr>
        <w:t xml:space="preserve"> výsledky výběrového šetření ČSÚ </w:t>
      </w:r>
      <w:r>
        <w:rPr>
          <w:rFonts w:asciiTheme="minorHAnsi" w:hAnsiTheme="minorHAnsi"/>
          <w:b/>
          <w:sz w:val="26"/>
          <w:szCs w:val="26"/>
        </w:rPr>
        <w:t xml:space="preserve">„Životní podmínky“ </w:t>
      </w:r>
      <w:r>
        <w:rPr>
          <w:rFonts w:asciiTheme="minorHAnsi" w:hAnsiTheme="minorHAnsi"/>
          <w:sz w:val="26"/>
          <w:szCs w:val="26"/>
        </w:rPr>
        <w:t>(aktuální šetření proběhlo od února do července 2020 a zjišťovalo ekonomickou situaci českých domácností v době dotazování a jejich příjmy za rok předcházející, tedy 2019 – viz kapitolu Metodika a zdroje použitých dat). V následující pasáži jsou uvedená data</w:t>
      </w:r>
      <w:r>
        <w:rPr>
          <w:rFonts w:asciiTheme="minorHAnsi" w:hAnsiTheme="minorHAnsi"/>
          <w:b/>
          <w:bCs/>
          <w:sz w:val="26"/>
          <w:szCs w:val="26"/>
        </w:rPr>
        <w:t xml:space="preserve"> </w:t>
      </w:r>
      <w:r>
        <w:rPr>
          <w:rFonts w:asciiTheme="minorHAnsi" w:hAnsiTheme="minorHAnsi"/>
          <w:bCs/>
          <w:sz w:val="26"/>
          <w:szCs w:val="26"/>
        </w:rPr>
        <w:t xml:space="preserve">získána na reprezentativním vzorku domácností a </w:t>
      </w:r>
      <w:r>
        <w:rPr>
          <w:rFonts w:asciiTheme="minorHAnsi" w:hAnsiTheme="minorHAnsi"/>
          <w:b/>
          <w:bCs/>
          <w:sz w:val="26"/>
          <w:szCs w:val="26"/>
        </w:rPr>
        <w:t xml:space="preserve">týkají se </w:t>
      </w:r>
      <w:r>
        <w:rPr>
          <w:rFonts w:asciiTheme="minorHAnsi" w:hAnsiTheme="minorHAnsi"/>
          <w:bCs/>
          <w:sz w:val="26"/>
          <w:szCs w:val="26"/>
        </w:rPr>
        <w:t xml:space="preserve">obecně </w:t>
      </w:r>
      <w:r>
        <w:rPr>
          <w:rFonts w:asciiTheme="minorHAnsi" w:hAnsiTheme="minorHAnsi"/>
          <w:b/>
          <w:bCs/>
          <w:sz w:val="26"/>
          <w:szCs w:val="26"/>
        </w:rPr>
        <w:t>podrobnějších charakteristik příjmové diferenciace domácností.</w:t>
      </w:r>
    </w:p>
    <w:p w14:paraId="44DAA566" w14:textId="77777777" w:rsidR="00C62602" w:rsidRDefault="00C62602" w:rsidP="00C62602">
      <w:pPr>
        <w:pStyle w:val="Zkladntext"/>
        <w:numPr>
          <w:ilvl w:val="0"/>
          <w:numId w:val="18"/>
        </w:numPr>
        <w:spacing w:after="360"/>
        <w:ind w:left="357" w:hanging="357"/>
        <w:rPr>
          <w:rFonts w:asciiTheme="minorHAnsi" w:hAnsiTheme="minorHAnsi"/>
          <w:bCs/>
          <w:sz w:val="26"/>
          <w:szCs w:val="26"/>
        </w:rPr>
      </w:pPr>
      <w:r>
        <w:rPr>
          <w:rFonts w:asciiTheme="minorHAnsi" w:hAnsiTheme="minorHAnsi"/>
          <w:b/>
          <w:bCs/>
          <w:sz w:val="26"/>
          <w:szCs w:val="26"/>
        </w:rPr>
        <w:t>V roce 2019</w:t>
      </w:r>
      <w:r>
        <w:rPr>
          <w:rFonts w:asciiTheme="minorHAnsi" w:hAnsiTheme="minorHAnsi"/>
          <w:bCs/>
          <w:sz w:val="26"/>
          <w:szCs w:val="26"/>
        </w:rPr>
        <w:t xml:space="preserve"> </w:t>
      </w:r>
      <w:r>
        <w:rPr>
          <w:rFonts w:asciiTheme="minorHAnsi" w:hAnsiTheme="minorHAnsi"/>
          <w:b/>
          <w:bCs/>
          <w:sz w:val="26"/>
          <w:szCs w:val="26"/>
        </w:rPr>
        <w:t>dosáhl</w:t>
      </w:r>
      <w:r>
        <w:rPr>
          <w:rFonts w:asciiTheme="minorHAnsi" w:hAnsiTheme="minorHAnsi"/>
          <w:bCs/>
          <w:sz w:val="26"/>
          <w:szCs w:val="26"/>
        </w:rPr>
        <w:t xml:space="preserve"> průměrný roční </w:t>
      </w:r>
      <w:r>
        <w:rPr>
          <w:rFonts w:asciiTheme="minorHAnsi" w:hAnsiTheme="minorHAnsi"/>
          <w:b/>
          <w:bCs/>
          <w:sz w:val="26"/>
          <w:szCs w:val="26"/>
        </w:rPr>
        <w:t>čistý</w:t>
      </w:r>
      <w:r>
        <w:rPr>
          <w:rFonts w:asciiTheme="minorHAnsi" w:hAnsiTheme="minorHAnsi"/>
          <w:bCs/>
          <w:sz w:val="26"/>
          <w:szCs w:val="26"/>
        </w:rPr>
        <w:t xml:space="preserve"> peněžní </w:t>
      </w:r>
      <w:r>
        <w:rPr>
          <w:rFonts w:asciiTheme="minorHAnsi" w:hAnsiTheme="minorHAnsi"/>
          <w:b/>
          <w:bCs/>
          <w:sz w:val="26"/>
          <w:szCs w:val="26"/>
        </w:rPr>
        <w:t>příjem na osobu</w:t>
      </w:r>
      <w:r>
        <w:rPr>
          <w:rFonts w:asciiTheme="minorHAnsi" w:hAnsiTheme="minorHAnsi"/>
          <w:bCs/>
          <w:sz w:val="26"/>
          <w:szCs w:val="26"/>
        </w:rPr>
        <w:t xml:space="preserve"> v domácnosti (podle výše uvedeného zjišťování) </w:t>
      </w:r>
      <w:r>
        <w:rPr>
          <w:rFonts w:asciiTheme="minorHAnsi" w:hAnsiTheme="minorHAnsi"/>
          <w:b/>
          <w:bCs/>
          <w:sz w:val="26"/>
          <w:szCs w:val="26"/>
        </w:rPr>
        <w:t>209,8 tis. Kč</w:t>
      </w:r>
      <w:r>
        <w:rPr>
          <w:rFonts w:asciiTheme="minorHAnsi" w:hAnsiTheme="minorHAnsi"/>
          <w:bCs/>
          <w:sz w:val="26"/>
          <w:szCs w:val="26"/>
        </w:rPr>
        <w:t xml:space="preserve"> (cca 17 480 Kč měsíčně), tj. o 14,7 tis. Kč více než o rok dříve. </w:t>
      </w:r>
      <w:r>
        <w:rPr>
          <w:rFonts w:asciiTheme="minorHAnsi" w:hAnsiTheme="minorHAnsi"/>
          <w:sz w:val="26"/>
          <w:szCs w:val="26"/>
        </w:rPr>
        <w:t xml:space="preserve">Z hlediska postavení osoby v čele domácnosti se zvýšily příjmy všem skupinám domácností. Ze sledovaných typů domácností </w:t>
      </w:r>
      <w:r>
        <w:rPr>
          <w:rFonts w:asciiTheme="minorHAnsi" w:hAnsiTheme="minorHAnsi"/>
          <w:b/>
          <w:sz w:val="26"/>
          <w:szCs w:val="26"/>
        </w:rPr>
        <w:t xml:space="preserve">výrazně vzrostly příjmy zejména </w:t>
      </w:r>
      <w:r>
        <w:rPr>
          <w:rFonts w:asciiTheme="minorHAnsi" w:hAnsiTheme="minorHAnsi"/>
          <w:b/>
          <w:bCs/>
          <w:sz w:val="26"/>
          <w:szCs w:val="26"/>
        </w:rPr>
        <w:t>domácnostem</w:t>
      </w:r>
      <w:r>
        <w:rPr>
          <w:rFonts w:asciiTheme="minorHAnsi" w:hAnsiTheme="minorHAnsi"/>
          <w:sz w:val="26"/>
          <w:szCs w:val="26"/>
        </w:rPr>
        <w:t xml:space="preserve"> </w:t>
      </w:r>
      <w:r>
        <w:rPr>
          <w:rFonts w:asciiTheme="minorHAnsi" w:hAnsiTheme="minorHAnsi"/>
          <w:b/>
          <w:sz w:val="26"/>
          <w:szCs w:val="26"/>
        </w:rPr>
        <w:t>zaměstnanců</w:t>
      </w:r>
      <w:r>
        <w:rPr>
          <w:rFonts w:asciiTheme="minorHAnsi" w:hAnsiTheme="minorHAnsi"/>
          <w:sz w:val="26"/>
          <w:szCs w:val="26"/>
        </w:rPr>
        <w:t xml:space="preserve"> </w:t>
      </w:r>
      <w:r>
        <w:rPr>
          <w:rFonts w:asciiTheme="minorHAnsi" w:hAnsiTheme="minorHAnsi"/>
          <w:b/>
          <w:sz w:val="26"/>
          <w:szCs w:val="26"/>
        </w:rPr>
        <w:t xml:space="preserve">s vyšším vzděláním </w:t>
      </w:r>
      <w:r>
        <w:rPr>
          <w:rFonts w:asciiTheme="minorHAnsi" w:hAnsiTheme="minorHAnsi"/>
          <w:bCs/>
          <w:sz w:val="26"/>
          <w:szCs w:val="26"/>
        </w:rPr>
        <w:t>(o 8,1 %) na 238,1 tis. Kč ročně</w:t>
      </w:r>
      <w:r>
        <w:rPr>
          <w:rFonts w:asciiTheme="minorHAnsi" w:hAnsiTheme="minorHAnsi"/>
          <w:b/>
          <w:sz w:val="26"/>
          <w:szCs w:val="26"/>
        </w:rPr>
        <w:t xml:space="preserve"> </w:t>
      </w:r>
      <w:r>
        <w:rPr>
          <w:rFonts w:asciiTheme="minorHAnsi" w:hAnsiTheme="minorHAnsi"/>
          <w:sz w:val="26"/>
          <w:szCs w:val="26"/>
        </w:rPr>
        <w:t xml:space="preserve">a rovněž i </w:t>
      </w:r>
      <w:r>
        <w:rPr>
          <w:rFonts w:asciiTheme="minorHAnsi" w:hAnsiTheme="minorHAnsi"/>
          <w:b/>
          <w:sz w:val="26"/>
          <w:szCs w:val="26"/>
        </w:rPr>
        <w:t xml:space="preserve">domácnostem nepracujících důchodců </w:t>
      </w:r>
      <w:r>
        <w:rPr>
          <w:rFonts w:asciiTheme="minorHAnsi" w:hAnsiTheme="minorHAnsi"/>
          <w:sz w:val="26"/>
          <w:szCs w:val="26"/>
        </w:rPr>
        <w:t>(o 8,0 </w:t>
      </w:r>
      <w:r>
        <w:rPr>
          <w:rFonts w:asciiTheme="minorHAnsi" w:hAnsiTheme="minorHAnsi"/>
          <w:sz w:val="26"/>
          <w:szCs w:val="26"/>
          <w:lang w:val="en-US"/>
        </w:rPr>
        <w:t>%)</w:t>
      </w:r>
      <w:r>
        <w:rPr>
          <w:rFonts w:asciiTheme="minorHAnsi" w:hAnsiTheme="minorHAnsi"/>
          <w:sz w:val="26"/>
          <w:szCs w:val="26"/>
        </w:rPr>
        <w:t xml:space="preserve"> na 176,1 tis. Kč.</w:t>
      </w:r>
      <w:r>
        <w:rPr>
          <w:rFonts w:asciiTheme="minorHAnsi" w:hAnsiTheme="minorHAnsi"/>
          <w:b/>
          <w:sz w:val="26"/>
          <w:szCs w:val="26"/>
        </w:rPr>
        <w:t xml:space="preserve"> </w:t>
      </w:r>
      <w:r>
        <w:rPr>
          <w:rFonts w:asciiTheme="minorHAnsi" w:hAnsiTheme="minorHAnsi"/>
          <w:sz w:val="26"/>
          <w:szCs w:val="26"/>
        </w:rPr>
        <w:t xml:space="preserve">Průměrné roční čisté peněžní </w:t>
      </w:r>
      <w:r>
        <w:rPr>
          <w:rFonts w:asciiTheme="minorHAnsi" w:hAnsiTheme="minorHAnsi"/>
          <w:bCs/>
          <w:sz w:val="26"/>
          <w:szCs w:val="26"/>
        </w:rPr>
        <w:t>příjmy</w:t>
      </w:r>
      <w:r>
        <w:rPr>
          <w:rFonts w:asciiTheme="minorHAnsi" w:hAnsiTheme="minorHAnsi"/>
          <w:b/>
          <w:sz w:val="26"/>
          <w:szCs w:val="26"/>
        </w:rPr>
        <w:t xml:space="preserve"> domácností </w:t>
      </w:r>
      <w:r w:rsidRPr="00971C5E">
        <w:rPr>
          <w:rFonts w:asciiTheme="minorHAnsi" w:hAnsiTheme="minorHAnsi"/>
          <w:b/>
          <w:sz w:val="26"/>
          <w:szCs w:val="26"/>
        </w:rPr>
        <w:t>samostatně výdělečně činných</w:t>
      </w:r>
      <w:r>
        <w:rPr>
          <w:rFonts w:asciiTheme="minorHAnsi" w:hAnsiTheme="minorHAnsi"/>
          <w:b/>
          <w:sz w:val="26"/>
          <w:szCs w:val="26"/>
        </w:rPr>
        <w:t xml:space="preserve"> </w:t>
      </w:r>
      <w:r>
        <w:rPr>
          <w:rFonts w:asciiTheme="minorHAnsi" w:hAnsiTheme="minorHAnsi"/>
          <w:bCs/>
          <w:sz w:val="26"/>
          <w:szCs w:val="26"/>
        </w:rPr>
        <w:t>dosáhly 237,1 tis. Kč</w:t>
      </w:r>
      <w:r>
        <w:rPr>
          <w:rFonts w:asciiTheme="minorHAnsi" w:hAnsiTheme="minorHAnsi"/>
          <w:sz w:val="26"/>
          <w:szCs w:val="26"/>
        </w:rPr>
        <w:t xml:space="preserve"> (nárůst o 6,7 %). Mírně </w:t>
      </w:r>
      <w:r>
        <w:rPr>
          <w:rFonts w:asciiTheme="minorHAnsi" w:hAnsiTheme="minorHAnsi"/>
          <w:bCs/>
          <w:sz w:val="26"/>
          <w:szCs w:val="26"/>
        </w:rPr>
        <w:t>pomaleji rostly</w:t>
      </w:r>
      <w:r>
        <w:rPr>
          <w:rFonts w:asciiTheme="minorHAnsi" w:hAnsiTheme="minorHAnsi"/>
          <w:sz w:val="26"/>
          <w:szCs w:val="26"/>
        </w:rPr>
        <w:t xml:space="preserve"> průměrné čisté </w:t>
      </w:r>
      <w:r>
        <w:rPr>
          <w:rFonts w:asciiTheme="minorHAnsi" w:hAnsiTheme="minorHAnsi"/>
          <w:b/>
          <w:sz w:val="26"/>
          <w:szCs w:val="26"/>
        </w:rPr>
        <w:t>příjmy</w:t>
      </w:r>
      <w:r>
        <w:rPr>
          <w:rFonts w:asciiTheme="minorHAnsi" w:hAnsiTheme="minorHAnsi"/>
          <w:sz w:val="26"/>
          <w:szCs w:val="26"/>
        </w:rPr>
        <w:t xml:space="preserve"> </w:t>
      </w:r>
      <w:r>
        <w:rPr>
          <w:rFonts w:asciiTheme="minorHAnsi" w:hAnsiTheme="minorHAnsi"/>
          <w:b/>
          <w:sz w:val="26"/>
          <w:szCs w:val="26"/>
        </w:rPr>
        <w:t xml:space="preserve">domácnostem </w:t>
      </w:r>
      <w:r w:rsidRPr="00971C5E">
        <w:rPr>
          <w:rFonts w:asciiTheme="minorHAnsi" w:hAnsiTheme="minorHAnsi"/>
          <w:b/>
          <w:sz w:val="26"/>
          <w:szCs w:val="26"/>
        </w:rPr>
        <w:t>zaměstnancům s nižším vzděláním</w:t>
      </w:r>
      <w:r>
        <w:rPr>
          <w:rFonts w:asciiTheme="minorHAnsi" w:hAnsiTheme="minorHAnsi"/>
          <w:sz w:val="26"/>
          <w:szCs w:val="26"/>
        </w:rPr>
        <w:t xml:space="preserve"> (o 5,8 % na 188,2 tis. Kč ročně)</w:t>
      </w:r>
      <w:r>
        <w:rPr>
          <w:rFonts w:asciiTheme="minorHAnsi" w:hAnsiTheme="minorHAnsi"/>
          <w:bCs/>
          <w:sz w:val="26"/>
          <w:szCs w:val="26"/>
        </w:rPr>
        <w:t>,</w:t>
      </w:r>
    </w:p>
    <w:p w14:paraId="13080D87" w14:textId="77777777" w:rsidR="00C62602" w:rsidRDefault="00C62602" w:rsidP="00C62602">
      <w:pPr>
        <w:pStyle w:val="Zkladntext"/>
        <w:numPr>
          <w:ilvl w:val="0"/>
          <w:numId w:val="18"/>
        </w:numPr>
        <w:spacing w:after="360"/>
        <w:ind w:left="357" w:hanging="357"/>
        <w:rPr>
          <w:rFonts w:asciiTheme="minorHAnsi" w:hAnsiTheme="minorHAnsi"/>
          <w:sz w:val="26"/>
          <w:szCs w:val="26"/>
        </w:rPr>
      </w:pPr>
      <w:r>
        <w:rPr>
          <w:rFonts w:asciiTheme="minorHAnsi" w:hAnsiTheme="minorHAnsi"/>
          <w:b/>
          <w:sz w:val="26"/>
          <w:szCs w:val="26"/>
        </w:rPr>
        <w:t>podíl domácností</w:t>
      </w:r>
      <w:r>
        <w:rPr>
          <w:rFonts w:asciiTheme="minorHAnsi" w:hAnsiTheme="minorHAnsi"/>
          <w:sz w:val="26"/>
          <w:szCs w:val="26"/>
        </w:rPr>
        <w:t xml:space="preserve"> s příjmem </w:t>
      </w:r>
      <w:r>
        <w:rPr>
          <w:rFonts w:asciiTheme="minorHAnsi" w:hAnsiTheme="minorHAnsi"/>
          <w:b/>
          <w:sz w:val="26"/>
          <w:szCs w:val="26"/>
        </w:rPr>
        <w:t>pod hranicí příjmové chudoby dosáhl v roce 2020</w:t>
      </w:r>
      <w:r>
        <w:rPr>
          <w:rFonts w:asciiTheme="minorHAnsi" w:hAnsiTheme="minorHAnsi"/>
          <w:sz w:val="26"/>
          <w:szCs w:val="26"/>
        </w:rPr>
        <w:t xml:space="preserve"> </w:t>
      </w:r>
      <w:r>
        <w:rPr>
          <w:rFonts w:asciiTheme="minorHAnsi" w:hAnsiTheme="minorHAnsi"/>
          <w:b/>
          <w:sz w:val="26"/>
          <w:szCs w:val="26"/>
        </w:rPr>
        <w:t>úrovně 9,5 %.</w:t>
      </w:r>
      <w:r>
        <w:rPr>
          <w:rFonts w:asciiTheme="minorHAnsi" w:hAnsiTheme="minorHAnsi"/>
          <w:sz w:val="26"/>
          <w:szCs w:val="26"/>
        </w:rPr>
        <w:t xml:space="preserve"> Tato hranice je definována jako 60 % mediánu </w:t>
      </w:r>
      <w:proofErr w:type="spellStart"/>
      <w:r>
        <w:rPr>
          <w:rFonts w:asciiTheme="minorHAnsi" w:hAnsiTheme="minorHAnsi"/>
          <w:sz w:val="26"/>
          <w:szCs w:val="26"/>
        </w:rPr>
        <w:t>ekvivalizovaného</w:t>
      </w:r>
      <w:proofErr w:type="spellEnd"/>
      <w:r>
        <w:rPr>
          <w:rFonts w:asciiTheme="minorHAnsi" w:hAnsiTheme="minorHAnsi"/>
          <w:sz w:val="26"/>
          <w:szCs w:val="26"/>
        </w:rPr>
        <w:t xml:space="preserve"> disponibilního příjmu domácnosti a pro domácnost jednotlivce činila ve sledovaném roce 13 640 Kč měsíčně (viz graf č. 2 v příloze). </w:t>
      </w:r>
      <w:r>
        <w:rPr>
          <w:rFonts w:asciiTheme="minorHAnsi" w:hAnsiTheme="minorHAnsi" w:cs="Arial"/>
          <w:sz w:val="26"/>
          <w:szCs w:val="26"/>
        </w:rPr>
        <w:t>U domácnosti dvou dospělých tato hranice vycházela 20 460 Kč měsíčně, u rodiče s dítětem do 13 let činila 17 732 Kč měsíčně a pro partnerský pár se dvěma dětmi do 13 let byla 28 644 Kč měsíčně</w:t>
      </w:r>
      <w:r>
        <w:rPr>
          <w:rFonts w:asciiTheme="minorHAnsi" w:hAnsiTheme="minorHAnsi"/>
          <w:sz w:val="26"/>
          <w:szCs w:val="26"/>
        </w:rPr>
        <w:t>,</w:t>
      </w:r>
    </w:p>
    <w:p w14:paraId="36FBB4DB" w14:textId="77777777" w:rsidR="00C62602" w:rsidRDefault="00C62602" w:rsidP="00C62602">
      <w:pPr>
        <w:pStyle w:val="Odstavecseseznamem"/>
        <w:numPr>
          <w:ilvl w:val="0"/>
          <w:numId w:val="18"/>
        </w:numPr>
        <w:spacing w:after="360" w:line="360" w:lineRule="auto"/>
        <w:ind w:left="357" w:hanging="357"/>
        <w:contextualSpacing/>
        <w:jc w:val="both"/>
        <w:rPr>
          <w:rFonts w:asciiTheme="minorHAnsi" w:hAnsiTheme="minorHAnsi" w:cs="Arial"/>
          <w:sz w:val="26"/>
          <w:szCs w:val="26"/>
        </w:rPr>
      </w:pPr>
      <w:r>
        <w:rPr>
          <w:rFonts w:asciiTheme="minorHAnsi" w:hAnsiTheme="minorHAnsi" w:cs="Arial"/>
          <w:sz w:val="26"/>
          <w:szCs w:val="26"/>
        </w:rPr>
        <w:lastRenderedPageBreak/>
        <w:t xml:space="preserve">z dlouhodobého hlediska jsou příjmovou chudobou </w:t>
      </w:r>
      <w:r>
        <w:rPr>
          <w:rFonts w:asciiTheme="minorHAnsi" w:hAnsiTheme="minorHAnsi" w:cs="Arial"/>
          <w:b/>
          <w:sz w:val="26"/>
          <w:szCs w:val="26"/>
        </w:rPr>
        <w:t>nejvíce zasaženými skupinami domácnosti nezaměstnaných,</w:t>
      </w:r>
      <w:r>
        <w:rPr>
          <w:rFonts w:asciiTheme="minorHAnsi" w:hAnsiTheme="minorHAnsi" w:cs="Arial"/>
          <w:sz w:val="26"/>
          <w:szCs w:val="26"/>
        </w:rPr>
        <w:t xml:space="preserve"> kde bylo ohroženo 52,9 % osob, </w:t>
      </w:r>
      <w:r>
        <w:rPr>
          <w:rFonts w:asciiTheme="minorHAnsi" w:hAnsiTheme="minorHAnsi" w:cs="Arial"/>
          <w:b/>
          <w:sz w:val="26"/>
          <w:szCs w:val="26"/>
        </w:rPr>
        <w:t>neúplné rodiny s dětmi</w:t>
      </w:r>
      <w:r>
        <w:rPr>
          <w:rFonts w:asciiTheme="minorHAnsi" w:hAnsiTheme="minorHAnsi" w:cs="Arial"/>
          <w:sz w:val="26"/>
          <w:szCs w:val="26"/>
        </w:rPr>
        <w:t xml:space="preserve"> (32,4 %), </w:t>
      </w:r>
      <w:r>
        <w:rPr>
          <w:rFonts w:asciiTheme="minorHAnsi" w:hAnsiTheme="minorHAnsi" w:cs="Arial"/>
          <w:b/>
          <w:bCs/>
          <w:sz w:val="26"/>
          <w:szCs w:val="26"/>
        </w:rPr>
        <w:t>osoby z úplných rodin se třemi a více dětmi</w:t>
      </w:r>
      <w:r>
        <w:rPr>
          <w:rFonts w:asciiTheme="minorHAnsi" w:hAnsiTheme="minorHAnsi" w:cs="Arial"/>
          <w:sz w:val="26"/>
          <w:szCs w:val="26"/>
        </w:rPr>
        <w:t xml:space="preserve"> (14,6 %) a </w:t>
      </w:r>
      <w:r>
        <w:rPr>
          <w:rFonts w:asciiTheme="minorHAnsi" w:hAnsiTheme="minorHAnsi" w:cs="Arial"/>
          <w:b/>
          <w:sz w:val="26"/>
          <w:szCs w:val="26"/>
        </w:rPr>
        <w:t>jednotlivci ve věku 65 let a více</w:t>
      </w:r>
      <w:r>
        <w:rPr>
          <w:rFonts w:asciiTheme="minorHAnsi" w:hAnsiTheme="minorHAnsi" w:cs="Arial"/>
          <w:sz w:val="26"/>
          <w:szCs w:val="26"/>
        </w:rPr>
        <w:t xml:space="preserve"> (37,4 %),</w:t>
      </w:r>
    </w:p>
    <w:p w14:paraId="715613F7" w14:textId="59A24094" w:rsidR="00C62602" w:rsidRDefault="00C62602" w:rsidP="00C62602">
      <w:pPr>
        <w:pStyle w:val="Zkladntext"/>
        <w:numPr>
          <w:ilvl w:val="0"/>
          <w:numId w:val="18"/>
        </w:numPr>
        <w:spacing w:after="360"/>
        <w:ind w:left="357" w:hanging="357"/>
        <w:rPr>
          <w:rFonts w:asciiTheme="minorHAnsi" w:hAnsiTheme="minorHAnsi"/>
          <w:sz w:val="26"/>
          <w:szCs w:val="26"/>
        </w:rPr>
      </w:pPr>
      <w:r>
        <w:rPr>
          <w:rFonts w:asciiTheme="minorHAnsi" w:hAnsiTheme="minorHAnsi"/>
          <w:b/>
          <w:sz w:val="26"/>
          <w:szCs w:val="26"/>
        </w:rPr>
        <w:t>míra materiální a sociální deprivace</w:t>
      </w:r>
      <w:r>
        <w:rPr>
          <w:rFonts w:asciiTheme="minorHAnsi" w:hAnsiTheme="minorHAnsi"/>
          <w:sz w:val="26"/>
          <w:szCs w:val="26"/>
        </w:rPr>
        <w:t xml:space="preserve"> (podíl osob, které si z finančních důvodů nemohly dovolit 5 ze 13 základních věcí služeb či požitků) </w:t>
      </w:r>
      <w:r>
        <w:rPr>
          <w:rFonts w:asciiTheme="minorHAnsi" w:hAnsiTheme="minorHAnsi"/>
          <w:b/>
          <w:sz w:val="26"/>
          <w:szCs w:val="26"/>
        </w:rPr>
        <w:t>byla</w:t>
      </w:r>
      <w:r>
        <w:rPr>
          <w:rFonts w:asciiTheme="minorHAnsi" w:hAnsiTheme="minorHAnsi"/>
          <w:sz w:val="26"/>
          <w:szCs w:val="26"/>
        </w:rPr>
        <w:t xml:space="preserve"> podle údajů ČSÚ </w:t>
      </w:r>
      <w:r>
        <w:rPr>
          <w:rFonts w:asciiTheme="minorHAnsi" w:hAnsiTheme="minorHAnsi"/>
          <w:b/>
          <w:sz w:val="26"/>
          <w:szCs w:val="26"/>
        </w:rPr>
        <w:t>v roce 2020</w:t>
      </w:r>
      <w:r>
        <w:rPr>
          <w:rFonts w:asciiTheme="minorHAnsi" w:hAnsiTheme="minorHAnsi"/>
          <w:sz w:val="26"/>
          <w:szCs w:val="26"/>
        </w:rPr>
        <w:t xml:space="preserve"> o 0,3 p. b. nižší než v předchozím roce a činila </w:t>
      </w:r>
      <w:r>
        <w:rPr>
          <w:rFonts w:asciiTheme="minorHAnsi" w:hAnsiTheme="minorHAnsi"/>
          <w:b/>
          <w:sz w:val="26"/>
          <w:szCs w:val="26"/>
        </w:rPr>
        <w:t xml:space="preserve">5,0 %. </w:t>
      </w:r>
      <w:r>
        <w:rPr>
          <w:rFonts w:asciiTheme="minorHAnsi" w:hAnsiTheme="minorHAnsi"/>
          <w:sz w:val="26"/>
          <w:szCs w:val="26"/>
        </w:rPr>
        <w:t>Největší část připadá na položku pořízení nového nábytku za opotřebovaný (téměř třetina domácností), zhruba pětina domácností si nemohla dovolit neočekávaný výdaj ve</w:t>
      </w:r>
      <w:r w:rsidR="00724AC1">
        <w:rPr>
          <w:rFonts w:asciiTheme="minorHAnsi" w:hAnsiTheme="minorHAnsi"/>
          <w:sz w:val="26"/>
          <w:szCs w:val="26"/>
        </w:rPr>
        <w:t> </w:t>
      </w:r>
      <w:r>
        <w:rPr>
          <w:rFonts w:asciiTheme="minorHAnsi" w:hAnsiTheme="minorHAnsi"/>
          <w:sz w:val="26"/>
          <w:szCs w:val="26"/>
        </w:rPr>
        <w:t>výši 12 000 Kč a týdenní dovolenou pro všechny členy domácnosti,</w:t>
      </w:r>
    </w:p>
    <w:p w14:paraId="0E48E5D7" w14:textId="4B763DE2" w:rsidR="00C62602" w:rsidRDefault="00C62602" w:rsidP="00C62602">
      <w:pPr>
        <w:pStyle w:val="Odstavecseseznamem"/>
        <w:numPr>
          <w:ilvl w:val="0"/>
          <w:numId w:val="18"/>
        </w:numPr>
        <w:spacing w:after="360" w:line="360" w:lineRule="auto"/>
        <w:ind w:left="357" w:hanging="357"/>
        <w:jc w:val="both"/>
        <w:rPr>
          <w:rFonts w:asciiTheme="minorHAnsi" w:hAnsiTheme="minorHAnsi" w:cs="Arial"/>
          <w:sz w:val="26"/>
          <w:szCs w:val="26"/>
        </w:rPr>
      </w:pPr>
      <w:r>
        <w:rPr>
          <w:rFonts w:asciiTheme="minorHAnsi" w:hAnsiTheme="minorHAnsi" w:cs="Arial"/>
          <w:sz w:val="26"/>
          <w:szCs w:val="26"/>
        </w:rPr>
        <w:t xml:space="preserve">podle výsledků šetření Životní podmínky se </w:t>
      </w:r>
      <w:r>
        <w:rPr>
          <w:rFonts w:asciiTheme="minorHAnsi" w:hAnsiTheme="minorHAnsi" w:cs="Arial"/>
          <w:b/>
          <w:sz w:val="26"/>
          <w:szCs w:val="26"/>
        </w:rPr>
        <w:t>domácnostem</w:t>
      </w:r>
      <w:r>
        <w:rPr>
          <w:rFonts w:asciiTheme="minorHAnsi" w:hAnsiTheme="minorHAnsi" w:cs="Arial"/>
          <w:sz w:val="26"/>
          <w:szCs w:val="26"/>
        </w:rPr>
        <w:t xml:space="preserve"> v roce 2020 zejména díky zlepšující</w:t>
      </w:r>
      <w:r w:rsidR="00724AC1">
        <w:rPr>
          <w:rFonts w:asciiTheme="minorHAnsi" w:hAnsiTheme="minorHAnsi" w:cs="Arial"/>
          <w:sz w:val="26"/>
          <w:szCs w:val="26"/>
        </w:rPr>
        <w:t xml:space="preserve"> se</w:t>
      </w:r>
      <w:r>
        <w:rPr>
          <w:rFonts w:asciiTheme="minorHAnsi" w:hAnsiTheme="minorHAnsi" w:cs="Arial"/>
          <w:sz w:val="26"/>
          <w:szCs w:val="26"/>
        </w:rPr>
        <w:t xml:space="preserve"> finanční situaci </w:t>
      </w:r>
      <w:r>
        <w:rPr>
          <w:rFonts w:asciiTheme="minorHAnsi" w:hAnsiTheme="minorHAnsi" w:cs="Arial"/>
          <w:b/>
          <w:sz w:val="26"/>
          <w:szCs w:val="26"/>
        </w:rPr>
        <w:t>meziročně snížily náklady na bydlení</w:t>
      </w:r>
      <w:r>
        <w:rPr>
          <w:rFonts w:asciiTheme="minorHAnsi" w:hAnsiTheme="minorHAnsi" w:cs="Arial"/>
          <w:sz w:val="26"/>
          <w:szCs w:val="26"/>
        </w:rPr>
        <w:t xml:space="preserve"> (z 15,2 % na 14,6 %). Podíl nákladů na bydlení na čistých příjmech se však výrazně liší dle charakteristiky domácnosti a například u samostatně žijících osob starších 65 let přesáhl 28 %. V roce 2020 vnímalo náklady na bydlení jako velkou zátěž 15,7 % domácností (meziročně o 0,9 p. b. méně),</w:t>
      </w:r>
    </w:p>
    <w:p w14:paraId="1DA62D5E" w14:textId="3B66A02E" w:rsidR="00C62602" w:rsidRPr="00D75AE3" w:rsidRDefault="00C62602" w:rsidP="00C62602">
      <w:pPr>
        <w:pStyle w:val="Odstavecseseznamem"/>
        <w:numPr>
          <w:ilvl w:val="0"/>
          <w:numId w:val="18"/>
        </w:numPr>
        <w:spacing w:after="360" w:line="360" w:lineRule="auto"/>
        <w:ind w:left="357" w:hanging="357"/>
        <w:jc w:val="both"/>
        <w:rPr>
          <w:rFonts w:asciiTheme="minorHAnsi" w:hAnsiTheme="minorHAnsi" w:cs="Arial"/>
          <w:sz w:val="26"/>
          <w:szCs w:val="26"/>
        </w:rPr>
      </w:pPr>
      <w:r w:rsidRPr="00D75AE3">
        <w:rPr>
          <w:rFonts w:asciiTheme="minorHAnsi" w:hAnsiTheme="minorHAnsi" w:cs="Arial"/>
          <w:b/>
          <w:sz w:val="26"/>
          <w:szCs w:val="26"/>
        </w:rPr>
        <w:t>v roce 20</w:t>
      </w:r>
      <w:r>
        <w:rPr>
          <w:rFonts w:asciiTheme="minorHAnsi" w:hAnsiTheme="minorHAnsi" w:cs="Arial"/>
          <w:b/>
          <w:sz w:val="26"/>
          <w:szCs w:val="26"/>
        </w:rPr>
        <w:t>20</w:t>
      </w:r>
      <w:r w:rsidRPr="00D75AE3">
        <w:rPr>
          <w:rFonts w:asciiTheme="minorHAnsi" w:hAnsiTheme="minorHAnsi" w:cs="Arial"/>
          <w:b/>
          <w:sz w:val="26"/>
          <w:szCs w:val="26"/>
        </w:rPr>
        <w:t xml:space="preserve"> vycházelo se svými příjmy s velkými obtížemi nebo s obtížemi 13</w:t>
      </w:r>
      <w:r>
        <w:rPr>
          <w:rFonts w:asciiTheme="minorHAnsi" w:hAnsiTheme="minorHAnsi" w:cs="Arial"/>
          <w:b/>
          <w:sz w:val="26"/>
          <w:szCs w:val="26"/>
        </w:rPr>
        <w:t>,0</w:t>
      </w:r>
      <w:r w:rsidRPr="00D75AE3">
        <w:rPr>
          <w:rFonts w:asciiTheme="minorHAnsi" w:hAnsiTheme="minorHAnsi" w:cs="Arial"/>
          <w:b/>
          <w:sz w:val="26"/>
          <w:szCs w:val="26"/>
        </w:rPr>
        <w:t> % domácností</w:t>
      </w:r>
      <w:r w:rsidRPr="00D75AE3">
        <w:rPr>
          <w:rFonts w:asciiTheme="minorHAnsi" w:hAnsiTheme="minorHAnsi" w:cs="Arial"/>
          <w:sz w:val="26"/>
          <w:szCs w:val="26"/>
        </w:rPr>
        <w:t xml:space="preserve"> (meziroční pokles o </w:t>
      </w:r>
      <w:r>
        <w:rPr>
          <w:rFonts w:asciiTheme="minorHAnsi" w:hAnsiTheme="minorHAnsi" w:cs="Arial"/>
          <w:sz w:val="26"/>
          <w:szCs w:val="26"/>
        </w:rPr>
        <w:t>1</w:t>
      </w:r>
      <w:r w:rsidRPr="00D75AE3">
        <w:rPr>
          <w:rFonts w:asciiTheme="minorHAnsi" w:hAnsiTheme="minorHAnsi" w:cs="Arial"/>
          <w:sz w:val="26"/>
          <w:szCs w:val="26"/>
        </w:rPr>
        <w:t>,3 p. b.). Nejvyšší podíl domácností, které se svými příjmy vycházely s velkými obtížemi nebo s obtížemi, byl u domácností nezaměstnaných (</w:t>
      </w:r>
      <w:r>
        <w:rPr>
          <w:rFonts w:asciiTheme="minorHAnsi" w:hAnsiTheme="minorHAnsi" w:cs="Arial"/>
          <w:sz w:val="26"/>
          <w:szCs w:val="26"/>
        </w:rPr>
        <w:t>56</w:t>
      </w:r>
      <w:r w:rsidRPr="00D75AE3">
        <w:rPr>
          <w:rFonts w:asciiTheme="minorHAnsi" w:hAnsiTheme="minorHAnsi" w:cs="Arial"/>
          <w:sz w:val="26"/>
          <w:szCs w:val="26"/>
        </w:rPr>
        <w:t>,</w:t>
      </w:r>
      <w:r>
        <w:rPr>
          <w:rFonts w:asciiTheme="minorHAnsi" w:hAnsiTheme="minorHAnsi" w:cs="Arial"/>
          <w:sz w:val="26"/>
          <w:szCs w:val="26"/>
        </w:rPr>
        <w:t>0</w:t>
      </w:r>
      <w:r w:rsidRPr="00D75AE3">
        <w:rPr>
          <w:rFonts w:asciiTheme="minorHAnsi" w:hAnsiTheme="minorHAnsi" w:cs="Arial"/>
          <w:sz w:val="26"/>
          <w:szCs w:val="26"/>
        </w:rPr>
        <w:t> %)</w:t>
      </w:r>
      <w:r>
        <w:rPr>
          <w:rFonts w:asciiTheme="minorHAnsi" w:hAnsiTheme="minorHAnsi" w:cs="Arial"/>
          <w:sz w:val="26"/>
          <w:szCs w:val="26"/>
        </w:rPr>
        <w:t xml:space="preserve"> </w:t>
      </w:r>
      <w:r w:rsidRPr="00C62602">
        <w:rPr>
          <w:rFonts w:asciiTheme="minorHAnsi" w:hAnsiTheme="minorHAnsi" w:cs="Arial"/>
          <w:sz w:val="26"/>
          <w:szCs w:val="26"/>
        </w:rPr>
        <w:t>a u neúplných rodin s dětmi (30,7 %)</w:t>
      </w:r>
      <w:r w:rsidRPr="00D75AE3">
        <w:rPr>
          <w:rFonts w:asciiTheme="minorHAnsi" w:hAnsiTheme="minorHAnsi" w:cs="Arial"/>
          <w:sz w:val="26"/>
          <w:szCs w:val="26"/>
        </w:rPr>
        <w:t>.</w:t>
      </w:r>
    </w:p>
    <w:p w14:paraId="293E44B2" w14:textId="77777777" w:rsidR="00C62602" w:rsidRPr="005E50DE" w:rsidRDefault="00C62602" w:rsidP="00C62602">
      <w:pPr>
        <w:pStyle w:val="Odstavecseseznamem"/>
        <w:numPr>
          <w:ilvl w:val="0"/>
          <w:numId w:val="18"/>
        </w:numPr>
      </w:pPr>
      <w:r w:rsidRPr="005E50DE">
        <w:br w:type="page"/>
      </w:r>
    </w:p>
    <w:p w14:paraId="3AF54255" w14:textId="458F8ABD" w:rsidR="00D97A60" w:rsidRDefault="00D97A60" w:rsidP="003501F0">
      <w:pPr>
        <w:spacing w:after="360" w:line="360" w:lineRule="auto"/>
        <w:rPr>
          <w:rFonts w:asciiTheme="minorHAnsi" w:hAnsiTheme="minorHAnsi" w:cs="Arial"/>
          <w:b/>
          <w:i/>
          <w:smallCaps/>
          <w:color w:val="1F497D"/>
          <w:sz w:val="36"/>
          <w:szCs w:val="40"/>
        </w:rPr>
      </w:pPr>
      <w:r w:rsidRPr="00710980">
        <w:rPr>
          <w:rFonts w:asciiTheme="minorHAnsi" w:hAnsiTheme="minorHAnsi" w:cs="Arial"/>
          <w:b/>
          <w:i/>
          <w:smallCaps/>
          <w:color w:val="1F497D"/>
          <w:sz w:val="36"/>
          <w:szCs w:val="40"/>
        </w:rPr>
        <w:lastRenderedPageBreak/>
        <w:t>1. 2 Mzdy</w:t>
      </w:r>
    </w:p>
    <w:p w14:paraId="314C314D" w14:textId="77777777" w:rsidR="00621D94" w:rsidRPr="00621D94" w:rsidRDefault="00621D94" w:rsidP="00621D94">
      <w:pPr>
        <w:spacing w:after="120" w:line="360" w:lineRule="auto"/>
        <w:jc w:val="both"/>
        <w:rPr>
          <w:rFonts w:ascii="Calibri" w:hAnsi="Calibri" w:cs="Calibri"/>
          <w:sz w:val="26"/>
          <w:szCs w:val="26"/>
        </w:rPr>
      </w:pPr>
      <w:r w:rsidRPr="00621D94">
        <w:rPr>
          <w:rFonts w:ascii="Calibri" w:hAnsi="Calibri" w:cs="Calibri"/>
          <w:sz w:val="26"/>
          <w:szCs w:val="26"/>
        </w:rPr>
        <w:tab/>
      </w:r>
      <w:r w:rsidRPr="00621D94">
        <w:rPr>
          <w:rFonts w:ascii="Calibri" w:hAnsi="Calibri" w:cs="Calibri"/>
          <w:b/>
          <w:sz w:val="26"/>
          <w:szCs w:val="26"/>
        </w:rPr>
        <w:t>Rozhodující část</w:t>
      </w:r>
      <w:r w:rsidRPr="00621D94">
        <w:rPr>
          <w:rFonts w:ascii="Calibri" w:hAnsi="Calibri" w:cs="Calibri"/>
          <w:sz w:val="26"/>
          <w:szCs w:val="26"/>
        </w:rPr>
        <w:t xml:space="preserve"> peněžních </w:t>
      </w:r>
      <w:r w:rsidRPr="00621D94">
        <w:rPr>
          <w:rFonts w:ascii="Calibri" w:hAnsi="Calibri" w:cs="Calibri"/>
          <w:b/>
          <w:sz w:val="26"/>
          <w:szCs w:val="26"/>
        </w:rPr>
        <w:t>příjmů domácností tvořily mzdy.</w:t>
      </w:r>
      <w:r w:rsidRPr="00621D94">
        <w:rPr>
          <w:rFonts w:ascii="Calibri" w:hAnsi="Calibri" w:cs="Calibri"/>
          <w:sz w:val="26"/>
          <w:szCs w:val="26"/>
        </w:rPr>
        <w:t xml:space="preserve"> Na jejich celkových příjmech se podílely </w:t>
      </w:r>
      <w:r w:rsidRPr="00621D94">
        <w:rPr>
          <w:rFonts w:ascii="Calibri" w:hAnsi="Calibri" w:cs="Calibri"/>
          <w:b/>
          <w:sz w:val="26"/>
          <w:szCs w:val="26"/>
        </w:rPr>
        <w:t>44,7 %</w:t>
      </w:r>
      <w:r w:rsidRPr="00621D94">
        <w:rPr>
          <w:rFonts w:ascii="Calibri" w:hAnsi="Calibri" w:cs="Calibri"/>
          <w:sz w:val="26"/>
          <w:szCs w:val="26"/>
        </w:rPr>
        <w:t xml:space="preserve"> (v předchozím roce 45,0 %).</w:t>
      </w:r>
    </w:p>
    <w:p w14:paraId="530C2113" w14:textId="6CC8C9E6" w:rsidR="00621D94" w:rsidRDefault="00621D94" w:rsidP="00621D94">
      <w:pPr>
        <w:spacing w:after="120" w:line="360" w:lineRule="auto"/>
        <w:jc w:val="both"/>
        <w:rPr>
          <w:rFonts w:ascii="Calibri" w:hAnsi="Calibri" w:cs="Calibri"/>
          <w:sz w:val="26"/>
          <w:szCs w:val="26"/>
        </w:rPr>
      </w:pPr>
      <w:r w:rsidRPr="00621D94">
        <w:rPr>
          <w:rFonts w:ascii="Calibri" w:hAnsi="Calibri" w:cs="Calibri"/>
          <w:sz w:val="26"/>
          <w:szCs w:val="26"/>
        </w:rPr>
        <w:tab/>
        <w:t xml:space="preserve">Celkový </w:t>
      </w:r>
      <w:r w:rsidRPr="00621D94">
        <w:rPr>
          <w:rFonts w:ascii="Calibri" w:hAnsi="Calibri" w:cs="Calibri"/>
          <w:b/>
          <w:sz w:val="26"/>
          <w:szCs w:val="26"/>
        </w:rPr>
        <w:t>objem mzdových prostředků</w:t>
      </w:r>
      <w:r w:rsidRPr="00621D94">
        <w:rPr>
          <w:rFonts w:ascii="Calibri" w:hAnsi="Calibri" w:cs="Calibri"/>
          <w:sz w:val="26"/>
          <w:szCs w:val="26"/>
        </w:rPr>
        <w:t xml:space="preserve"> (bez ostatních osobních nákladů) zúčtovaný všem zaměstnancům k výplatě za celé národní hospodářství </w:t>
      </w:r>
      <w:r w:rsidRPr="00621D94">
        <w:rPr>
          <w:rFonts w:ascii="Calibri" w:hAnsi="Calibri" w:cs="Calibri"/>
          <w:b/>
          <w:sz w:val="26"/>
          <w:szCs w:val="26"/>
        </w:rPr>
        <w:t>v roce 2020 dosáhl 1 700,9 mld. Kč</w:t>
      </w:r>
      <w:r w:rsidRPr="00621D94">
        <w:rPr>
          <w:rFonts w:ascii="Calibri" w:hAnsi="Calibri" w:cs="Calibri"/>
          <w:sz w:val="26"/>
          <w:szCs w:val="26"/>
        </w:rPr>
        <w:t xml:space="preserve"> a byl tak nominálně o 1,7 % vyšší než v roce 2019.</w:t>
      </w:r>
    </w:p>
    <w:p w14:paraId="135DC865" w14:textId="7CDA0ED8" w:rsidR="00621D94" w:rsidRDefault="00621D94" w:rsidP="00621D94">
      <w:pPr>
        <w:spacing w:after="120" w:line="360" w:lineRule="auto"/>
        <w:jc w:val="both"/>
        <w:rPr>
          <w:rFonts w:ascii="Calibri" w:hAnsi="Calibri" w:cs="Calibri"/>
          <w:bCs/>
          <w:iCs/>
          <w:sz w:val="26"/>
          <w:szCs w:val="26"/>
        </w:rPr>
      </w:pPr>
      <w:r>
        <w:rPr>
          <w:rFonts w:ascii="Calibri" w:hAnsi="Calibri" w:cs="Calibri"/>
          <w:sz w:val="26"/>
          <w:szCs w:val="26"/>
        </w:rPr>
        <w:tab/>
      </w:r>
      <w:r w:rsidRPr="00621D94">
        <w:rPr>
          <w:rFonts w:ascii="Calibri" w:hAnsi="Calibri" w:cs="Calibri"/>
          <w:b/>
          <w:iCs/>
          <w:sz w:val="26"/>
          <w:szCs w:val="26"/>
        </w:rPr>
        <w:t>Průměrná hrubá měsíční nominální mzda</w:t>
      </w:r>
      <w:r w:rsidRPr="00621D94">
        <w:rPr>
          <w:rFonts w:ascii="Calibri" w:hAnsi="Calibri" w:cs="Calibri"/>
          <w:bCs/>
          <w:iCs/>
          <w:sz w:val="26"/>
          <w:szCs w:val="26"/>
        </w:rPr>
        <w:t xml:space="preserve"> na přepočtené počty zaměstnanců </w:t>
      </w:r>
      <w:r w:rsidRPr="00621D94">
        <w:rPr>
          <w:rFonts w:ascii="Calibri" w:hAnsi="Calibri" w:cs="Calibri"/>
          <w:b/>
          <w:iCs/>
          <w:sz w:val="26"/>
          <w:szCs w:val="26"/>
        </w:rPr>
        <w:t xml:space="preserve">v národním hospodářství dosáhla </w:t>
      </w:r>
      <w:r w:rsidRPr="00621D94">
        <w:rPr>
          <w:rFonts w:ascii="Calibri" w:hAnsi="Calibri" w:cs="Calibri"/>
          <w:b/>
          <w:bCs/>
          <w:iCs/>
          <w:sz w:val="26"/>
          <w:szCs w:val="26"/>
        </w:rPr>
        <w:t xml:space="preserve">za celý rok 2020 </w:t>
      </w:r>
      <w:r w:rsidRPr="00621D94">
        <w:rPr>
          <w:rFonts w:ascii="Calibri" w:hAnsi="Calibri" w:cs="Calibri"/>
          <w:b/>
          <w:iCs/>
          <w:sz w:val="26"/>
          <w:szCs w:val="26"/>
        </w:rPr>
        <w:t>výše</w:t>
      </w:r>
      <w:r w:rsidRPr="00621D94">
        <w:rPr>
          <w:rFonts w:ascii="Calibri" w:hAnsi="Calibri" w:cs="Calibri"/>
          <w:bCs/>
          <w:iCs/>
          <w:sz w:val="26"/>
          <w:szCs w:val="26"/>
        </w:rPr>
        <w:t xml:space="preserve"> </w:t>
      </w:r>
      <w:r w:rsidRPr="00621D94">
        <w:rPr>
          <w:rFonts w:ascii="Calibri" w:hAnsi="Calibri" w:cs="Calibri"/>
          <w:b/>
          <w:iCs/>
          <w:sz w:val="26"/>
          <w:szCs w:val="26"/>
        </w:rPr>
        <w:t>35 611 Kč</w:t>
      </w:r>
      <w:r w:rsidRPr="00621D94">
        <w:rPr>
          <w:rFonts w:ascii="Calibri" w:hAnsi="Calibri" w:cs="Calibri"/>
          <w:iCs/>
          <w:sz w:val="26"/>
          <w:szCs w:val="26"/>
        </w:rPr>
        <w:t xml:space="preserve">, což představovalo </w:t>
      </w:r>
      <w:r w:rsidRPr="00621D94">
        <w:rPr>
          <w:rFonts w:ascii="Calibri" w:hAnsi="Calibri" w:cs="Calibri"/>
          <w:b/>
          <w:iCs/>
          <w:sz w:val="26"/>
          <w:szCs w:val="26"/>
        </w:rPr>
        <w:t>meziroční nominální</w:t>
      </w:r>
      <w:r w:rsidRPr="00621D94">
        <w:rPr>
          <w:rFonts w:ascii="Calibri" w:hAnsi="Calibri" w:cs="Calibri"/>
          <w:iCs/>
          <w:sz w:val="26"/>
          <w:szCs w:val="26"/>
        </w:rPr>
        <w:t xml:space="preserve"> </w:t>
      </w:r>
      <w:r w:rsidRPr="00621D94">
        <w:rPr>
          <w:rFonts w:ascii="Calibri" w:hAnsi="Calibri" w:cs="Calibri"/>
          <w:b/>
          <w:iCs/>
          <w:sz w:val="26"/>
          <w:szCs w:val="26"/>
        </w:rPr>
        <w:t>nárůst o 4,4 %</w:t>
      </w:r>
      <w:r w:rsidRPr="00621D94">
        <w:rPr>
          <w:rFonts w:ascii="Calibri" w:hAnsi="Calibri" w:cs="Calibri"/>
          <w:bCs/>
          <w:iCs/>
          <w:sz w:val="26"/>
          <w:szCs w:val="26"/>
        </w:rPr>
        <w:t>, tj. o 1 500 Kč.</w:t>
      </w:r>
    </w:p>
    <w:p w14:paraId="0FDD9326" w14:textId="18E534E6" w:rsidR="00621D94" w:rsidRDefault="00621D94" w:rsidP="00621D94">
      <w:pPr>
        <w:spacing w:after="120" w:line="360" w:lineRule="auto"/>
        <w:jc w:val="both"/>
        <w:rPr>
          <w:rFonts w:ascii="Calibri" w:hAnsi="Calibri" w:cs="Calibri"/>
          <w:iCs/>
          <w:sz w:val="26"/>
          <w:szCs w:val="26"/>
        </w:rPr>
      </w:pPr>
      <w:r>
        <w:rPr>
          <w:rFonts w:ascii="Calibri" w:hAnsi="Calibri" w:cs="Calibri"/>
          <w:bCs/>
          <w:iCs/>
          <w:sz w:val="26"/>
          <w:szCs w:val="26"/>
        </w:rPr>
        <w:tab/>
      </w:r>
      <w:r w:rsidRPr="00621D94">
        <w:rPr>
          <w:rFonts w:ascii="Calibri" w:hAnsi="Calibri" w:cs="Calibri"/>
          <w:b/>
          <w:bCs/>
          <w:iCs/>
          <w:sz w:val="26"/>
          <w:szCs w:val="26"/>
        </w:rPr>
        <w:t>Dynamika růstu průměrné mzdy v loňském roce opět zvolnila</w:t>
      </w:r>
      <w:r w:rsidRPr="00621D94">
        <w:rPr>
          <w:rFonts w:ascii="Calibri" w:hAnsi="Calibri" w:cs="Calibri"/>
          <w:iCs/>
          <w:sz w:val="26"/>
          <w:szCs w:val="26"/>
        </w:rPr>
        <w:t>, i když v souhrnu za celý rok ne tak výrazně,</w:t>
      </w:r>
      <w:r w:rsidRPr="00621D94">
        <w:rPr>
          <w:rFonts w:ascii="Calibri" w:hAnsi="Calibri" w:cs="Calibri"/>
          <w:b/>
          <w:bCs/>
          <w:iCs/>
          <w:sz w:val="26"/>
          <w:szCs w:val="26"/>
        </w:rPr>
        <w:t xml:space="preserve"> a vykázala druhým rokem po sobě snižující se tempo růstu. Na tomto zpomalení měla podstatný vliv pokračující celosvětová pandemická </w:t>
      </w:r>
      <w:proofErr w:type="spellStart"/>
      <w:r w:rsidRPr="00621D94">
        <w:rPr>
          <w:rFonts w:ascii="Calibri" w:hAnsi="Calibri" w:cs="Calibri"/>
          <w:b/>
          <w:bCs/>
          <w:iCs/>
          <w:sz w:val="26"/>
          <w:szCs w:val="26"/>
        </w:rPr>
        <w:t>koronavirová</w:t>
      </w:r>
      <w:proofErr w:type="spellEnd"/>
      <w:r w:rsidRPr="00621D94">
        <w:rPr>
          <w:rFonts w:ascii="Calibri" w:hAnsi="Calibri" w:cs="Calibri"/>
          <w:b/>
          <w:bCs/>
          <w:iCs/>
          <w:sz w:val="26"/>
          <w:szCs w:val="26"/>
        </w:rPr>
        <w:t xml:space="preserve"> krize</w:t>
      </w:r>
      <w:r w:rsidRPr="00621D94">
        <w:rPr>
          <w:rFonts w:ascii="Calibri" w:hAnsi="Calibri" w:cs="Calibri"/>
          <w:iCs/>
          <w:sz w:val="26"/>
          <w:szCs w:val="26"/>
        </w:rPr>
        <w:t>, která zásadním způsobem ovlivnila rovněž ekonomický vývoj v</w:t>
      </w:r>
      <w:r>
        <w:rPr>
          <w:rFonts w:ascii="Calibri" w:hAnsi="Calibri" w:cs="Calibri"/>
          <w:iCs/>
          <w:sz w:val="26"/>
          <w:szCs w:val="26"/>
        </w:rPr>
        <w:t> </w:t>
      </w:r>
      <w:r w:rsidRPr="00621D94">
        <w:rPr>
          <w:rFonts w:ascii="Calibri" w:hAnsi="Calibri" w:cs="Calibri"/>
          <w:iCs/>
          <w:sz w:val="26"/>
          <w:szCs w:val="26"/>
        </w:rPr>
        <w:t xml:space="preserve">České republice. Jarní a podzimní omezení ekonomické aktivity zejména v odvětvích služeb, obchodu, cestovního ruchu, dopravy, gastronomie, ale i průmyslu ovlivnila trh práce a mzdový vývoj. </w:t>
      </w:r>
      <w:r w:rsidRPr="00621D94">
        <w:rPr>
          <w:rFonts w:ascii="Calibri" w:hAnsi="Calibri" w:cs="Calibri"/>
          <w:b/>
          <w:bCs/>
          <w:iCs/>
          <w:sz w:val="26"/>
          <w:szCs w:val="26"/>
        </w:rPr>
        <w:t xml:space="preserve">Protisměrně proti výraznějšímu zvolnění nárůstu průměrné mzdy působily mimořádné odměny </w:t>
      </w:r>
      <w:r w:rsidRPr="00466B3B">
        <w:rPr>
          <w:rFonts w:ascii="Calibri" w:hAnsi="Calibri" w:cs="Calibri"/>
          <w:b/>
          <w:bCs/>
          <w:iCs/>
          <w:sz w:val="26"/>
          <w:szCs w:val="26"/>
        </w:rPr>
        <w:t>zaměstnanců v odvětví zdravotní a sociální péče</w:t>
      </w:r>
      <w:r w:rsidR="00767CB1" w:rsidRPr="00466B3B">
        <w:rPr>
          <w:rFonts w:ascii="Calibri" w:hAnsi="Calibri" w:cs="Calibri"/>
          <w:b/>
          <w:bCs/>
          <w:iCs/>
          <w:sz w:val="26"/>
          <w:szCs w:val="26"/>
        </w:rPr>
        <w:t> </w:t>
      </w:r>
      <w:r w:rsidRPr="00466B3B">
        <w:rPr>
          <w:rFonts w:ascii="Calibri" w:hAnsi="Calibri" w:cs="Calibri"/>
          <w:iCs/>
          <w:sz w:val="26"/>
          <w:szCs w:val="26"/>
        </w:rPr>
        <w:t xml:space="preserve">v souvislosti s jejich nasazením v boji s nákazou </w:t>
      </w:r>
      <w:r w:rsidR="00767CB1" w:rsidRPr="00466B3B">
        <w:rPr>
          <w:rFonts w:asciiTheme="minorHAnsi" w:hAnsiTheme="minorHAnsi" w:cs="Arial"/>
          <w:sz w:val="26"/>
          <w:szCs w:val="26"/>
        </w:rPr>
        <w:t xml:space="preserve">pandemie viru SARS-CoV-2 </w:t>
      </w:r>
      <w:r w:rsidRPr="00466B3B">
        <w:rPr>
          <w:rFonts w:ascii="Calibri" w:hAnsi="Calibri" w:cs="Calibri"/>
          <w:iCs/>
          <w:sz w:val="26"/>
          <w:szCs w:val="26"/>
        </w:rPr>
        <w:t>a</w:t>
      </w:r>
      <w:r w:rsidR="00767CB1" w:rsidRPr="00466B3B">
        <w:rPr>
          <w:rFonts w:ascii="Calibri" w:hAnsi="Calibri" w:cs="Calibri"/>
          <w:iCs/>
          <w:sz w:val="26"/>
          <w:szCs w:val="26"/>
        </w:rPr>
        <w:t> </w:t>
      </w:r>
      <w:r w:rsidRPr="00466B3B">
        <w:rPr>
          <w:rFonts w:ascii="Calibri" w:hAnsi="Calibri" w:cs="Calibri"/>
          <w:iCs/>
          <w:sz w:val="26"/>
          <w:szCs w:val="26"/>
        </w:rPr>
        <w:t xml:space="preserve">zabráněním </w:t>
      </w:r>
      <w:r w:rsidR="00767CB1" w:rsidRPr="00466B3B">
        <w:rPr>
          <w:rFonts w:ascii="Calibri" w:hAnsi="Calibri" w:cs="Calibri"/>
          <w:iCs/>
          <w:sz w:val="26"/>
          <w:szCs w:val="26"/>
        </w:rPr>
        <w:t xml:space="preserve">jeho </w:t>
      </w:r>
      <w:r w:rsidRPr="00466B3B">
        <w:rPr>
          <w:rFonts w:ascii="Calibri" w:hAnsi="Calibri" w:cs="Calibri"/>
          <w:iCs/>
          <w:sz w:val="26"/>
          <w:szCs w:val="26"/>
        </w:rPr>
        <w:t xml:space="preserve">dalšího šíření. Na zvýšení </w:t>
      </w:r>
      <w:r w:rsidRPr="00621D94">
        <w:rPr>
          <w:rFonts w:ascii="Calibri" w:hAnsi="Calibri" w:cs="Calibri"/>
          <w:iCs/>
          <w:sz w:val="26"/>
          <w:szCs w:val="26"/>
        </w:rPr>
        <w:t>průměrné mzdy mělo zřejmě vliv i</w:t>
      </w:r>
      <w:r w:rsidR="00767CB1">
        <w:rPr>
          <w:rFonts w:ascii="Calibri" w:hAnsi="Calibri" w:cs="Calibri"/>
          <w:iCs/>
          <w:sz w:val="26"/>
          <w:szCs w:val="26"/>
        </w:rPr>
        <w:t> </w:t>
      </w:r>
      <w:r w:rsidRPr="00621D94">
        <w:rPr>
          <w:rFonts w:ascii="Calibri" w:hAnsi="Calibri" w:cs="Calibri"/>
          <w:iCs/>
          <w:sz w:val="26"/>
          <w:szCs w:val="26"/>
        </w:rPr>
        <w:t>propouštění zaměstnanců odměňovaných spíše nízkými nebo podprůměrnými mzdami u subjektů zasažených krizí.</w:t>
      </w:r>
    </w:p>
    <w:p w14:paraId="4262E515" w14:textId="7BFA5E07" w:rsidR="00621D94" w:rsidRDefault="00621D94" w:rsidP="00621D94">
      <w:pPr>
        <w:spacing w:after="120" w:line="360" w:lineRule="auto"/>
        <w:jc w:val="both"/>
        <w:rPr>
          <w:rFonts w:ascii="Calibri" w:hAnsi="Calibri" w:cs="Calibri"/>
          <w:b/>
          <w:bCs/>
          <w:iCs/>
          <w:sz w:val="26"/>
          <w:szCs w:val="26"/>
        </w:rPr>
      </w:pPr>
      <w:r>
        <w:rPr>
          <w:rFonts w:ascii="Calibri" w:hAnsi="Calibri" w:cs="Calibri"/>
          <w:iCs/>
          <w:sz w:val="26"/>
          <w:szCs w:val="26"/>
        </w:rPr>
        <w:tab/>
      </w:r>
      <w:r w:rsidRPr="00621D94">
        <w:rPr>
          <w:rFonts w:ascii="Calibri" w:hAnsi="Calibri" w:cs="Calibri"/>
          <w:b/>
          <w:bCs/>
          <w:iCs/>
          <w:sz w:val="26"/>
          <w:szCs w:val="26"/>
        </w:rPr>
        <w:t>Spotřebitelské ceny v roce 2020</w:t>
      </w:r>
      <w:r w:rsidRPr="00621D94">
        <w:rPr>
          <w:rFonts w:ascii="Calibri" w:hAnsi="Calibri" w:cs="Calibri"/>
          <w:bCs/>
          <w:iCs/>
          <w:sz w:val="26"/>
          <w:szCs w:val="26"/>
        </w:rPr>
        <w:t xml:space="preserve"> měly (o 0,4 p. b.) vyšší tempo růstu než v</w:t>
      </w:r>
      <w:r>
        <w:rPr>
          <w:rFonts w:ascii="Calibri" w:hAnsi="Calibri" w:cs="Calibri"/>
          <w:bCs/>
          <w:iCs/>
          <w:sz w:val="26"/>
          <w:szCs w:val="26"/>
        </w:rPr>
        <w:t> </w:t>
      </w:r>
      <w:r w:rsidRPr="00621D94">
        <w:rPr>
          <w:rFonts w:ascii="Calibri" w:hAnsi="Calibri" w:cs="Calibri"/>
          <w:bCs/>
          <w:iCs/>
          <w:sz w:val="26"/>
          <w:szCs w:val="26"/>
        </w:rPr>
        <w:t>roce</w:t>
      </w:r>
      <w:r>
        <w:rPr>
          <w:rFonts w:ascii="Calibri" w:hAnsi="Calibri" w:cs="Calibri"/>
          <w:bCs/>
          <w:iCs/>
          <w:sz w:val="26"/>
          <w:szCs w:val="26"/>
        </w:rPr>
        <w:t xml:space="preserve"> </w:t>
      </w:r>
      <w:proofErr w:type="gramStart"/>
      <w:r w:rsidRPr="00621D94">
        <w:rPr>
          <w:rFonts w:ascii="Calibri" w:hAnsi="Calibri" w:cs="Calibri"/>
          <w:bCs/>
          <w:iCs/>
          <w:sz w:val="26"/>
          <w:szCs w:val="26"/>
        </w:rPr>
        <w:t>2019 – v</w:t>
      </w:r>
      <w:proofErr w:type="gramEnd"/>
      <w:r w:rsidRPr="00621D94">
        <w:rPr>
          <w:rFonts w:ascii="Calibri" w:hAnsi="Calibri" w:cs="Calibri"/>
          <w:bCs/>
          <w:iCs/>
          <w:sz w:val="26"/>
          <w:szCs w:val="26"/>
        </w:rPr>
        <w:t xml:space="preserve"> porovnání se stejným obdobím předchozího roku </w:t>
      </w:r>
      <w:r w:rsidRPr="00621D94">
        <w:rPr>
          <w:rFonts w:ascii="Calibri" w:hAnsi="Calibri" w:cs="Calibri"/>
          <w:b/>
          <w:bCs/>
          <w:iCs/>
          <w:sz w:val="26"/>
          <w:szCs w:val="26"/>
        </w:rPr>
        <w:t>se zvýšily o 3,2 %</w:t>
      </w:r>
      <w:r w:rsidRPr="00621D94">
        <w:rPr>
          <w:rFonts w:ascii="Calibri" w:hAnsi="Calibri" w:cs="Calibri"/>
          <w:bCs/>
          <w:iCs/>
          <w:sz w:val="26"/>
          <w:szCs w:val="26"/>
        </w:rPr>
        <w:t xml:space="preserve"> (ve stejném období roku 2019 vzrostly o 2,8 %) – </w:t>
      </w:r>
      <w:r w:rsidRPr="00621D94">
        <w:rPr>
          <w:rFonts w:ascii="Calibri" w:hAnsi="Calibri" w:cs="Calibri"/>
          <w:b/>
          <w:bCs/>
          <w:iCs/>
          <w:sz w:val="26"/>
          <w:szCs w:val="26"/>
        </w:rPr>
        <w:t>průměrná reálná mzda</w:t>
      </w:r>
      <w:r w:rsidRPr="00621D94">
        <w:rPr>
          <w:rFonts w:ascii="Calibri" w:hAnsi="Calibri" w:cs="Calibri"/>
          <w:bCs/>
          <w:iCs/>
          <w:sz w:val="26"/>
          <w:szCs w:val="26"/>
        </w:rPr>
        <w:t xml:space="preserve"> </w:t>
      </w:r>
      <w:r w:rsidRPr="00621D94">
        <w:rPr>
          <w:rFonts w:ascii="Calibri" w:hAnsi="Calibri" w:cs="Calibri"/>
          <w:b/>
          <w:bCs/>
          <w:iCs/>
          <w:sz w:val="26"/>
          <w:szCs w:val="26"/>
        </w:rPr>
        <w:t xml:space="preserve">vzrostla o 1,2 %. </w:t>
      </w:r>
      <w:r w:rsidRPr="00621D94">
        <w:rPr>
          <w:rFonts w:ascii="Calibri" w:hAnsi="Calibri" w:cs="Calibri"/>
          <w:bCs/>
          <w:iCs/>
          <w:sz w:val="26"/>
          <w:szCs w:val="26"/>
        </w:rPr>
        <w:t xml:space="preserve">Vzhledem k mírně vyššímu meziročnímu tempu růstu spotřebitelských cen v porovnání s předchozím rokem a zároveň nižší dynamice průměrné nominální mzdy se </w:t>
      </w:r>
      <w:r w:rsidRPr="00621D94">
        <w:rPr>
          <w:rFonts w:ascii="Calibri" w:hAnsi="Calibri" w:cs="Calibri"/>
          <w:b/>
          <w:bCs/>
          <w:iCs/>
          <w:sz w:val="26"/>
          <w:szCs w:val="26"/>
        </w:rPr>
        <w:t>jednalo o nejnižší posílení reálné úrovně této mzdy od roku 2013.</w:t>
      </w:r>
    </w:p>
    <w:p w14:paraId="66FB2D05" w14:textId="6DA328CD" w:rsidR="00621D94" w:rsidRPr="00621D94" w:rsidRDefault="00621D94" w:rsidP="0004205F">
      <w:pPr>
        <w:spacing w:after="240" w:line="360" w:lineRule="auto"/>
        <w:jc w:val="both"/>
        <w:rPr>
          <w:rFonts w:ascii="Calibri" w:hAnsi="Calibri" w:cs="Calibri"/>
          <w:bCs/>
          <w:iCs/>
          <w:sz w:val="26"/>
          <w:szCs w:val="26"/>
        </w:rPr>
      </w:pPr>
      <w:r>
        <w:rPr>
          <w:rFonts w:ascii="Calibri" w:hAnsi="Calibri" w:cs="Calibri"/>
          <w:b/>
          <w:bCs/>
          <w:iCs/>
          <w:sz w:val="26"/>
          <w:szCs w:val="26"/>
        </w:rPr>
        <w:lastRenderedPageBreak/>
        <w:tab/>
      </w:r>
      <w:r w:rsidRPr="00621D94">
        <w:rPr>
          <w:rFonts w:ascii="Calibri" w:hAnsi="Calibri" w:cs="Calibri"/>
          <w:bCs/>
          <w:iCs/>
          <w:sz w:val="26"/>
          <w:szCs w:val="26"/>
        </w:rPr>
        <w:t xml:space="preserve">Po předchozím rozkolísaném meziročním čtvrtletním zvyšování průměrné měsíční nominální mzdy v předešlých třech čtvrtletích došlo </w:t>
      </w:r>
      <w:r w:rsidRPr="00621D94">
        <w:rPr>
          <w:rFonts w:ascii="Calibri" w:hAnsi="Calibri" w:cs="Calibri"/>
          <w:b/>
          <w:bCs/>
          <w:iCs/>
          <w:sz w:val="26"/>
          <w:szCs w:val="26"/>
        </w:rPr>
        <w:t>v samotném 4. čtvrtletí roku 2020 k nejvyššímu nárůstu průměrné mzdy</w:t>
      </w:r>
      <w:r w:rsidRPr="00621D94">
        <w:rPr>
          <w:rFonts w:ascii="Calibri" w:hAnsi="Calibri" w:cs="Calibri"/>
          <w:bCs/>
          <w:iCs/>
          <w:sz w:val="26"/>
          <w:szCs w:val="26"/>
        </w:rPr>
        <w:t xml:space="preserve">, a to </w:t>
      </w:r>
      <w:r w:rsidRPr="00621D94">
        <w:rPr>
          <w:rFonts w:ascii="Calibri" w:hAnsi="Calibri" w:cs="Calibri"/>
          <w:b/>
          <w:bCs/>
          <w:iCs/>
          <w:sz w:val="26"/>
          <w:szCs w:val="26"/>
        </w:rPr>
        <w:t>ve výši 6,5 %.</w:t>
      </w:r>
      <w:r w:rsidRPr="00621D94">
        <w:rPr>
          <w:rFonts w:ascii="Calibri" w:hAnsi="Calibri" w:cs="Calibri"/>
          <w:bCs/>
          <w:iCs/>
          <w:sz w:val="26"/>
          <w:szCs w:val="26"/>
        </w:rPr>
        <w:t xml:space="preserve"> </w:t>
      </w:r>
      <w:r w:rsidRPr="00621D94">
        <w:rPr>
          <w:rFonts w:ascii="Calibri" w:hAnsi="Calibri" w:cs="Calibri"/>
          <w:b/>
          <w:bCs/>
          <w:iCs/>
          <w:sz w:val="26"/>
          <w:szCs w:val="26"/>
        </w:rPr>
        <w:t>Průměrná hrubá měsíční nominální mzda</w:t>
      </w:r>
      <w:r w:rsidRPr="00621D94">
        <w:rPr>
          <w:rFonts w:ascii="Calibri" w:hAnsi="Calibri" w:cs="Calibri"/>
          <w:bCs/>
          <w:iCs/>
          <w:sz w:val="26"/>
          <w:szCs w:val="26"/>
        </w:rPr>
        <w:t xml:space="preserve"> </w:t>
      </w:r>
      <w:r w:rsidRPr="00621D94">
        <w:rPr>
          <w:rFonts w:ascii="Calibri" w:hAnsi="Calibri" w:cs="Calibri"/>
          <w:b/>
          <w:bCs/>
          <w:iCs/>
          <w:sz w:val="26"/>
          <w:szCs w:val="26"/>
        </w:rPr>
        <w:t>v národním hospodářství</w:t>
      </w:r>
      <w:r w:rsidRPr="00621D94">
        <w:rPr>
          <w:rFonts w:ascii="Calibri" w:hAnsi="Calibri" w:cs="Calibri"/>
          <w:bCs/>
          <w:iCs/>
          <w:sz w:val="26"/>
          <w:szCs w:val="26"/>
        </w:rPr>
        <w:t xml:space="preserve"> v tomto čtvrtletí </w:t>
      </w:r>
      <w:r w:rsidRPr="00621D94">
        <w:rPr>
          <w:rFonts w:ascii="Calibri" w:hAnsi="Calibri" w:cs="Calibri"/>
          <w:b/>
          <w:bCs/>
          <w:iCs/>
          <w:sz w:val="26"/>
          <w:szCs w:val="26"/>
        </w:rPr>
        <w:t xml:space="preserve">dosáhla úrovně 38 525 Kč </w:t>
      </w:r>
      <w:r w:rsidRPr="00621D94">
        <w:rPr>
          <w:rFonts w:ascii="Calibri" w:hAnsi="Calibri" w:cs="Calibri"/>
          <w:bCs/>
          <w:iCs/>
          <w:sz w:val="26"/>
          <w:szCs w:val="26"/>
        </w:rPr>
        <w:t>– podrobněji viz následující graf a tabulku č. 2 v příloze.</w:t>
      </w:r>
    </w:p>
    <w:p w14:paraId="4CFB0337" w14:textId="77777777" w:rsidR="00621D94" w:rsidRPr="00621D94" w:rsidRDefault="00621D94" w:rsidP="0004205F">
      <w:pPr>
        <w:spacing w:after="360" w:line="360" w:lineRule="auto"/>
        <w:jc w:val="both"/>
        <w:rPr>
          <w:rFonts w:ascii="Calibri" w:hAnsi="Calibri" w:cs="Calibri"/>
          <w:bCs/>
          <w:sz w:val="26"/>
          <w:szCs w:val="26"/>
        </w:rPr>
      </w:pPr>
      <w:r w:rsidRPr="00621D94">
        <w:rPr>
          <w:rFonts w:ascii="Calibri" w:hAnsi="Calibri" w:cs="Calibri"/>
          <w:bCs/>
          <w:iCs/>
          <w:sz w:val="26"/>
          <w:szCs w:val="26"/>
        </w:rPr>
        <w:tab/>
        <w:t>Vývoj průměrné nominální mzdy (na přepočtené počty zaměstnanců) v národním hospodářství, příslušné meziroční indexy nominální a reálné mzdy a míra inflace v jednotlivých čtvrtletích roku 2020 jsou znázorněny v následujícím grafu:</w:t>
      </w:r>
    </w:p>
    <w:p w14:paraId="54B72C1F" w14:textId="77777777" w:rsidR="00621D94" w:rsidRPr="00621D94" w:rsidRDefault="00621D94" w:rsidP="00621D94">
      <w:pPr>
        <w:spacing w:line="360" w:lineRule="auto"/>
        <w:jc w:val="both"/>
        <w:rPr>
          <w:rFonts w:ascii="Calibri" w:hAnsi="Calibri" w:cs="Calibri"/>
          <w:b/>
          <w:iCs/>
          <w:sz w:val="26"/>
          <w:szCs w:val="26"/>
        </w:rPr>
      </w:pPr>
      <w:r w:rsidRPr="00621D94">
        <w:rPr>
          <w:rFonts w:ascii="Calibri" w:hAnsi="Calibri" w:cs="Calibri"/>
          <w:b/>
          <w:iCs/>
          <w:noProof/>
          <w:sz w:val="26"/>
          <w:szCs w:val="26"/>
        </w:rPr>
        <w:drawing>
          <wp:inline distT="0" distB="0" distL="0" distR="0" wp14:anchorId="5F7C808A" wp14:editId="465C0AE5">
            <wp:extent cx="5746750" cy="3183536"/>
            <wp:effectExtent l="0" t="0" r="635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0049" cy="3196443"/>
                    </a:xfrm>
                    <a:prstGeom prst="rect">
                      <a:avLst/>
                    </a:prstGeom>
                    <a:noFill/>
                  </pic:spPr>
                </pic:pic>
              </a:graphicData>
            </a:graphic>
          </wp:inline>
        </w:drawing>
      </w:r>
    </w:p>
    <w:p w14:paraId="1224849F" w14:textId="77777777" w:rsidR="00621D94" w:rsidRPr="00621D94" w:rsidRDefault="00621D94" w:rsidP="00621D94">
      <w:pPr>
        <w:spacing w:after="360" w:line="360" w:lineRule="auto"/>
        <w:jc w:val="both"/>
        <w:rPr>
          <w:rFonts w:ascii="Calibri" w:hAnsi="Calibri" w:cs="Calibri"/>
          <w:bCs/>
          <w:iCs/>
          <w:sz w:val="20"/>
        </w:rPr>
      </w:pPr>
      <w:r w:rsidRPr="00621D94">
        <w:rPr>
          <w:rFonts w:ascii="Calibri" w:hAnsi="Calibri" w:cs="Calibri"/>
          <w:bCs/>
          <w:iCs/>
          <w:sz w:val="20"/>
        </w:rPr>
        <w:t>Zpracováno z údajů ČSÚ</w:t>
      </w:r>
    </w:p>
    <w:p w14:paraId="1E0075B2" w14:textId="77777777" w:rsidR="00621D94" w:rsidRPr="00621D94" w:rsidRDefault="00621D94" w:rsidP="0004205F">
      <w:pPr>
        <w:spacing w:after="240" w:line="360" w:lineRule="auto"/>
        <w:jc w:val="both"/>
        <w:rPr>
          <w:rFonts w:ascii="Calibri" w:hAnsi="Calibri" w:cs="Calibri"/>
          <w:b/>
          <w:bCs/>
          <w:iCs/>
          <w:sz w:val="26"/>
          <w:szCs w:val="26"/>
        </w:rPr>
      </w:pPr>
      <w:r w:rsidRPr="00621D94">
        <w:rPr>
          <w:rFonts w:ascii="Calibri" w:hAnsi="Calibri" w:cs="Calibri"/>
          <w:bCs/>
          <w:iCs/>
          <w:sz w:val="26"/>
          <w:szCs w:val="26"/>
        </w:rPr>
        <w:tab/>
      </w:r>
      <w:r w:rsidRPr="00621D94">
        <w:rPr>
          <w:rFonts w:ascii="Calibri" w:hAnsi="Calibri" w:cs="Calibri"/>
          <w:b/>
          <w:bCs/>
          <w:iCs/>
          <w:sz w:val="26"/>
          <w:szCs w:val="26"/>
        </w:rPr>
        <w:t>K pravidelně publikovaným čtvrtletním údajům ČSÚ</w:t>
      </w:r>
      <w:r w:rsidRPr="00621D94">
        <w:rPr>
          <w:rFonts w:ascii="Calibri" w:hAnsi="Calibri" w:cs="Calibri"/>
          <w:bCs/>
          <w:iCs/>
          <w:sz w:val="26"/>
          <w:szCs w:val="26"/>
        </w:rPr>
        <w:t xml:space="preserve"> o průměrných mzdách </w:t>
      </w:r>
      <w:r w:rsidRPr="00621D94">
        <w:rPr>
          <w:rFonts w:ascii="Calibri" w:hAnsi="Calibri" w:cs="Calibri"/>
          <w:b/>
          <w:bCs/>
          <w:iCs/>
          <w:sz w:val="26"/>
          <w:szCs w:val="26"/>
        </w:rPr>
        <w:t>patří i medián. Medián mezd</w:t>
      </w:r>
      <w:r w:rsidRPr="00621D94">
        <w:rPr>
          <w:rFonts w:ascii="Calibri" w:hAnsi="Calibri" w:cs="Calibri"/>
          <w:bCs/>
          <w:iCs/>
          <w:sz w:val="26"/>
          <w:szCs w:val="26"/>
        </w:rPr>
        <w:t xml:space="preserve"> (prostřední hodnota mzdového rozdělení), který je odvozen ze statisticko-matematického modelu vycházejícího z výběrového šetření Informačního systému o průměrném výdělku MPSV, </w:t>
      </w:r>
      <w:r w:rsidRPr="00621D94">
        <w:rPr>
          <w:rFonts w:ascii="Calibri" w:hAnsi="Calibri" w:cs="Calibri"/>
          <w:b/>
          <w:bCs/>
          <w:iCs/>
          <w:sz w:val="26"/>
          <w:szCs w:val="26"/>
        </w:rPr>
        <w:t>dosáhl ve 4. čtvrtletí roku 2020 úrovně 32 870 Kč.</w:t>
      </w:r>
      <w:r w:rsidRPr="00621D94">
        <w:rPr>
          <w:rFonts w:ascii="Calibri" w:hAnsi="Calibri" w:cs="Calibri"/>
          <w:bCs/>
          <w:iCs/>
          <w:sz w:val="26"/>
          <w:szCs w:val="26"/>
        </w:rPr>
        <w:t xml:space="preserve"> Jeho nárůst byl o 1,1 p. b. nižší než u průměrné mzdy, proti stejnému období předchozího roku tedy </w:t>
      </w:r>
      <w:r w:rsidRPr="00621D94">
        <w:rPr>
          <w:rFonts w:ascii="Calibri" w:hAnsi="Calibri" w:cs="Calibri"/>
          <w:b/>
          <w:bCs/>
          <w:iCs/>
          <w:sz w:val="26"/>
          <w:szCs w:val="26"/>
        </w:rPr>
        <w:t>vzrostl nominálně o 5,4 % a reálně o 2,7 %.</w:t>
      </w:r>
      <w:r w:rsidRPr="00621D94">
        <w:rPr>
          <w:rFonts w:ascii="Calibri" w:hAnsi="Calibri" w:cs="Calibri"/>
          <w:bCs/>
          <w:iCs/>
          <w:sz w:val="26"/>
          <w:szCs w:val="26"/>
        </w:rPr>
        <w:t xml:space="preserve"> Medián mezd byl ve sledovaném období nižší o 5 655 Kč než průměrná mzda. </w:t>
      </w:r>
      <w:r w:rsidRPr="00621D94">
        <w:rPr>
          <w:rFonts w:ascii="Calibri" w:hAnsi="Calibri" w:cs="Calibri"/>
          <w:b/>
          <w:bCs/>
          <w:iCs/>
          <w:sz w:val="26"/>
          <w:szCs w:val="26"/>
        </w:rPr>
        <w:t>Medián mezd žen činil 30 281 Kč, medián mezd mužů</w:t>
      </w:r>
      <w:r w:rsidRPr="00621D94">
        <w:rPr>
          <w:rFonts w:ascii="Calibri" w:hAnsi="Calibri" w:cs="Calibri"/>
          <w:bCs/>
          <w:iCs/>
          <w:sz w:val="26"/>
          <w:szCs w:val="26"/>
        </w:rPr>
        <w:t xml:space="preserve"> byl o 4 848 Kč vyšší a </w:t>
      </w:r>
      <w:r w:rsidRPr="00621D94">
        <w:rPr>
          <w:rFonts w:ascii="Calibri" w:hAnsi="Calibri" w:cs="Calibri"/>
          <w:b/>
          <w:bCs/>
          <w:iCs/>
          <w:sz w:val="26"/>
          <w:szCs w:val="26"/>
        </w:rPr>
        <w:t>dosáhl úrovně 35 129 Kč.</w:t>
      </w:r>
    </w:p>
    <w:p w14:paraId="12AFEE68" w14:textId="5A72245F" w:rsidR="00621D94" w:rsidRPr="00621D94" w:rsidRDefault="00621D94" w:rsidP="00621D94">
      <w:pPr>
        <w:spacing w:after="120" w:line="360" w:lineRule="auto"/>
        <w:jc w:val="both"/>
        <w:rPr>
          <w:rFonts w:ascii="Calibri" w:hAnsi="Calibri" w:cs="Calibri"/>
          <w:sz w:val="26"/>
          <w:szCs w:val="26"/>
        </w:rPr>
      </w:pPr>
      <w:r w:rsidRPr="00621D94">
        <w:rPr>
          <w:rFonts w:ascii="Calibri" w:hAnsi="Calibri" w:cs="Calibri"/>
          <w:sz w:val="26"/>
          <w:szCs w:val="26"/>
        </w:rPr>
        <w:lastRenderedPageBreak/>
        <w:tab/>
      </w:r>
      <w:r w:rsidRPr="00621D94">
        <w:rPr>
          <w:rFonts w:ascii="Calibri" w:hAnsi="Calibri" w:cs="Calibri"/>
          <w:b/>
          <w:bCs/>
          <w:sz w:val="26"/>
          <w:szCs w:val="26"/>
        </w:rPr>
        <w:t>Výše průměrné</w:t>
      </w:r>
      <w:r w:rsidRPr="00621D94">
        <w:rPr>
          <w:rFonts w:ascii="Calibri" w:hAnsi="Calibri" w:cs="Calibri"/>
          <w:bCs/>
          <w:sz w:val="26"/>
          <w:szCs w:val="26"/>
        </w:rPr>
        <w:t xml:space="preserve"> </w:t>
      </w:r>
      <w:r w:rsidRPr="00621D94">
        <w:rPr>
          <w:rFonts w:ascii="Calibri" w:hAnsi="Calibri" w:cs="Calibri"/>
          <w:sz w:val="26"/>
          <w:szCs w:val="26"/>
        </w:rPr>
        <w:t>měsíční</w:t>
      </w:r>
      <w:r w:rsidRPr="00621D94">
        <w:rPr>
          <w:rFonts w:ascii="Calibri" w:hAnsi="Calibri" w:cs="Calibri"/>
          <w:bCs/>
          <w:sz w:val="26"/>
          <w:szCs w:val="26"/>
        </w:rPr>
        <w:t xml:space="preserve"> </w:t>
      </w:r>
      <w:r w:rsidRPr="00621D94">
        <w:rPr>
          <w:rFonts w:ascii="Calibri" w:hAnsi="Calibri" w:cs="Calibri"/>
          <w:b/>
          <w:bCs/>
          <w:sz w:val="26"/>
          <w:szCs w:val="26"/>
        </w:rPr>
        <w:t>mzdy zaměstnanců pracujících v malých firmách</w:t>
      </w:r>
      <w:r w:rsidRPr="00621D94">
        <w:rPr>
          <w:rFonts w:ascii="Calibri" w:hAnsi="Calibri" w:cs="Calibri"/>
          <w:sz w:val="26"/>
          <w:szCs w:val="26"/>
        </w:rPr>
        <w:t xml:space="preserve"> (subjekty s méně než 20 zaměstnanci) </w:t>
      </w:r>
      <w:r w:rsidRPr="00621D94">
        <w:rPr>
          <w:rFonts w:ascii="Calibri" w:hAnsi="Calibri" w:cs="Calibri"/>
          <w:b/>
          <w:sz w:val="26"/>
          <w:szCs w:val="26"/>
        </w:rPr>
        <w:t xml:space="preserve">v roce 2020 </w:t>
      </w:r>
      <w:r w:rsidRPr="00621D94">
        <w:rPr>
          <w:rFonts w:ascii="Calibri" w:hAnsi="Calibri" w:cs="Calibri"/>
          <w:b/>
          <w:bCs/>
          <w:sz w:val="26"/>
          <w:szCs w:val="26"/>
        </w:rPr>
        <w:t>činila</w:t>
      </w:r>
      <w:r w:rsidRPr="00621D94">
        <w:rPr>
          <w:rFonts w:ascii="Calibri" w:hAnsi="Calibri" w:cs="Calibri"/>
          <w:b/>
          <w:sz w:val="26"/>
          <w:szCs w:val="26"/>
        </w:rPr>
        <w:t xml:space="preserve"> 25</w:t>
      </w:r>
      <w:r w:rsidRPr="00621D94">
        <w:rPr>
          <w:rFonts w:ascii="Calibri" w:hAnsi="Calibri" w:cs="Calibri"/>
          <w:b/>
          <w:bCs/>
          <w:sz w:val="26"/>
          <w:szCs w:val="26"/>
        </w:rPr>
        <w:t> 810 Kč, tj. 72,5 %</w:t>
      </w:r>
      <w:r w:rsidRPr="00621D94">
        <w:rPr>
          <w:rFonts w:ascii="Calibri" w:hAnsi="Calibri" w:cs="Calibri"/>
          <w:bCs/>
          <w:sz w:val="26"/>
          <w:szCs w:val="26"/>
        </w:rPr>
        <w:t xml:space="preserve"> celospolečenského </w:t>
      </w:r>
      <w:r w:rsidRPr="00621D94">
        <w:rPr>
          <w:rFonts w:ascii="Calibri" w:hAnsi="Calibri" w:cs="Calibri"/>
          <w:b/>
          <w:bCs/>
          <w:sz w:val="26"/>
          <w:szCs w:val="26"/>
        </w:rPr>
        <w:t>výdělkového průměru,</w:t>
      </w:r>
      <w:r w:rsidRPr="00621D94">
        <w:rPr>
          <w:rFonts w:ascii="Calibri" w:hAnsi="Calibri" w:cs="Calibri"/>
          <w:bCs/>
          <w:sz w:val="26"/>
          <w:szCs w:val="26"/>
        </w:rPr>
        <w:t xml:space="preserve"> v porovnání se stejným obdobím roku 2019 došlo v důsledku nižší dynamiky mezd v malých firmách ke snížení tohoto </w:t>
      </w:r>
      <w:r w:rsidR="00724AC1">
        <w:rPr>
          <w:rFonts w:ascii="Calibri" w:hAnsi="Calibri" w:cs="Calibri"/>
          <w:bCs/>
          <w:sz w:val="26"/>
          <w:szCs w:val="26"/>
        </w:rPr>
        <w:t>ukazatele</w:t>
      </w:r>
      <w:r w:rsidRPr="00621D94">
        <w:rPr>
          <w:rFonts w:ascii="Calibri" w:hAnsi="Calibri" w:cs="Calibri"/>
          <w:bCs/>
          <w:sz w:val="26"/>
          <w:szCs w:val="26"/>
        </w:rPr>
        <w:t xml:space="preserve"> (o 0,2 p. b.) </w:t>
      </w:r>
      <w:r w:rsidRPr="00621D94">
        <w:rPr>
          <w:rFonts w:ascii="Calibri" w:hAnsi="Calibri" w:cs="Calibri"/>
          <w:sz w:val="26"/>
          <w:szCs w:val="26"/>
        </w:rPr>
        <w:t>– viz tabulku č. 3 v příloze.</w:t>
      </w:r>
    </w:p>
    <w:p w14:paraId="0259BCDD" w14:textId="218960C7" w:rsidR="00621D94" w:rsidRPr="00621D94" w:rsidRDefault="00621D94" w:rsidP="0004205F">
      <w:pPr>
        <w:spacing w:after="480"/>
        <w:ind w:left="709"/>
        <w:jc w:val="both"/>
        <w:rPr>
          <w:rFonts w:ascii="Calibri" w:hAnsi="Calibri" w:cs="Calibri"/>
          <w:sz w:val="26"/>
          <w:szCs w:val="26"/>
        </w:rPr>
      </w:pPr>
      <w:r w:rsidRPr="00621D94">
        <w:rPr>
          <w:rFonts w:ascii="Calibri" w:hAnsi="Calibri" w:cs="Calibri"/>
          <w:sz w:val="26"/>
          <w:szCs w:val="26"/>
        </w:rPr>
        <w:t>Čistá (nominální) průměrná mzda (podle propočtů MPSV) zaznamenala nižší meziroční nárůst než průměrná nominální hrubá mzda v národním hospodářství (před zdaněním) jak u zaměstnanců bez dětí, tak i u zaměstnanců s dětmi. Zatímco zvýšení hrubé mzdy představovalo 1 500 Kč (4,4 %), čistá mzda se zvýšila o cca 1 034 Kč, tj. o 4,0 % u bezdětného zaměstnance, o 3,9 % u zaměstnance s jedním dítětem, o 3,6 % u zaměstnance se dvěma dětmi a o 3,4 % u zaměstnanc</w:t>
      </w:r>
      <w:r w:rsidR="00724AC1">
        <w:rPr>
          <w:rFonts w:ascii="Calibri" w:hAnsi="Calibri" w:cs="Calibri"/>
          <w:sz w:val="26"/>
          <w:szCs w:val="26"/>
        </w:rPr>
        <w:t>e</w:t>
      </w:r>
      <w:r w:rsidRPr="00621D94">
        <w:rPr>
          <w:rFonts w:ascii="Calibri" w:hAnsi="Calibri" w:cs="Calibri"/>
          <w:sz w:val="26"/>
          <w:szCs w:val="26"/>
        </w:rPr>
        <w:t xml:space="preserve"> se třemi a více dětmi.</w:t>
      </w:r>
    </w:p>
    <w:p w14:paraId="47AF1CC9" w14:textId="77777777" w:rsidR="00621D94" w:rsidRPr="00621D94" w:rsidRDefault="00621D94" w:rsidP="00621D94">
      <w:pPr>
        <w:spacing w:line="360" w:lineRule="auto"/>
        <w:jc w:val="both"/>
        <w:rPr>
          <w:rFonts w:ascii="Calibri" w:hAnsi="Calibri" w:cs="Calibri"/>
          <w:b/>
          <w:sz w:val="26"/>
          <w:szCs w:val="26"/>
        </w:rPr>
      </w:pPr>
      <w:r w:rsidRPr="00621D94">
        <w:rPr>
          <w:rFonts w:ascii="Calibri" w:hAnsi="Calibri" w:cs="Calibri"/>
          <w:b/>
          <w:sz w:val="26"/>
          <w:szCs w:val="26"/>
        </w:rPr>
        <w:tab/>
        <w:t>Vývoj mezd v roce 2020 charakterizovaly zejména následující skutečnosti:</w:t>
      </w:r>
    </w:p>
    <w:p w14:paraId="23F03533" w14:textId="77777777" w:rsidR="00621D94" w:rsidRPr="00621D94" w:rsidRDefault="00621D94" w:rsidP="00621D94">
      <w:pPr>
        <w:numPr>
          <w:ilvl w:val="0"/>
          <w:numId w:val="23"/>
        </w:numPr>
        <w:spacing w:line="360" w:lineRule="auto"/>
        <w:ind w:left="357" w:hanging="357"/>
        <w:jc w:val="both"/>
        <w:rPr>
          <w:rFonts w:ascii="Calibri" w:hAnsi="Calibri" w:cs="Calibri"/>
          <w:bCs/>
          <w:sz w:val="26"/>
          <w:szCs w:val="26"/>
        </w:rPr>
      </w:pPr>
      <w:r w:rsidRPr="00621D94">
        <w:rPr>
          <w:rFonts w:ascii="Calibri" w:hAnsi="Calibri" w:cs="Calibri"/>
          <w:sz w:val="26"/>
          <w:szCs w:val="26"/>
        </w:rPr>
        <w:t xml:space="preserve">další </w:t>
      </w:r>
      <w:r w:rsidRPr="00621D94">
        <w:rPr>
          <w:rFonts w:ascii="Calibri" w:hAnsi="Calibri" w:cs="Calibri"/>
          <w:b/>
          <w:bCs/>
          <w:sz w:val="26"/>
          <w:szCs w:val="26"/>
        </w:rPr>
        <w:t xml:space="preserve">zpomalení dynamiky růstu </w:t>
      </w:r>
      <w:r w:rsidRPr="00621D94">
        <w:rPr>
          <w:rFonts w:ascii="Calibri" w:hAnsi="Calibri" w:cs="Calibri"/>
          <w:bCs/>
          <w:sz w:val="26"/>
          <w:szCs w:val="26"/>
        </w:rPr>
        <w:t xml:space="preserve">meziroční </w:t>
      </w:r>
      <w:r w:rsidRPr="00621D94">
        <w:rPr>
          <w:rFonts w:ascii="Calibri" w:hAnsi="Calibri" w:cs="Calibri"/>
          <w:b/>
          <w:bCs/>
          <w:sz w:val="26"/>
          <w:szCs w:val="26"/>
        </w:rPr>
        <w:t>průměrné nominální mzdy</w:t>
      </w:r>
      <w:r w:rsidRPr="00621D94">
        <w:rPr>
          <w:rFonts w:ascii="Calibri" w:hAnsi="Calibri" w:cs="Calibri"/>
          <w:bCs/>
          <w:sz w:val="26"/>
          <w:szCs w:val="26"/>
        </w:rPr>
        <w:t xml:space="preserve"> v národním hospodářství,</w:t>
      </w:r>
    </w:p>
    <w:p w14:paraId="51359867" w14:textId="77777777" w:rsidR="00621D94" w:rsidRPr="00621D94" w:rsidRDefault="00621D94" w:rsidP="00621D94">
      <w:pPr>
        <w:numPr>
          <w:ilvl w:val="0"/>
          <w:numId w:val="23"/>
        </w:numPr>
        <w:spacing w:line="360" w:lineRule="auto"/>
        <w:ind w:left="357" w:hanging="357"/>
        <w:jc w:val="both"/>
        <w:rPr>
          <w:rFonts w:ascii="Calibri" w:hAnsi="Calibri" w:cs="Calibri"/>
          <w:bCs/>
          <w:sz w:val="26"/>
          <w:szCs w:val="26"/>
        </w:rPr>
      </w:pPr>
      <w:r w:rsidRPr="00621D94">
        <w:rPr>
          <w:rFonts w:ascii="Calibri" w:hAnsi="Calibri" w:cs="Calibri"/>
          <w:bCs/>
          <w:sz w:val="26"/>
          <w:szCs w:val="26"/>
        </w:rPr>
        <w:t>vliv „</w:t>
      </w:r>
      <w:proofErr w:type="spellStart"/>
      <w:r w:rsidRPr="00621D94">
        <w:rPr>
          <w:rFonts w:ascii="Calibri" w:hAnsi="Calibri" w:cs="Calibri"/>
          <w:bCs/>
          <w:sz w:val="26"/>
          <w:szCs w:val="26"/>
        </w:rPr>
        <w:t>koronavirové</w:t>
      </w:r>
      <w:proofErr w:type="spellEnd"/>
      <w:r w:rsidRPr="00621D94">
        <w:rPr>
          <w:rFonts w:ascii="Calibri" w:hAnsi="Calibri" w:cs="Calibri"/>
          <w:bCs/>
          <w:sz w:val="26"/>
          <w:szCs w:val="26"/>
        </w:rPr>
        <w:t xml:space="preserve"> krize“ na mzdový vývoj,</w:t>
      </w:r>
    </w:p>
    <w:p w14:paraId="10248E13" w14:textId="77777777" w:rsidR="00621D94" w:rsidRPr="00621D94" w:rsidRDefault="00621D94" w:rsidP="00621D94">
      <w:pPr>
        <w:numPr>
          <w:ilvl w:val="0"/>
          <w:numId w:val="23"/>
        </w:numPr>
        <w:spacing w:line="360" w:lineRule="auto"/>
        <w:ind w:left="357" w:hanging="357"/>
        <w:jc w:val="both"/>
        <w:rPr>
          <w:rFonts w:ascii="Calibri" w:hAnsi="Calibri" w:cs="Calibri"/>
          <w:bCs/>
          <w:sz w:val="26"/>
          <w:szCs w:val="26"/>
        </w:rPr>
      </w:pPr>
      <w:r w:rsidRPr="00621D94">
        <w:rPr>
          <w:rFonts w:ascii="Calibri" w:hAnsi="Calibri" w:cs="Calibri"/>
          <w:b/>
          <w:bCs/>
          <w:sz w:val="26"/>
          <w:szCs w:val="26"/>
        </w:rPr>
        <w:t>nejnižší posílení reálné úrovně průměrné mzdy od roku 2013,</w:t>
      </w:r>
    </w:p>
    <w:p w14:paraId="656B1C88" w14:textId="77777777" w:rsidR="00621D94" w:rsidRPr="00621D94" w:rsidRDefault="00621D94" w:rsidP="00621D94">
      <w:pPr>
        <w:numPr>
          <w:ilvl w:val="0"/>
          <w:numId w:val="23"/>
        </w:numPr>
        <w:spacing w:line="360" w:lineRule="auto"/>
        <w:ind w:left="357" w:hanging="357"/>
        <w:jc w:val="both"/>
        <w:rPr>
          <w:rFonts w:ascii="Calibri" w:hAnsi="Calibri" w:cs="Calibri"/>
          <w:bCs/>
          <w:sz w:val="26"/>
          <w:szCs w:val="26"/>
        </w:rPr>
      </w:pPr>
      <w:r w:rsidRPr="00621D94">
        <w:rPr>
          <w:rFonts w:ascii="Calibri" w:hAnsi="Calibri" w:cs="Calibri"/>
          <w:b/>
          <w:sz w:val="26"/>
          <w:szCs w:val="26"/>
        </w:rPr>
        <w:t>nesoulad relace růstu mezd a produktivity práce</w:t>
      </w:r>
      <w:r w:rsidRPr="00621D94">
        <w:rPr>
          <w:rFonts w:ascii="Calibri" w:hAnsi="Calibri" w:cs="Calibri"/>
          <w:bCs/>
          <w:sz w:val="26"/>
          <w:szCs w:val="26"/>
        </w:rPr>
        <w:t xml:space="preserve"> (růst mezd a pokles produktivity práce),</w:t>
      </w:r>
    </w:p>
    <w:p w14:paraId="59327EFF" w14:textId="77777777" w:rsidR="00621D94" w:rsidRPr="00621D94" w:rsidRDefault="00621D94" w:rsidP="00621D94">
      <w:pPr>
        <w:numPr>
          <w:ilvl w:val="0"/>
          <w:numId w:val="23"/>
        </w:numPr>
        <w:spacing w:line="360" w:lineRule="auto"/>
        <w:ind w:left="357" w:hanging="357"/>
        <w:jc w:val="both"/>
        <w:rPr>
          <w:rFonts w:ascii="Calibri" w:hAnsi="Calibri" w:cs="Calibri"/>
          <w:bCs/>
          <w:sz w:val="26"/>
          <w:szCs w:val="26"/>
        </w:rPr>
      </w:pPr>
      <w:r w:rsidRPr="00621D94">
        <w:rPr>
          <w:rFonts w:ascii="Calibri" w:hAnsi="Calibri" w:cs="Calibri"/>
          <w:b/>
          <w:bCs/>
          <w:sz w:val="26"/>
          <w:szCs w:val="26"/>
        </w:rPr>
        <w:t>mírné zvýšení</w:t>
      </w:r>
      <w:r w:rsidRPr="00621D94">
        <w:rPr>
          <w:rFonts w:ascii="Calibri" w:hAnsi="Calibri" w:cs="Calibri"/>
          <w:bCs/>
          <w:sz w:val="26"/>
          <w:szCs w:val="26"/>
        </w:rPr>
        <w:t xml:space="preserve"> (na makroúrovni) </w:t>
      </w:r>
      <w:proofErr w:type="gramStart"/>
      <w:r w:rsidRPr="00621D94">
        <w:rPr>
          <w:rFonts w:ascii="Calibri" w:hAnsi="Calibri" w:cs="Calibri"/>
          <w:b/>
          <w:bCs/>
          <w:sz w:val="26"/>
          <w:szCs w:val="26"/>
        </w:rPr>
        <w:t>meziodvětvové</w:t>
      </w:r>
      <w:proofErr w:type="gramEnd"/>
      <w:r w:rsidRPr="00621D94">
        <w:rPr>
          <w:rFonts w:ascii="Calibri" w:hAnsi="Calibri" w:cs="Calibri"/>
          <w:b/>
          <w:bCs/>
          <w:sz w:val="26"/>
          <w:szCs w:val="26"/>
        </w:rPr>
        <w:t xml:space="preserve"> </w:t>
      </w:r>
      <w:r w:rsidRPr="00621D94">
        <w:rPr>
          <w:rFonts w:ascii="Calibri" w:hAnsi="Calibri" w:cs="Calibri"/>
          <w:bCs/>
          <w:sz w:val="26"/>
          <w:szCs w:val="26"/>
        </w:rPr>
        <w:t xml:space="preserve">a naopak snížení </w:t>
      </w:r>
      <w:r w:rsidRPr="00621D94">
        <w:rPr>
          <w:rFonts w:ascii="Calibri" w:hAnsi="Calibri" w:cs="Calibri"/>
          <w:b/>
          <w:bCs/>
          <w:sz w:val="26"/>
          <w:szCs w:val="26"/>
        </w:rPr>
        <w:t>územní diferenciace mezd zaměstnanců,</w:t>
      </w:r>
    </w:p>
    <w:p w14:paraId="013EE491" w14:textId="77777777" w:rsidR="00621D94" w:rsidRPr="00621D94" w:rsidRDefault="00621D94" w:rsidP="00621D94">
      <w:pPr>
        <w:numPr>
          <w:ilvl w:val="0"/>
          <w:numId w:val="23"/>
        </w:numPr>
        <w:spacing w:after="360" w:line="360" w:lineRule="auto"/>
        <w:ind w:left="357" w:hanging="357"/>
        <w:jc w:val="both"/>
        <w:rPr>
          <w:rFonts w:ascii="Calibri" w:hAnsi="Calibri" w:cs="Calibri"/>
          <w:bCs/>
          <w:sz w:val="26"/>
          <w:szCs w:val="26"/>
        </w:rPr>
      </w:pPr>
      <w:r w:rsidRPr="00621D94">
        <w:rPr>
          <w:rFonts w:ascii="Calibri" w:hAnsi="Calibri" w:cs="Calibri"/>
          <w:sz w:val="26"/>
          <w:szCs w:val="26"/>
        </w:rPr>
        <w:t xml:space="preserve">v zásadě </w:t>
      </w:r>
      <w:r w:rsidRPr="00621D94">
        <w:rPr>
          <w:rFonts w:ascii="Calibri" w:hAnsi="Calibri" w:cs="Calibri"/>
          <w:b/>
          <w:sz w:val="26"/>
          <w:szCs w:val="26"/>
        </w:rPr>
        <w:t xml:space="preserve">stagnace mzdové diferenciace na úrovni jednotlivých zaměstnanců </w:t>
      </w:r>
      <w:r w:rsidRPr="00621D94">
        <w:rPr>
          <w:rFonts w:ascii="Calibri" w:hAnsi="Calibri" w:cs="Calibri"/>
          <w:sz w:val="26"/>
          <w:szCs w:val="26"/>
        </w:rPr>
        <w:t>(na mikroúrovni)</w:t>
      </w:r>
      <w:r w:rsidRPr="00621D94">
        <w:rPr>
          <w:rFonts w:ascii="Calibri" w:hAnsi="Calibri" w:cs="Calibri"/>
          <w:bCs/>
          <w:sz w:val="26"/>
          <w:szCs w:val="26"/>
        </w:rPr>
        <w:t>.</w:t>
      </w:r>
    </w:p>
    <w:p w14:paraId="64D33FAD" w14:textId="77777777" w:rsidR="00621D94" w:rsidRPr="00621D94" w:rsidRDefault="00621D94" w:rsidP="00621D94">
      <w:pPr>
        <w:spacing w:after="360" w:line="360" w:lineRule="auto"/>
        <w:jc w:val="both"/>
        <w:rPr>
          <w:rFonts w:ascii="Calibri" w:hAnsi="Calibri" w:cs="Calibri"/>
          <w:sz w:val="26"/>
          <w:szCs w:val="26"/>
        </w:rPr>
      </w:pPr>
      <w:r w:rsidRPr="00621D94">
        <w:rPr>
          <w:rFonts w:ascii="Calibri" w:hAnsi="Calibri" w:cs="Calibri"/>
          <w:sz w:val="26"/>
          <w:szCs w:val="26"/>
        </w:rPr>
        <w:tab/>
      </w:r>
      <w:r w:rsidRPr="00621D94">
        <w:rPr>
          <w:rFonts w:ascii="Calibri" w:hAnsi="Calibri" w:cs="Calibri"/>
          <w:b/>
          <w:bCs/>
          <w:sz w:val="26"/>
          <w:szCs w:val="26"/>
        </w:rPr>
        <w:t xml:space="preserve">Nárůst </w:t>
      </w:r>
      <w:r w:rsidRPr="00621D94">
        <w:rPr>
          <w:rFonts w:ascii="Calibri" w:hAnsi="Calibri" w:cs="Calibri"/>
          <w:bCs/>
          <w:sz w:val="26"/>
          <w:szCs w:val="26"/>
        </w:rPr>
        <w:t>průměrné</w:t>
      </w:r>
      <w:r w:rsidRPr="00621D94">
        <w:rPr>
          <w:rFonts w:ascii="Calibri" w:hAnsi="Calibri" w:cs="Calibri"/>
          <w:b/>
          <w:bCs/>
          <w:sz w:val="26"/>
          <w:szCs w:val="26"/>
        </w:rPr>
        <w:t xml:space="preserve"> reálné hodnoty mezd </w:t>
      </w:r>
      <w:r w:rsidRPr="00621D94">
        <w:rPr>
          <w:rFonts w:ascii="Calibri" w:hAnsi="Calibri" w:cs="Calibri"/>
          <w:bCs/>
          <w:sz w:val="26"/>
          <w:szCs w:val="26"/>
        </w:rPr>
        <w:t>(o 1,2 %)</w:t>
      </w:r>
      <w:r w:rsidRPr="00621D94">
        <w:rPr>
          <w:rFonts w:ascii="Calibri" w:hAnsi="Calibri" w:cs="Calibri"/>
          <w:b/>
          <w:bCs/>
          <w:sz w:val="26"/>
          <w:szCs w:val="26"/>
        </w:rPr>
        <w:t xml:space="preserve"> byl nižší </w:t>
      </w:r>
      <w:r w:rsidRPr="00621D94">
        <w:rPr>
          <w:rFonts w:ascii="Calibri" w:hAnsi="Calibri" w:cs="Calibri"/>
          <w:bCs/>
          <w:sz w:val="26"/>
          <w:szCs w:val="26"/>
        </w:rPr>
        <w:t>o 2,3 p. </w:t>
      </w:r>
      <w:r w:rsidRPr="00621D94">
        <w:rPr>
          <w:rFonts w:ascii="Calibri" w:hAnsi="Calibri" w:cs="Calibri"/>
          <w:sz w:val="26"/>
          <w:szCs w:val="26"/>
        </w:rPr>
        <w:t xml:space="preserve">b. proti dynamice ve stejném období roku 2019. </w:t>
      </w:r>
      <w:r w:rsidRPr="00621D94">
        <w:rPr>
          <w:rFonts w:ascii="Calibri" w:hAnsi="Calibri" w:cs="Calibri"/>
          <w:bCs/>
          <w:sz w:val="26"/>
          <w:szCs w:val="26"/>
        </w:rPr>
        <w:t xml:space="preserve">Na koupěschopnou poptávku v porovnání s předchozím obdobím působila nižší nominální dynamika mezd </w:t>
      </w:r>
      <w:r w:rsidRPr="00621D94">
        <w:rPr>
          <w:rFonts w:ascii="Calibri" w:hAnsi="Calibri" w:cs="Calibri"/>
          <w:sz w:val="26"/>
          <w:szCs w:val="26"/>
        </w:rPr>
        <w:t>(o 2,0 p. b.)</w:t>
      </w:r>
      <w:r w:rsidRPr="00621D94">
        <w:rPr>
          <w:rFonts w:ascii="Calibri" w:hAnsi="Calibri" w:cs="Calibri"/>
          <w:bCs/>
          <w:sz w:val="26"/>
          <w:szCs w:val="26"/>
        </w:rPr>
        <w:t xml:space="preserve"> a vyšší dynamika spotřebitelských cen (podrobněji viz část 2 materiálu). </w:t>
      </w:r>
      <w:r w:rsidRPr="00621D94">
        <w:rPr>
          <w:rFonts w:ascii="Calibri" w:hAnsi="Calibri" w:cs="Calibri"/>
          <w:b/>
          <w:bCs/>
          <w:sz w:val="26"/>
          <w:szCs w:val="26"/>
        </w:rPr>
        <w:t>Zvýšení průměrné reálné mzdy</w:t>
      </w:r>
      <w:r w:rsidRPr="00621D94">
        <w:rPr>
          <w:rFonts w:ascii="Calibri" w:hAnsi="Calibri" w:cs="Calibri"/>
          <w:bCs/>
          <w:sz w:val="26"/>
          <w:szCs w:val="26"/>
        </w:rPr>
        <w:t xml:space="preserve"> za rok 2020 bylo zaznamenáno pouze</w:t>
      </w:r>
      <w:r w:rsidRPr="00621D94">
        <w:rPr>
          <w:rFonts w:ascii="Calibri" w:hAnsi="Calibri" w:cs="Calibri"/>
          <w:b/>
          <w:bCs/>
          <w:sz w:val="26"/>
          <w:szCs w:val="26"/>
        </w:rPr>
        <w:t xml:space="preserve"> v 8 z 19 </w:t>
      </w:r>
      <w:r w:rsidRPr="00621D94">
        <w:rPr>
          <w:rFonts w:ascii="Calibri" w:hAnsi="Calibri" w:cs="Calibri"/>
          <w:sz w:val="26"/>
          <w:szCs w:val="26"/>
        </w:rPr>
        <w:t xml:space="preserve">sledovaných </w:t>
      </w:r>
      <w:r w:rsidRPr="00621D94">
        <w:rPr>
          <w:rFonts w:ascii="Calibri" w:hAnsi="Calibri" w:cs="Calibri"/>
          <w:b/>
          <w:bCs/>
          <w:sz w:val="26"/>
          <w:szCs w:val="26"/>
        </w:rPr>
        <w:t>odvětvových agregacích CZ</w:t>
      </w:r>
      <w:r w:rsidRPr="00621D94">
        <w:rPr>
          <w:rFonts w:ascii="Calibri" w:hAnsi="Calibri" w:cs="Calibri"/>
          <w:b/>
          <w:bCs/>
          <w:sz w:val="26"/>
          <w:szCs w:val="26"/>
        </w:rPr>
        <w:noBreakHyphen/>
        <w:t>NACE a v regionálním členění ve všech krajích s výjimkou hl. m. Prahy</w:t>
      </w:r>
      <w:r w:rsidRPr="00621D94">
        <w:rPr>
          <w:rFonts w:ascii="Calibri" w:hAnsi="Calibri" w:cs="Calibri"/>
          <w:sz w:val="26"/>
          <w:szCs w:val="26"/>
        </w:rPr>
        <w:t xml:space="preserve"> (viz dále).</w:t>
      </w:r>
    </w:p>
    <w:p w14:paraId="173EC81D" w14:textId="1FEE6193" w:rsidR="00621D94" w:rsidRPr="00621D94" w:rsidRDefault="00621D94" w:rsidP="00621D94">
      <w:pPr>
        <w:spacing w:after="720"/>
        <w:ind w:left="708"/>
        <w:jc w:val="both"/>
        <w:rPr>
          <w:rFonts w:ascii="Calibri" w:hAnsi="Calibri" w:cs="Calibri"/>
          <w:sz w:val="26"/>
          <w:szCs w:val="26"/>
        </w:rPr>
      </w:pPr>
      <w:r w:rsidRPr="00621D94">
        <w:rPr>
          <w:rFonts w:ascii="Calibri" w:hAnsi="Calibri" w:cs="Calibri"/>
          <w:sz w:val="26"/>
          <w:szCs w:val="26"/>
        </w:rPr>
        <w:lastRenderedPageBreak/>
        <w:t xml:space="preserve">Z dostupných údajů o </w:t>
      </w:r>
      <w:r w:rsidRPr="00621D94">
        <w:rPr>
          <w:rFonts w:ascii="Calibri" w:hAnsi="Calibri" w:cs="Calibri"/>
          <w:b/>
          <w:bCs/>
          <w:sz w:val="26"/>
          <w:szCs w:val="26"/>
        </w:rPr>
        <w:t xml:space="preserve">vývoji reálné hrubé mzdy jednotlivých zaměstnanců </w:t>
      </w:r>
      <w:r w:rsidRPr="00621D94">
        <w:rPr>
          <w:rFonts w:ascii="Calibri" w:hAnsi="Calibri" w:cs="Calibri"/>
          <w:sz w:val="26"/>
          <w:szCs w:val="26"/>
        </w:rPr>
        <w:t xml:space="preserve">(srovnání rok 2020 / rok 2019) vyplynulo, že přibližně </w:t>
      </w:r>
      <w:r w:rsidRPr="00621D94">
        <w:rPr>
          <w:rFonts w:ascii="Calibri" w:hAnsi="Calibri" w:cs="Calibri"/>
          <w:b/>
          <w:bCs/>
          <w:sz w:val="26"/>
          <w:szCs w:val="26"/>
        </w:rPr>
        <w:t xml:space="preserve">19 % z nich zaznamenalo její pokles, u 7 % </w:t>
      </w:r>
      <w:r w:rsidRPr="00621D94">
        <w:rPr>
          <w:rFonts w:ascii="Calibri" w:hAnsi="Calibri" w:cs="Calibri"/>
          <w:sz w:val="26"/>
          <w:szCs w:val="26"/>
        </w:rPr>
        <w:t xml:space="preserve">víceméně </w:t>
      </w:r>
      <w:r w:rsidRPr="00621D94">
        <w:rPr>
          <w:rFonts w:ascii="Calibri" w:hAnsi="Calibri" w:cs="Calibri"/>
          <w:b/>
          <w:bCs/>
          <w:sz w:val="26"/>
          <w:szCs w:val="26"/>
        </w:rPr>
        <w:t xml:space="preserve">stagnovala a u 74 % se zvýšila. </w:t>
      </w:r>
      <w:r w:rsidRPr="00621D94">
        <w:rPr>
          <w:rFonts w:ascii="Calibri" w:hAnsi="Calibri" w:cs="Calibri"/>
          <w:sz w:val="26"/>
          <w:szCs w:val="26"/>
        </w:rPr>
        <w:t>Největší relativní zastoupení mezi zaměstnanci s nárůstem reálné mzdy měli zaměstnanci v odvětvích zdravotnictví a energetika; v kategoriích zaměstnání</w:t>
      </w:r>
      <w:r w:rsidR="00724AC1">
        <w:rPr>
          <w:rFonts w:ascii="Calibri" w:hAnsi="Calibri" w:cs="Calibri"/>
          <w:sz w:val="26"/>
          <w:szCs w:val="26"/>
        </w:rPr>
        <w:t xml:space="preserve"> pak</w:t>
      </w:r>
      <w:r w:rsidRPr="00621D94">
        <w:rPr>
          <w:rFonts w:ascii="Calibri" w:hAnsi="Calibri" w:cs="Calibri"/>
          <w:sz w:val="26"/>
          <w:szCs w:val="26"/>
        </w:rPr>
        <w:t xml:space="preserve"> „provozní zaměstnanci ve službách a obchodě“ a „dělníci v zemědělství a lesnictví“. Mezi zaměstnanci s poklesem reálné mzdy převažovali zaměstnanci v odvětvích ubytování a pohostinství a zpracovatelský průmysl; v kategoriích zaměstnání </w:t>
      </w:r>
      <w:r w:rsidR="00724AC1">
        <w:rPr>
          <w:rFonts w:ascii="Calibri" w:hAnsi="Calibri" w:cs="Calibri"/>
          <w:sz w:val="26"/>
          <w:szCs w:val="26"/>
        </w:rPr>
        <w:t xml:space="preserve">pak </w:t>
      </w:r>
      <w:r w:rsidRPr="00621D94">
        <w:rPr>
          <w:rFonts w:ascii="Calibri" w:hAnsi="Calibri" w:cs="Calibri"/>
          <w:sz w:val="26"/>
          <w:szCs w:val="26"/>
        </w:rPr>
        <w:t>„kvalifikovaní dělníci a opraváři“ a „obsluha strojů a zařízení“.</w:t>
      </w:r>
    </w:p>
    <w:p w14:paraId="5E8FAD91" w14:textId="17220A04" w:rsidR="00621D94" w:rsidRPr="00621D94" w:rsidRDefault="00621D94" w:rsidP="00621D94">
      <w:pPr>
        <w:spacing w:after="360" w:line="360" w:lineRule="auto"/>
        <w:jc w:val="both"/>
        <w:rPr>
          <w:rFonts w:ascii="Calibri" w:hAnsi="Calibri" w:cs="Calibri"/>
          <w:sz w:val="26"/>
          <w:szCs w:val="26"/>
        </w:rPr>
      </w:pPr>
      <w:r w:rsidRPr="00621D94">
        <w:rPr>
          <w:rFonts w:ascii="Calibri" w:hAnsi="Calibri" w:cs="Calibri"/>
          <w:sz w:val="26"/>
          <w:szCs w:val="26"/>
        </w:rPr>
        <w:tab/>
      </w:r>
      <w:r w:rsidRPr="00621D94">
        <w:rPr>
          <w:rFonts w:ascii="Calibri" w:hAnsi="Calibri" w:cs="Calibri"/>
          <w:b/>
          <w:sz w:val="26"/>
          <w:szCs w:val="26"/>
        </w:rPr>
        <w:t>Přírůstek kupní síly výdělků byl</w:t>
      </w:r>
      <w:r w:rsidRPr="00621D94">
        <w:rPr>
          <w:rFonts w:ascii="Calibri" w:hAnsi="Calibri" w:cs="Calibri"/>
          <w:sz w:val="26"/>
          <w:szCs w:val="26"/>
        </w:rPr>
        <w:t xml:space="preserve"> v hodnoceném období </w:t>
      </w:r>
      <w:r w:rsidRPr="00621D94">
        <w:rPr>
          <w:rFonts w:ascii="Calibri" w:hAnsi="Calibri" w:cs="Calibri"/>
          <w:b/>
          <w:sz w:val="26"/>
          <w:szCs w:val="26"/>
        </w:rPr>
        <w:t>vyšší než vykázaná produktivita práce.</w:t>
      </w:r>
      <w:r w:rsidRPr="00621D94">
        <w:rPr>
          <w:rFonts w:ascii="Calibri" w:eastAsia="Calibri" w:hAnsi="Calibri" w:cs="Calibri"/>
          <w:sz w:val="26"/>
          <w:szCs w:val="26"/>
        </w:rPr>
        <w:t xml:space="preserve"> </w:t>
      </w:r>
      <w:r w:rsidRPr="00621D94">
        <w:rPr>
          <w:rFonts w:ascii="Calibri" w:eastAsia="Calibri" w:hAnsi="Calibri" w:cs="Calibri"/>
          <w:b/>
          <w:sz w:val="26"/>
          <w:szCs w:val="26"/>
        </w:rPr>
        <w:t>Dynamika</w:t>
      </w:r>
      <w:r w:rsidRPr="00621D94">
        <w:rPr>
          <w:rFonts w:ascii="Calibri" w:eastAsia="Calibri" w:hAnsi="Calibri" w:cs="Calibri"/>
          <w:sz w:val="26"/>
          <w:szCs w:val="26"/>
        </w:rPr>
        <w:t xml:space="preserve"> úhrnné </w:t>
      </w:r>
      <w:r w:rsidRPr="00621D94">
        <w:rPr>
          <w:rFonts w:ascii="Calibri" w:eastAsia="Calibri" w:hAnsi="Calibri" w:cs="Calibri"/>
          <w:b/>
          <w:bCs/>
          <w:sz w:val="26"/>
          <w:szCs w:val="26"/>
        </w:rPr>
        <w:t xml:space="preserve">produktivity práce </w:t>
      </w:r>
      <w:r w:rsidRPr="00621D94">
        <w:rPr>
          <w:rFonts w:ascii="Calibri" w:eastAsia="Calibri" w:hAnsi="Calibri" w:cs="Calibri"/>
          <w:sz w:val="26"/>
          <w:szCs w:val="26"/>
        </w:rPr>
        <w:t>(v pojetí hrubého domácího produktu ve stálých cenách na 1 pracovníka v národním hospodářství)</w:t>
      </w:r>
      <w:r w:rsidRPr="00621D94">
        <w:rPr>
          <w:rFonts w:ascii="Calibri" w:eastAsia="Calibri" w:hAnsi="Calibri" w:cs="Calibri"/>
          <w:bCs/>
          <w:sz w:val="26"/>
          <w:szCs w:val="26"/>
        </w:rPr>
        <w:t xml:space="preserve"> </w:t>
      </w:r>
      <w:r w:rsidRPr="00621D94">
        <w:rPr>
          <w:rFonts w:ascii="Calibri" w:eastAsia="Calibri" w:hAnsi="Calibri" w:cs="Calibri"/>
          <w:b/>
          <w:bCs/>
          <w:sz w:val="26"/>
          <w:szCs w:val="26"/>
        </w:rPr>
        <w:t>poklesla</w:t>
      </w:r>
      <w:r w:rsidRPr="00621D94">
        <w:rPr>
          <w:rFonts w:ascii="Calibri" w:eastAsia="Calibri" w:hAnsi="Calibri" w:cs="Calibri"/>
          <w:bCs/>
          <w:sz w:val="26"/>
          <w:szCs w:val="26"/>
        </w:rPr>
        <w:t xml:space="preserve"> ve sledovaném období meziročně </w:t>
      </w:r>
      <w:r w:rsidRPr="00621D94">
        <w:rPr>
          <w:rFonts w:ascii="Calibri" w:eastAsia="Calibri" w:hAnsi="Calibri" w:cs="Calibri"/>
          <w:b/>
          <w:bCs/>
          <w:sz w:val="26"/>
          <w:szCs w:val="26"/>
        </w:rPr>
        <w:t>o 4,2 %</w:t>
      </w:r>
      <w:r w:rsidRPr="00621D94">
        <w:rPr>
          <w:rFonts w:ascii="Calibri" w:eastAsia="Calibri" w:hAnsi="Calibri" w:cs="Calibri"/>
          <w:bCs/>
          <w:sz w:val="26"/>
          <w:szCs w:val="26"/>
        </w:rPr>
        <w:t xml:space="preserve"> a zaostala o 5,4 p. b. za dynamikou průměrné reálné mzdy </w:t>
      </w:r>
      <w:r w:rsidRPr="00621D94">
        <w:rPr>
          <w:rFonts w:ascii="Calibri" w:hAnsi="Calibri" w:cs="Calibri"/>
          <w:bCs/>
          <w:sz w:val="26"/>
          <w:szCs w:val="26"/>
        </w:rPr>
        <w:t xml:space="preserve">– </w:t>
      </w:r>
      <w:r w:rsidRPr="00621D94">
        <w:rPr>
          <w:rFonts w:ascii="Calibri" w:hAnsi="Calibri" w:cs="Calibri"/>
          <w:sz w:val="26"/>
          <w:szCs w:val="26"/>
        </w:rPr>
        <w:t xml:space="preserve">vývoj od roku 2010 viz následující graf (podrobný vývoj za jednotlivá čtvrtletí </w:t>
      </w:r>
      <w:r w:rsidRPr="00621D94">
        <w:rPr>
          <w:rFonts w:ascii="Calibri" w:hAnsi="Calibri" w:cs="Calibri"/>
          <w:bCs/>
          <w:sz w:val="26"/>
          <w:szCs w:val="26"/>
        </w:rPr>
        <w:t>–</w:t>
      </w:r>
      <w:r w:rsidRPr="00621D94">
        <w:rPr>
          <w:rFonts w:ascii="Calibri" w:hAnsi="Calibri" w:cs="Calibri"/>
          <w:sz w:val="26"/>
          <w:szCs w:val="26"/>
        </w:rPr>
        <w:t xml:space="preserve"> viz graf č. 3 v příloze):</w:t>
      </w:r>
    </w:p>
    <w:p w14:paraId="490273E2" w14:textId="77777777" w:rsidR="00621D94" w:rsidRPr="00621D94" w:rsidRDefault="00621D94" w:rsidP="00621D94">
      <w:pPr>
        <w:spacing w:line="360" w:lineRule="auto"/>
        <w:jc w:val="both"/>
        <w:rPr>
          <w:rFonts w:ascii="Calibri" w:hAnsi="Calibri" w:cs="Calibri"/>
          <w:sz w:val="26"/>
          <w:szCs w:val="26"/>
        </w:rPr>
      </w:pPr>
      <w:r w:rsidRPr="00621D94">
        <w:rPr>
          <w:rFonts w:ascii="Calibri" w:hAnsi="Calibri" w:cs="Calibri"/>
          <w:noProof/>
          <w:sz w:val="26"/>
          <w:szCs w:val="26"/>
        </w:rPr>
        <w:drawing>
          <wp:inline distT="0" distB="0" distL="0" distR="0" wp14:anchorId="541AC816" wp14:editId="227AC61E">
            <wp:extent cx="5784850" cy="3680149"/>
            <wp:effectExtent l="0" t="0" r="635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8241" cy="3688668"/>
                    </a:xfrm>
                    <a:prstGeom prst="rect">
                      <a:avLst/>
                    </a:prstGeom>
                    <a:noFill/>
                  </pic:spPr>
                </pic:pic>
              </a:graphicData>
            </a:graphic>
          </wp:inline>
        </w:drawing>
      </w:r>
    </w:p>
    <w:p w14:paraId="7E2487A1" w14:textId="77777777" w:rsidR="00621D94" w:rsidRPr="00621D94" w:rsidRDefault="00621D94" w:rsidP="00621D94">
      <w:pPr>
        <w:spacing w:before="120" w:after="360" w:line="360" w:lineRule="auto"/>
        <w:jc w:val="both"/>
        <w:rPr>
          <w:rFonts w:ascii="Calibri" w:hAnsi="Calibri" w:cs="Calibri"/>
          <w:bCs/>
          <w:sz w:val="20"/>
        </w:rPr>
      </w:pPr>
      <w:r w:rsidRPr="00621D94">
        <w:rPr>
          <w:rFonts w:ascii="Calibri" w:hAnsi="Calibri" w:cs="Calibri"/>
          <w:bCs/>
          <w:sz w:val="20"/>
        </w:rPr>
        <w:t>Zpracováno z údajů ČSÚ</w:t>
      </w:r>
    </w:p>
    <w:p w14:paraId="5A742638" w14:textId="77777777" w:rsidR="00621D94" w:rsidRPr="00621D94" w:rsidRDefault="00621D94" w:rsidP="00621D94">
      <w:pPr>
        <w:spacing w:after="360" w:line="360" w:lineRule="auto"/>
        <w:jc w:val="both"/>
        <w:rPr>
          <w:rFonts w:ascii="Calibri" w:hAnsi="Calibri" w:cs="Calibri"/>
          <w:b/>
          <w:bCs/>
          <w:sz w:val="26"/>
          <w:szCs w:val="26"/>
        </w:rPr>
      </w:pPr>
      <w:r w:rsidRPr="00621D94">
        <w:rPr>
          <w:rFonts w:ascii="Calibri" w:hAnsi="Calibri" w:cs="Calibri"/>
          <w:sz w:val="26"/>
          <w:szCs w:val="26"/>
        </w:rPr>
        <w:lastRenderedPageBreak/>
        <w:tab/>
      </w:r>
      <w:r w:rsidRPr="00621D94">
        <w:rPr>
          <w:rFonts w:ascii="Calibri" w:hAnsi="Calibri" w:cs="Calibri"/>
          <w:b/>
          <w:sz w:val="26"/>
          <w:szCs w:val="26"/>
        </w:rPr>
        <w:t xml:space="preserve">Relace </w:t>
      </w:r>
      <w:r w:rsidRPr="00621D94">
        <w:rPr>
          <w:rFonts w:ascii="Calibri" w:hAnsi="Calibri" w:cs="Calibri"/>
          <w:sz w:val="26"/>
          <w:szCs w:val="26"/>
        </w:rPr>
        <w:t>produktivity práce a mezd</w:t>
      </w:r>
      <w:r w:rsidRPr="00621D94">
        <w:rPr>
          <w:rFonts w:ascii="Calibri" w:hAnsi="Calibri" w:cs="Calibri"/>
          <w:b/>
          <w:sz w:val="26"/>
          <w:szCs w:val="26"/>
        </w:rPr>
        <w:t xml:space="preserve"> se promítla do </w:t>
      </w:r>
      <w:r w:rsidRPr="00621D94">
        <w:rPr>
          <w:rFonts w:ascii="Calibri" w:hAnsi="Calibri" w:cs="Calibri"/>
          <w:b/>
          <w:bCs/>
          <w:sz w:val="26"/>
          <w:szCs w:val="26"/>
        </w:rPr>
        <w:t>vývoje jednotkových mzdových nákladů,</w:t>
      </w:r>
      <w:r w:rsidRPr="00621D94">
        <w:rPr>
          <w:rFonts w:ascii="Calibri" w:hAnsi="Calibri" w:cs="Calibri"/>
          <w:bCs/>
          <w:sz w:val="26"/>
          <w:szCs w:val="26"/>
        </w:rPr>
        <w:t xml:space="preserve"> </w:t>
      </w:r>
      <w:r w:rsidRPr="00621D94">
        <w:rPr>
          <w:rFonts w:ascii="Calibri" w:hAnsi="Calibri" w:cs="Calibri"/>
          <w:sz w:val="26"/>
          <w:szCs w:val="26"/>
        </w:rPr>
        <w:t xml:space="preserve">které v meziročním pohledu </w:t>
      </w:r>
      <w:r w:rsidRPr="00621D94">
        <w:rPr>
          <w:rFonts w:ascii="Calibri" w:hAnsi="Calibri" w:cs="Calibri"/>
          <w:b/>
          <w:bCs/>
          <w:sz w:val="26"/>
          <w:szCs w:val="26"/>
        </w:rPr>
        <w:t>vzrostly nominálně o 9,0 % a reálně o 5,6 %, což však</w:t>
      </w:r>
      <w:r w:rsidRPr="00621D94">
        <w:rPr>
          <w:rFonts w:ascii="Calibri" w:hAnsi="Calibri" w:cs="Calibri"/>
          <w:bCs/>
          <w:sz w:val="26"/>
          <w:szCs w:val="26"/>
        </w:rPr>
        <w:t xml:space="preserve"> stále ještě </w:t>
      </w:r>
      <w:r w:rsidRPr="00621D94">
        <w:rPr>
          <w:rFonts w:ascii="Calibri" w:hAnsi="Calibri" w:cs="Calibri"/>
          <w:b/>
          <w:bCs/>
          <w:sz w:val="26"/>
          <w:szCs w:val="26"/>
        </w:rPr>
        <w:t>nepředstavovalo</w:t>
      </w:r>
      <w:r w:rsidRPr="00621D94">
        <w:rPr>
          <w:rFonts w:ascii="Calibri" w:hAnsi="Calibri" w:cs="Calibri"/>
          <w:b/>
          <w:sz w:val="26"/>
          <w:szCs w:val="26"/>
        </w:rPr>
        <w:t xml:space="preserve"> vážnější </w:t>
      </w:r>
      <w:r w:rsidRPr="00621D94">
        <w:rPr>
          <w:rFonts w:ascii="Calibri" w:hAnsi="Calibri" w:cs="Calibri"/>
          <w:b/>
          <w:bCs/>
          <w:sz w:val="26"/>
          <w:szCs w:val="26"/>
        </w:rPr>
        <w:t>riziko</w:t>
      </w:r>
      <w:r w:rsidRPr="00621D94">
        <w:rPr>
          <w:rFonts w:ascii="Calibri" w:hAnsi="Calibri" w:cs="Calibri"/>
          <w:sz w:val="26"/>
          <w:szCs w:val="26"/>
        </w:rPr>
        <w:t xml:space="preserve"> </w:t>
      </w:r>
      <w:r w:rsidRPr="00621D94">
        <w:rPr>
          <w:rFonts w:ascii="Calibri" w:hAnsi="Calibri" w:cs="Calibri"/>
          <w:bCs/>
          <w:sz w:val="26"/>
          <w:szCs w:val="26"/>
        </w:rPr>
        <w:t xml:space="preserve">z pohledu </w:t>
      </w:r>
      <w:r w:rsidRPr="00621D94">
        <w:rPr>
          <w:rFonts w:ascii="Calibri" w:hAnsi="Calibri" w:cs="Calibri"/>
          <w:b/>
          <w:bCs/>
          <w:sz w:val="26"/>
          <w:szCs w:val="26"/>
        </w:rPr>
        <w:t>udržení</w:t>
      </w:r>
      <w:r w:rsidRPr="00621D94">
        <w:rPr>
          <w:rFonts w:ascii="Calibri" w:hAnsi="Calibri" w:cs="Calibri"/>
          <w:b/>
          <w:sz w:val="26"/>
          <w:szCs w:val="26"/>
        </w:rPr>
        <w:t xml:space="preserve"> </w:t>
      </w:r>
      <w:r w:rsidRPr="00621D94">
        <w:rPr>
          <w:rFonts w:ascii="Calibri" w:hAnsi="Calibri" w:cs="Calibri"/>
          <w:b/>
          <w:bCs/>
          <w:sz w:val="26"/>
          <w:szCs w:val="26"/>
        </w:rPr>
        <w:t>konkurenceschopnosti tuzemské produkce.</w:t>
      </w:r>
    </w:p>
    <w:p w14:paraId="34EB2090" w14:textId="77777777" w:rsidR="00621D94" w:rsidRPr="00621D94" w:rsidRDefault="00621D94" w:rsidP="00621D94">
      <w:pPr>
        <w:spacing w:after="360" w:line="360" w:lineRule="auto"/>
        <w:jc w:val="both"/>
        <w:rPr>
          <w:rFonts w:ascii="Calibri" w:hAnsi="Calibri" w:cs="Calibri"/>
          <w:b/>
          <w:sz w:val="26"/>
          <w:szCs w:val="26"/>
        </w:rPr>
      </w:pPr>
      <w:r w:rsidRPr="00621D94">
        <w:rPr>
          <w:rFonts w:ascii="Calibri" w:hAnsi="Calibri" w:cs="Calibri"/>
          <w:sz w:val="26"/>
          <w:szCs w:val="26"/>
        </w:rPr>
        <w:tab/>
      </w:r>
      <w:r w:rsidRPr="00621D94">
        <w:rPr>
          <w:rFonts w:ascii="Calibri" w:hAnsi="Calibri" w:cs="Calibri"/>
          <w:b/>
          <w:bCs/>
          <w:sz w:val="26"/>
          <w:szCs w:val="26"/>
        </w:rPr>
        <w:t xml:space="preserve">Reálná hodnota objemu mzdových prostředků </w:t>
      </w:r>
      <w:r w:rsidRPr="00621D94">
        <w:rPr>
          <w:rFonts w:ascii="Calibri" w:hAnsi="Calibri" w:cs="Calibri"/>
          <w:sz w:val="26"/>
          <w:szCs w:val="26"/>
        </w:rPr>
        <w:t>zúčtovaných k výplatě</w:t>
      </w:r>
      <w:r w:rsidRPr="00621D94">
        <w:rPr>
          <w:rFonts w:ascii="Calibri" w:hAnsi="Calibri" w:cs="Calibri"/>
          <w:b/>
          <w:sz w:val="26"/>
          <w:szCs w:val="26"/>
        </w:rPr>
        <w:t xml:space="preserve"> </w:t>
      </w:r>
      <w:r w:rsidRPr="00621D94">
        <w:rPr>
          <w:rFonts w:ascii="Calibri" w:hAnsi="Calibri" w:cs="Calibri"/>
          <w:b/>
          <w:bCs/>
          <w:sz w:val="26"/>
          <w:szCs w:val="26"/>
        </w:rPr>
        <w:t xml:space="preserve">poklesla </w:t>
      </w:r>
      <w:r w:rsidRPr="00621D94">
        <w:rPr>
          <w:rFonts w:ascii="Calibri" w:hAnsi="Calibri" w:cs="Calibri"/>
          <w:sz w:val="26"/>
          <w:szCs w:val="26"/>
        </w:rPr>
        <w:t>oproti roku 2019</w:t>
      </w:r>
      <w:r w:rsidRPr="00621D94">
        <w:rPr>
          <w:rFonts w:ascii="Calibri" w:hAnsi="Calibri" w:cs="Calibri"/>
          <w:b/>
          <w:bCs/>
          <w:sz w:val="26"/>
          <w:szCs w:val="26"/>
        </w:rPr>
        <w:t xml:space="preserve"> o 1,5 %; mzdová náročnost HDP</w:t>
      </w:r>
      <w:r w:rsidRPr="00621D94">
        <w:rPr>
          <w:rFonts w:ascii="Calibri" w:hAnsi="Calibri" w:cs="Calibri"/>
          <w:b/>
          <w:sz w:val="26"/>
          <w:szCs w:val="26"/>
        </w:rPr>
        <w:t xml:space="preserve"> </w:t>
      </w:r>
      <w:r w:rsidRPr="00621D94">
        <w:rPr>
          <w:rFonts w:ascii="Calibri" w:hAnsi="Calibri" w:cs="Calibri"/>
          <w:sz w:val="26"/>
          <w:szCs w:val="26"/>
        </w:rPr>
        <w:t xml:space="preserve">(relace objemu mzdových prostředků k objemu hrubého domácího produktu v běžných cenách) </w:t>
      </w:r>
      <w:r w:rsidRPr="00621D94">
        <w:rPr>
          <w:rFonts w:ascii="Calibri" w:hAnsi="Calibri" w:cs="Calibri"/>
          <w:b/>
          <w:sz w:val="26"/>
          <w:szCs w:val="26"/>
        </w:rPr>
        <w:t>se </w:t>
      </w:r>
      <w:r w:rsidRPr="00621D94">
        <w:rPr>
          <w:rFonts w:ascii="Calibri" w:hAnsi="Calibri" w:cs="Calibri"/>
          <w:sz w:val="26"/>
          <w:szCs w:val="26"/>
        </w:rPr>
        <w:t xml:space="preserve">ve stejném porovnání </w:t>
      </w:r>
      <w:r w:rsidRPr="00621D94">
        <w:rPr>
          <w:rFonts w:ascii="Calibri" w:hAnsi="Calibri" w:cs="Calibri"/>
          <w:b/>
          <w:sz w:val="26"/>
          <w:szCs w:val="26"/>
        </w:rPr>
        <w:t>zvýšila</w:t>
      </w:r>
      <w:r w:rsidRPr="00621D94">
        <w:rPr>
          <w:rFonts w:ascii="Calibri" w:hAnsi="Calibri" w:cs="Calibri"/>
          <w:sz w:val="26"/>
          <w:szCs w:val="26"/>
        </w:rPr>
        <w:t xml:space="preserve"> o 1,0 p. b. </w:t>
      </w:r>
      <w:r w:rsidRPr="00621D94">
        <w:rPr>
          <w:rFonts w:ascii="Calibri" w:hAnsi="Calibri" w:cs="Calibri"/>
          <w:b/>
          <w:sz w:val="26"/>
          <w:szCs w:val="26"/>
        </w:rPr>
        <w:t>na 30,1 %.</w:t>
      </w:r>
    </w:p>
    <w:p w14:paraId="3B4D1592" w14:textId="77777777" w:rsidR="00621D94" w:rsidRPr="00621D94" w:rsidRDefault="00621D94" w:rsidP="00D1044C">
      <w:pPr>
        <w:spacing w:after="720"/>
        <w:ind w:left="708"/>
        <w:jc w:val="both"/>
        <w:rPr>
          <w:rFonts w:ascii="Calibri" w:hAnsi="Calibri" w:cs="Calibri"/>
          <w:bCs/>
          <w:sz w:val="26"/>
          <w:szCs w:val="26"/>
        </w:rPr>
      </w:pPr>
      <w:r w:rsidRPr="00621D94">
        <w:rPr>
          <w:rFonts w:ascii="Calibri" w:hAnsi="Calibri" w:cs="Calibri"/>
          <w:iCs/>
          <w:sz w:val="26"/>
          <w:szCs w:val="26"/>
        </w:rPr>
        <w:t xml:space="preserve">Část mezd, které svým zaměstnancům dlužili zaměstnavatelé v platební neschopnosti, </w:t>
      </w:r>
      <w:r w:rsidRPr="00621D94">
        <w:rPr>
          <w:rFonts w:ascii="Calibri" w:hAnsi="Calibri" w:cs="Calibri"/>
          <w:sz w:val="26"/>
          <w:szCs w:val="26"/>
        </w:rPr>
        <w:t xml:space="preserve">jim byla vyplacena Úřadem práce ČR </w:t>
      </w:r>
      <w:r w:rsidRPr="00621D94">
        <w:rPr>
          <w:rFonts w:ascii="Calibri" w:hAnsi="Calibri" w:cs="Calibri"/>
          <w:b/>
          <w:bCs/>
          <w:sz w:val="26"/>
          <w:szCs w:val="26"/>
        </w:rPr>
        <w:t xml:space="preserve">na základě zákona </w:t>
      </w:r>
      <w:r w:rsidRPr="00621D94">
        <w:rPr>
          <w:rFonts w:ascii="Calibri" w:hAnsi="Calibri" w:cs="Calibri"/>
          <w:sz w:val="26"/>
          <w:szCs w:val="26"/>
        </w:rPr>
        <w:t xml:space="preserve">č. 118/2000 Sb., </w:t>
      </w:r>
      <w:r w:rsidRPr="00621D94">
        <w:rPr>
          <w:rFonts w:ascii="Calibri" w:hAnsi="Calibri" w:cs="Calibri"/>
          <w:b/>
          <w:bCs/>
          <w:sz w:val="26"/>
          <w:szCs w:val="26"/>
        </w:rPr>
        <w:t xml:space="preserve">o ochraně zaměstnanců při platební neschopnosti zaměstnavatele </w:t>
      </w:r>
      <w:r w:rsidRPr="00621D94">
        <w:rPr>
          <w:rFonts w:ascii="Calibri" w:hAnsi="Calibri" w:cs="Calibri"/>
          <w:sz w:val="26"/>
          <w:szCs w:val="26"/>
        </w:rPr>
        <w:t>a o změně některých zákonů, ve znění pozdějších předpisů.</w:t>
      </w:r>
      <w:r w:rsidRPr="00621D94">
        <w:rPr>
          <w:rFonts w:ascii="Calibri" w:hAnsi="Calibri" w:cs="Calibri"/>
          <w:b/>
          <w:bCs/>
          <w:sz w:val="26"/>
          <w:szCs w:val="26"/>
        </w:rPr>
        <w:t xml:space="preserve"> </w:t>
      </w:r>
      <w:r w:rsidRPr="00621D94">
        <w:rPr>
          <w:rFonts w:ascii="Calibri" w:hAnsi="Calibri" w:cs="Calibri"/>
          <w:bCs/>
          <w:sz w:val="26"/>
          <w:szCs w:val="26"/>
        </w:rPr>
        <w:t xml:space="preserve">Celkem bylo takto </w:t>
      </w:r>
      <w:r w:rsidRPr="00621D94">
        <w:rPr>
          <w:rFonts w:ascii="Calibri" w:hAnsi="Calibri" w:cs="Calibri"/>
          <w:b/>
          <w:sz w:val="26"/>
          <w:szCs w:val="26"/>
        </w:rPr>
        <w:t xml:space="preserve">k 31. 12. 2020 poskytnuto 273,9 mil. Kč </w:t>
      </w:r>
      <w:r w:rsidRPr="00621D94">
        <w:rPr>
          <w:rFonts w:ascii="Calibri" w:hAnsi="Calibri" w:cs="Calibri"/>
          <w:bCs/>
          <w:sz w:val="26"/>
          <w:szCs w:val="26"/>
        </w:rPr>
        <w:t>(o 3,8 mil. Kč méně než ke konci předchozího roku), z toho nejvíce v hl. m. Praze (102,7 mil. Kč), Moravskoslezském kraji (49,7 mil. Kč), Jihomoravském kraji (24,3 mil. Kč), Karlovarském kraji (22,7 mil. Kč) a Středočeském kraji (19,7 mil. Kč).</w:t>
      </w:r>
    </w:p>
    <w:p w14:paraId="1741530A" w14:textId="6676E88B" w:rsidR="00621D94" w:rsidRDefault="00621D94" w:rsidP="00621D94">
      <w:pPr>
        <w:spacing w:after="360" w:line="360" w:lineRule="auto"/>
        <w:jc w:val="both"/>
        <w:rPr>
          <w:rFonts w:ascii="Calibri" w:hAnsi="Calibri" w:cs="Calibri"/>
          <w:bCs/>
          <w:sz w:val="26"/>
          <w:szCs w:val="26"/>
        </w:rPr>
      </w:pPr>
      <w:r w:rsidRPr="00621D94">
        <w:rPr>
          <w:rFonts w:ascii="Calibri" w:hAnsi="Calibri" w:cs="Calibri"/>
          <w:sz w:val="26"/>
          <w:szCs w:val="26"/>
        </w:rPr>
        <w:tab/>
      </w:r>
      <w:r w:rsidRPr="00621D94">
        <w:rPr>
          <w:rFonts w:ascii="Calibri" w:hAnsi="Calibri" w:cs="Calibri"/>
          <w:bCs/>
          <w:sz w:val="26"/>
          <w:szCs w:val="26"/>
        </w:rPr>
        <w:t xml:space="preserve">Meziroční </w:t>
      </w:r>
      <w:r w:rsidRPr="00621D94">
        <w:rPr>
          <w:rFonts w:ascii="Calibri" w:hAnsi="Calibri" w:cs="Calibri"/>
          <w:b/>
          <w:sz w:val="26"/>
          <w:szCs w:val="26"/>
        </w:rPr>
        <w:t xml:space="preserve">nárůst průměrného </w:t>
      </w:r>
      <w:r w:rsidRPr="00621D94">
        <w:rPr>
          <w:rFonts w:ascii="Calibri" w:hAnsi="Calibri" w:cs="Calibri"/>
          <w:b/>
          <w:bCs/>
          <w:sz w:val="26"/>
          <w:szCs w:val="26"/>
        </w:rPr>
        <w:t>nominálního</w:t>
      </w:r>
      <w:r w:rsidRPr="00621D94">
        <w:rPr>
          <w:rFonts w:ascii="Calibri" w:hAnsi="Calibri" w:cs="Calibri"/>
          <w:b/>
          <w:sz w:val="26"/>
          <w:szCs w:val="26"/>
        </w:rPr>
        <w:t xml:space="preserve"> platu </w:t>
      </w:r>
      <w:r w:rsidRPr="00621D94">
        <w:rPr>
          <w:rFonts w:ascii="Calibri" w:hAnsi="Calibri" w:cs="Calibri"/>
          <w:b/>
          <w:bCs/>
          <w:sz w:val="26"/>
          <w:szCs w:val="26"/>
        </w:rPr>
        <w:t>v odvětvích tzv. veřejné služby a správy</w:t>
      </w:r>
      <w:r w:rsidRPr="00621D94">
        <w:rPr>
          <w:rFonts w:ascii="Calibri" w:hAnsi="Calibri" w:cs="Calibri"/>
          <w:b/>
          <w:sz w:val="26"/>
          <w:szCs w:val="26"/>
        </w:rPr>
        <w:t xml:space="preserve"> </w:t>
      </w:r>
      <w:r w:rsidRPr="00621D94">
        <w:rPr>
          <w:rFonts w:ascii="Calibri" w:hAnsi="Calibri" w:cs="Calibri"/>
          <w:b/>
          <w:bCs/>
          <w:sz w:val="26"/>
          <w:szCs w:val="26"/>
        </w:rPr>
        <w:t>byl v roce 2020</w:t>
      </w:r>
      <w:r w:rsidRPr="00621D94">
        <w:rPr>
          <w:rFonts w:ascii="Calibri" w:hAnsi="Calibri" w:cs="Calibri"/>
          <w:bCs/>
          <w:sz w:val="26"/>
          <w:szCs w:val="26"/>
        </w:rPr>
        <w:t xml:space="preserve"> podobně jako v roce 2019 </w:t>
      </w:r>
      <w:r w:rsidRPr="00621D94">
        <w:rPr>
          <w:rFonts w:ascii="Calibri" w:hAnsi="Calibri" w:cs="Calibri"/>
          <w:b/>
          <w:bCs/>
          <w:sz w:val="26"/>
          <w:szCs w:val="26"/>
        </w:rPr>
        <w:t xml:space="preserve">příznivě ovlivněn zvýšením platových tarifů </w:t>
      </w:r>
      <w:r w:rsidRPr="00621D94">
        <w:rPr>
          <w:rFonts w:ascii="Calibri" w:hAnsi="Calibri" w:cs="Calibri"/>
          <w:bCs/>
          <w:sz w:val="26"/>
          <w:szCs w:val="26"/>
        </w:rPr>
        <w:t xml:space="preserve">státních zaměstnanců a zaměstnanců ve veřejných službách a správě příslušnými vládními nařízeními. S výjimkou odvětví </w:t>
      </w:r>
      <w:r w:rsidRPr="00621D94">
        <w:rPr>
          <w:rFonts w:ascii="Calibri" w:hAnsi="Calibri" w:cs="Calibri"/>
          <w:b/>
          <w:bCs/>
          <w:sz w:val="26"/>
          <w:szCs w:val="26"/>
        </w:rPr>
        <w:t>„kulturní, zábavní a sportovní činnosti“</w:t>
      </w:r>
      <w:r w:rsidRPr="00621D94">
        <w:rPr>
          <w:rFonts w:ascii="Calibri" w:hAnsi="Calibri" w:cs="Calibri"/>
          <w:bCs/>
          <w:sz w:val="26"/>
          <w:szCs w:val="26"/>
        </w:rPr>
        <w:t xml:space="preserve"> došlo v souhrnu k </w:t>
      </w:r>
      <w:r w:rsidRPr="00621D94">
        <w:rPr>
          <w:rFonts w:ascii="Calibri" w:hAnsi="Calibri" w:cs="Calibri"/>
          <w:b/>
          <w:bCs/>
          <w:sz w:val="26"/>
          <w:szCs w:val="26"/>
        </w:rPr>
        <w:t>nadprůměrnému meziročnímu nominálnímu nárůstu průměrného platu.</w:t>
      </w:r>
      <w:r w:rsidRPr="00621D94">
        <w:rPr>
          <w:rFonts w:ascii="Calibri" w:hAnsi="Calibri" w:cs="Calibri"/>
          <w:bCs/>
          <w:sz w:val="26"/>
          <w:szCs w:val="26"/>
        </w:rPr>
        <w:t xml:space="preserve"> Nejvýrazněji si polepšili i vzhledem k vyplaceným mimořádným „</w:t>
      </w:r>
      <w:proofErr w:type="spellStart"/>
      <w:r w:rsidRPr="00621D94">
        <w:rPr>
          <w:rFonts w:ascii="Calibri" w:hAnsi="Calibri" w:cs="Calibri"/>
          <w:bCs/>
          <w:sz w:val="26"/>
          <w:szCs w:val="26"/>
        </w:rPr>
        <w:t>covidovým</w:t>
      </w:r>
      <w:proofErr w:type="spellEnd"/>
      <w:r w:rsidRPr="00621D94">
        <w:rPr>
          <w:rFonts w:ascii="Calibri" w:hAnsi="Calibri" w:cs="Calibri"/>
          <w:bCs/>
          <w:sz w:val="26"/>
          <w:szCs w:val="26"/>
        </w:rPr>
        <w:t xml:space="preserve">“ odměnám zaměstnanci v odvětví </w:t>
      </w:r>
      <w:r w:rsidRPr="00621D94">
        <w:rPr>
          <w:rFonts w:ascii="Calibri" w:hAnsi="Calibri" w:cs="Calibri"/>
          <w:b/>
          <w:bCs/>
          <w:sz w:val="26"/>
          <w:szCs w:val="26"/>
        </w:rPr>
        <w:t>„zdravotní, sociální péče“</w:t>
      </w:r>
      <w:r w:rsidRPr="00621D94">
        <w:rPr>
          <w:rFonts w:ascii="Calibri" w:hAnsi="Calibri" w:cs="Calibri"/>
          <w:bCs/>
          <w:sz w:val="26"/>
          <w:szCs w:val="26"/>
        </w:rPr>
        <w:t xml:space="preserve"> s nárůstem </w:t>
      </w:r>
      <w:r w:rsidRPr="00621D94">
        <w:rPr>
          <w:rFonts w:ascii="Calibri" w:hAnsi="Calibri" w:cs="Calibri"/>
          <w:b/>
          <w:bCs/>
          <w:sz w:val="26"/>
          <w:szCs w:val="26"/>
        </w:rPr>
        <w:t>o 13,8 %</w:t>
      </w:r>
      <w:r w:rsidRPr="00621D94">
        <w:rPr>
          <w:rFonts w:ascii="Calibri" w:hAnsi="Calibri" w:cs="Calibri"/>
          <w:bCs/>
          <w:sz w:val="26"/>
          <w:szCs w:val="26"/>
        </w:rPr>
        <w:t xml:space="preserve"> a dále zaměstnanci v odvětví </w:t>
      </w:r>
      <w:r w:rsidRPr="00621D94">
        <w:rPr>
          <w:rFonts w:ascii="Calibri" w:hAnsi="Calibri" w:cs="Calibri"/>
          <w:b/>
          <w:bCs/>
          <w:sz w:val="26"/>
          <w:szCs w:val="26"/>
        </w:rPr>
        <w:t>„vzdělávání“</w:t>
      </w:r>
      <w:r w:rsidRPr="00621D94">
        <w:rPr>
          <w:rFonts w:ascii="Calibri" w:hAnsi="Calibri" w:cs="Calibri"/>
          <w:bCs/>
          <w:sz w:val="26"/>
          <w:szCs w:val="26"/>
        </w:rPr>
        <w:t xml:space="preserve"> </w:t>
      </w:r>
      <w:r w:rsidRPr="00621D94">
        <w:rPr>
          <w:rFonts w:ascii="Calibri" w:hAnsi="Calibri" w:cs="Calibri"/>
          <w:b/>
          <w:bCs/>
          <w:sz w:val="26"/>
          <w:szCs w:val="26"/>
        </w:rPr>
        <w:t>o 7,8 %.</w:t>
      </w:r>
      <w:r w:rsidRPr="00621D94">
        <w:rPr>
          <w:rFonts w:ascii="Calibri" w:hAnsi="Calibri" w:cs="Calibri"/>
          <w:bCs/>
          <w:sz w:val="26"/>
          <w:szCs w:val="26"/>
        </w:rPr>
        <w:t xml:space="preserve"> Ve zdravotnických zařízeních, jejichž zřizovatelem jsou kraje nebo města, </w:t>
      </w:r>
      <w:r w:rsidRPr="00621D94">
        <w:rPr>
          <w:rFonts w:ascii="Calibri" w:hAnsi="Calibri" w:cs="Calibri"/>
          <w:b/>
          <w:bCs/>
          <w:sz w:val="26"/>
          <w:szCs w:val="26"/>
        </w:rPr>
        <w:t>byl zaznamenán vůbec nejvyšší relativní nárůst průměrného platu, a to o 17,8 %</w:t>
      </w:r>
      <w:r w:rsidRPr="00621D94">
        <w:rPr>
          <w:rFonts w:ascii="Calibri" w:hAnsi="Calibri" w:cs="Calibri"/>
          <w:bCs/>
          <w:sz w:val="26"/>
          <w:szCs w:val="26"/>
        </w:rPr>
        <w:t xml:space="preserve"> – podrobně viz tabulku č. 4 v příloze.</w:t>
      </w:r>
    </w:p>
    <w:p w14:paraId="401B67AC" w14:textId="77777777" w:rsidR="00621D94" w:rsidRPr="00621D94" w:rsidRDefault="00621D94" w:rsidP="00D1044C">
      <w:pPr>
        <w:spacing w:line="360" w:lineRule="auto"/>
        <w:jc w:val="both"/>
        <w:rPr>
          <w:rFonts w:ascii="Calibri" w:hAnsi="Calibri" w:cs="Calibri"/>
          <w:b/>
          <w:sz w:val="26"/>
          <w:szCs w:val="26"/>
        </w:rPr>
      </w:pPr>
      <w:r w:rsidRPr="00621D94">
        <w:rPr>
          <w:rFonts w:ascii="Calibri" w:hAnsi="Calibri" w:cs="Calibri"/>
          <w:sz w:val="26"/>
          <w:szCs w:val="26"/>
        </w:rPr>
        <w:tab/>
      </w:r>
      <w:r w:rsidRPr="00621D94">
        <w:rPr>
          <w:rFonts w:ascii="Calibri" w:hAnsi="Calibri" w:cs="Calibri"/>
          <w:b/>
          <w:sz w:val="26"/>
          <w:szCs w:val="26"/>
        </w:rPr>
        <w:t xml:space="preserve">Na nárůst </w:t>
      </w:r>
      <w:r w:rsidRPr="00621D94">
        <w:rPr>
          <w:rFonts w:ascii="Calibri" w:hAnsi="Calibri" w:cs="Calibri"/>
          <w:sz w:val="26"/>
          <w:szCs w:val="26"/>
        </w:rPr>
        <w:t>průměrné mzdy</w:t>
      </w:r>
      <w:r w:rsidRPr="00621D94">
        <w:rPr>
          <w:rFonts w:ascii="Calibri" w:hAnsi="Calibri" w:cs="Calibri"/>
          <w:b/>
          <w:sz w:val="26"/>
          <w:szCs w:val="26"/>
        </w:rPr>
        <w:t xml:space="preserve"> v soukromé sféře působily v roce 2020</w:t>
      </w:r>
      <w:r w:rsidRPr="00621D94">
        <w:rPr>
          <w:rFonts w:ascii="Calibri" w:hAnsi="Calibri" w:cs="Calibri"/>
          <w:sz w:val="26"/>
          <w:szCs w:val="26"/>
        </w:rPr>
        <w:t xml:space="preserve"> </w:t>
      </w:r>
      <w:r w:rsidRPr="00621D94">
        <w:rPr>
          <w:rFonts w:ascii="Calibri" w:hAnsi="Calibri" w:cs="Calibri"/>
          <w:bCs/>
          <w:sz w:val="26"/>
          <w:szCs w:val="26"/>
        </w:rPr>
        <w:t xml:space="preserve">především </w:t>
      </w:r>
      <w:r w:rsidRPr="00621D94">
        <w:rPr>
          <w:rFonts w:ascii="Calibri" w:hAnsi="Calibri" w:cs="Calibri"/>
          <w:b/>
          <w:sz w:val="26"/>
          <w:szCs w:val="26"/>
        </w:rPr>
        <w:t>tyto</w:t>
      </w:r>
      <w:r w:rsidRPr="00621D94">
        <w:rPr>
          <w:rFonts w:ascii="Calibri" w:hAnsi="Calibri" w:cs="Calibri"/>
          <w:bCs/>
          <w:sz w:val="26"/>
          <w:szCs w:val="26"/>
        </w:rPr>
        <w:t xml:space="preserve"> základní </w:t>
      </w:r>
      <w:r w:rsidRPr="00621D94">
        <w:rPr>
          <w:rFonts w:ascii="Calibri" w:hAnsi="Calibri" w:cs="Calibri"/>
          <w:b/>
          <w:sz w:val="26"/>
          <w:szCs w:val="26"/>
        </w:rPr>
        <w:t>faktory:</w:t>
      </w:r>
    </w:p>
    <w:p w14:paraId="7664FE6F" w14:textId="77777777" w:rsidR="00621D94" w:rsidRPr="00621D94" w:rsidRDefault="00621D94" w:rsidP="00D1044C">
      <w:pPr>
        <w:numPr>
          <w:ilvl w:val="0"/>
          <w:numId w:val="24"/>
        </w:numPr>
        <w:spacing w:line="360" w:lineRule="auto"/>
        <w:ind w:left="357" w:hanging="357"/>
        <w:jc w:val="both"/>
        <w:rPr>
          <w:rFonts w:ascii="Calibri" w:hAnsi="Calibri" w:cs="Calibri"/>
          <w:sz w:val="26"/>
          <w:szCs w:val="26"/>
        </w:rPr>
      </w:pPr>
      <w:r w:rsidRPr="00621D94">
        <w:rPr>
          <w:rFonts w:ascii="Calibri" w:hAnsi="Calibri" w:cs="Calibri"/>
          <w:b/>
          <w:bCs/>
          <w:sz w:val="26"/>
          <w:szCs w:val="26"/>
        </w:rPr>
        <w:lastRenderedPageBreak/>
        <w:t>zásadní omezení ekonomické aktivity</w:t>
      </w:r>
      <w:r w:rsidRPr="00621D94">
        <w:rPr>
          <w:rFonts w:ascii="Calibri" w:hAnsi="Calibri" w:cs="Calibri"/>
          <w:sz w:val="26"/>
          <w:szCs w:val="26"/>
        </w:rPr>
        <w:t xml:space="preserve"> v celé řadě podniků a firem </w:t>
      </w:r>
      <w:r w:rsidRPr="00621D94">
        <w:rPr>
          <w:rFonts w:ascii="Calibri" w:hAnsi="Calibri" w:cs="Calibri"/>
          <w:b/>
          <w:bCs/>
          <w:sz w:val="26"/>
          <w:szCs w:val="26"/>
        </w:rPr>
        <w:t>v souvislosti s pandemií viru SARS-CoV-2</w:t>
      </w:r>
      <w:r w:rsidRPr="00621D94">
        <w:rPr>
          <w:rFonts w:ascii="Calibri" w:hAnsi="Calibri" w:cs="Calibri"/>
          <w:sz w:val="26"/>
          <w:szCs w:val="26"/>
        </w:rPr>
        <w:t>,</w:t>
      </w:r>
    </w:p>
    <w:p w14:paraId="1B81D712" w14:textId="77777777" w:rsidR="00621D94" w:rsidRPr="00621D94" w:rsidRDefault="00621D94" w:rsidP="00D1044C">
      <w:pPr>
        <w:numPr>
          <w:ilvl w:val="0"/>
          <w:numId w:val="24"/>
        </w:numPr>
        <w:spacing w:after="240" w:line="360" w:lineRule="auto"/>
        <w:ind w:left="357" w:hanging="357"/>
        <w:jc w:val="both"/>
        <w:rPr>
          <w:rFonts w:ascii="Calibri" w:hAnsi="Calibri" w:cs="Calibri"/>
          <w:sz w:val="26"/>
          <w:szCs w:val="26"/>
        </w:rPr>
      </w:pPr>
      <w:r w:rsidRPr="00621D94">
        <w:rPr>
          <w:rFonts w:ascii="Calibri" w:hAnsi="Calibri" w:cs="Calibri"/>
          <w:sz w:val="26"/>
          <w:szCs w:val="26"/>
        </w:rPr>
        <w:t xml:space="preserve">pokles zaměstnanosti a </w:t>
      </w:r>
      <w:r w:rsidRPr="00621D94">
        <w:rPr>
          <w:rFonts w:ascii="Calibri" w:hAnsi="Calibri" w:cs="Calibri"/>
          <w:b/>
          <w:sz w:val="26"/>
          <w:szCs w:val="26"/>
        </w:rPr>
        <w:t>nárůst nezaměstnanosti</w:t>
      </w:r>
      <w:r w:rsidRPr="00621D94">
        <w:rPr>
          <w:rFonts w:ascii="Calibri" w:hAnsi="Calibri" w:cs="Calibri"/>
          <w:b/>
          <w:bCs/>
          <w:sz w:val="26"/>
          <w:szCs w:val="26"/>
        </w:rPr>
        <w:t>;</w:t>
      </w:r>
      <w:r w:rsidRPr="00621D94">
        <w:rPr>
          <w:rFonts w:ascii="Calibri" w:hAnsi="Calibri" w:cs="Calibri"/>
          <w:sz w:val="26"/>
          <w:szCs w:val="26"/>
        </w:rPr>
        <w:t xml:space="preserve"> podíl nezaměstnaných osob</w:t>
      </w:r>
      <w:r w:rsidRPr="00621D94">
        <w:rPr>
          <w:rFonts w:ascii="Calibri" w:hAnsi="Calibri" w:cs="Calibri"/>
          <w:b/>
          <w:bCs/>
          <w:sz w:val="26"/>
          <w:szCs w:val="26"/>
        </w:rPr>
        <w:t xml:space="preserve"> k 31. 12. 2020 činil 4,0 % </w:t>
      </w:r>
      <w:r w:rsidRPr="00621D94">
        <w:rPr>
          <w:rFonts w:ascii="Calibri" w:hAnsi="Calibri" w:cs="Calibri"/>
          <w:bCs/>
          <w:sz w:val="26"/>
          <w:szCs w:val="26"/>
        </w:rPr>
        <w:t>(k 31. 12. 2019 byl o 1,1 p. b. nižší, tj. 2,9 %).</w:t>
      </w:r>
    </w:p>
    <w:p w14:paraId="5F2492FF" w14:textId="089753B5" w:rsidR="00621D94" w:rsidRPr="00621D94" w:rsidRDefault="00621D94" w:rsidP="00D1044C">
      <w:pPr>
        <w:spacing w:after="480"/>
        <w:ind w:left="357"/>
        <w:jc w:val="both"/>
        <w:rPr>
          <w:rFonts w:ascii="Calibri" w:hAnsi="Calibri" w:cs="Calibri"/>
          <w:bCs/>
          <w:sz w:val="26"/>
          <w:szCs w:val="26"/>
        </w:rPr>
      </w:pPr>
      <w:r w:rsidRPr="00621D94">
        <w:rPr>
          <w:rFonts w:ascii="Calibri" w:hAnsi="Calibri" w:cs="Calibri"/>
          <w:sz w:val="26"/>
          <w:szCs w:val="26"/>
        </w:rPr>
        <w:t xml:space="preserve">Ze statistik o </w:t>
      </w:r>
      <w:r w:rsidRPr="00621D94">
        <w:rPr>
          <w:rFonts w:ascii="Calibri" w:hAnsi="Calibri" w:cs="Calibri"/>
          <w:b/>
          <w:bCs/>
          <w:sz w:val="26"/>
          <w:szCs w:val="26"/>
        </w:rPr>
        <w:t>průměrném evidenčním počtu zaměstnanců</w:t>
      </w:r>
      <w:r w:rsidRPr="00621D94">
        <w:rPr>
          <w:rFonts w:ascii="Calibri" w:hAnsi="Calibri" w:cs="Calibri"/>
          <w:bCs/>
          <w:sz w:val="26"/>
          <w:szCs w:val="26"/>
        </w:rPr>
        <w:t xml:space="preserve"> na přepočtené počty (dle Podnikové statistiky o mzdách a zaměstnancích, jedná se o druhý nejvýznamnější zdroj dat, který se však liší od Výběrových šetření pracovních sil) je patrný meziroční pokles zaměstnanců o 106,9 tis. (2,6 %). V detailnějším odvětvovém členění byly patrné rozdíly ve vývoji počtu zaměstnanců. Nárůst zaměstnanců zaznamenalo pouze šest odvětví. Z nich největší a nejvýznamnější absolutní nárůst zaměstnanců byl vykázán v odvětví „vzdělávání“ o 9,0 tis. (tj.</w:t>
      </w:r>
      <w:r w:rsidR="00D1044C">
        <w:rPr>
          <w:rFonts w:ascii="Calibri" w:hAnsi="Calibri" w:cs="Calibri"/>
          <w:bCs/>
          <w:sz w:val="26"/>
          <w:szCs w:val="26"/>
        </w:rPr>
        <w:t> </w:t>
      </w:r>
      <w:r w:rsidRPr="00621D94">
        <w:rPr>
          <w:rFonts w:ascii="Calibri" w:hAnsi="Calibri" w:cs="Calibri"/>
          <w:bCs/>
          <w:sz w:val="26"/>
          <w:szCs w:val="26"/>
        </w:rPr>
        <w:t>o 3,0 %), odvětví „činnosti v oblasti nemovitostí“ o 4,6 tis. a odvětví „zdravotní a sociální péče“ o 1,8 tis. Naopak pokles zaměstnanosti byl zaznamenán v ostatních třinácti odvětvích. Nejvíce v důležitém odvětví „zpracovatelský průmysl“ o 48,0 tis. (tj. o 4,2 %) a dále v odvětví „administrativní a podpůrné činnosti“ o 26,7 tis. a</w:t>
      </w:r>
      <w:r w:rsidR="00D1044C">
        <w:rPr>
          <w:rFonts w:ascii="Calibri" w:hAnsi="Calibri" w:cs="Calibri"/>
          <w:bCs/>
          <w:sz w:val="26"/>
          <w:szCs w:val="26"/>
        </w:rPr>
        <w:t> </w:t>
      </w:r>
      <w:r w:rsidRPr="00621D94">
        <w:rPr>
          <w:rFonts w:ascii="Calibri" w:hAnsi="Calibri" w:cs="Calibri"/>
          <w:bCs/>
          <w:sz w:val="26"/>
          <w:szCs w:val="26"/>
        </w:rPr>
        <w:t xml:space="preserve">v odvětví „ubytování, stravování a pohostinství“ o 16,8 tis. </w:t>
      </w:r>
    </w:p>
    <w:p w14:paraId="19282917" w14:textId="609B7015" w:rsidR="00621D94" w:rsidRPr="00621D94" w:rsidRDefault="00394280" w:rsidP="00621D94">
      <w:pPr>
        <w:spacing w:after="360" w:line="360" w:lineRule="auto"/>
        <w:jc w:val="both"/>
        <w:rPr>
          <w:rFonts w:ascii="Calibri" w:hAnsi="Calibri" w:cs="Calibri"/>
          <w:bCs/>
          <w:sz w:val="26"/>
          <w:szCs w:val="26"/>
        </w:rPr>
      </w:pPr>
      <w:r w:rsidRPr="00621D94">
        <w:rPr>
          <w:rFonts w:ascii="Calibri" w:hAnsi="Calibri" w:cs="Calibri"/>
          <w:sz w:val="26"/>
          <w:szCs w:val="26"/>
        </w:rPr>
        <w:tab/>
      </w:r>
      <w:r w:rsidR="00621D94" w:rsidRPr="00621D94">
        <w:rPr>
          <w:rFonts w:ascii="Calibri" w:hAnsi="Calibri" w:cs="Calibri"/>
          <w:bCs/>
          <w:sz w:val="26"/>
          <w:szCs w:val="26"/>
        </w:rPr>
        <w:t>Z hlediska odvětvového členění (podle Klasifikace ekonomických činností CZ</w:t>
      </w:r>
      <w:r w:rsidR="00621D94" w:rsidRPr="00621D94">
        <w:rPr>
          <w:rFonts w:ascii="Calibri" w:hAnsi="Calibri" w:cs="Calibri"/>
          <w:bCs/>
          <w:sz w:val="26"/>
          <w:szCs w:val="26"/>
        </w:rPr>
        <w:noBreakHyphen/>
        <w:t xml:space="preserve">NACE) </w:t>
      </w:r>
      <w:r w:rsidR="00621D94" w:rsidRPr="00621D94">
        <w:rPr>
          <w:rFonts w:ascii="Calibri" w:hAnsi="Calibri" w:cs="Calibri"/>
          <w:b/>
          <w:bCs/>
          <w:iCs/>
          <w:sz w:val="26"/>
          <w:szCs w:val="26"/>
        </w:rPr>
        <w:t xml:space="preserve">dosáhla v roce 2020 nejvyšší nominální průměrné mzdy </w:t>
      </w:r>
      <w:r w:rsidR="00621D94" w:rsidRPr="00621D94">
        <w:rPr>
          <w:rFonts w:ascii="Calibri" w:hAnsi="Calibri" w:cs="Calibri"/>
          <w:bCs/>
          <w:iCs/>
          <w:sz w:val="26"/>
          <w:szCs w:val="26"/>
        </w:rPr>
        <w:t xml:space="preserve">tradičně </w:t>
      </w:r>
      <w:r w:rsidR="00621D94" w:rsidRPr="00621D94">
        <w:rPr>
          <w:rFonts w:ascii="Calibri" w:hAnsi="Calibri" w:cs="Calibri"/>
          <w:b/>
          <w:bCs/>
          <w:iCs/>
          <w:sz w:val="26"/>
          <w:szCs w:val="26"/>
        </w:rPr>
        <w:t>odvětví „informační a komunikační činnosti“</w:t>
      </w:r>
      <w:r w:rsidR="00621D94" w:rsidRPr="00621D94">
        <w:rPr>
          <w:rFonts w:ascii="Calibri" w:hAnsi="Calibri" w:cs="Calibri"/>
          <w:bCs/>
          <w:iCs/>
          <w:sz w:val="26"/>
          <w:szCs w:val="26"/>
        </w:rPr>
        <w:t xml:space="preserve"> (62 148 Kč), </w:t>
      </w:r>
      <w:r w:rsidR="00621D94" w:rsidRPr="00621D94">
        <w:rPr>
          <w:rFonts w:ascii="Calibri" w:hAnsi="Calibri" w:cs="Calibri"/>
          <w:b/>
          <w:bCs/>
          <w:iCs/>
          <w:sz w:val="26"/>
          <w:szCs w:val="26"/>
        </w:rPr>
        <w:t>odvětví „peněžnictví a pojišťovnictví“</w:t>
      </w:r>
      <w:r w:rsidR="00621D94" w:rsidRPr="00621D94">
        <w:rPr>
          <w:rFonts w:ascii="Calibri" w:hAnsi="Calibri" w:cs="Calibri"/>
          <w:bCs/>
          <w:iCs/>
          <w:sz w:val="26"/>
          <w:szCs w:val="26"/>
        </w:rPr>
        <w:t xml:space="preserve"> (59 390 Kč) a </w:t>
      </w:r>
      <w:r w:rsidR="00621D94" w:rsidRPr="00621D94">
        <w:rPr>
          <w:rFonts w:ascii="Calibri" w:hAnsi="Calibri" w:cs="Calibri"/>
          <w:b/>
          <w:bCs/>
          <w:iCs/>
          <w:sz w:val="26"/>
          <w:szCs w:val="26"/>
        </w:rPr>
        <w:t>odvětví „výroba a rozvod elektřiny, plynu, tepla a klimatizovaného vzduchu“</w:t>
      </w:r>
      <w:r w:rsidR="00621D94" w:rsidRPr="00621D94">
        <w:rPr>
          <w:rFonts w:ascii="Calibri" w:hAnsi="Calibri" w:cs="Calibri"/>
          <w:bCs/>
          <w:iCs/>
          <w:sz w:val="26"/>
          <w:szCs w:val="26"/>
        </w:rPr>
        <w:t xml:space="preserve"> (52 223 Kč). Celorepublikový průměr (35 611 Kč) byl překročen rovněž v odvětvích „profesní, vědecké a technické činnosti“ (42 076 Kč), „zdravotní a sociální péče“ (41 290 Kč), „veřejná správa a obrana; povinné sociální zabezpečení“ (40 635 Kč), „vzdělávání“ (38 031 Kč) a „těžba a dobývání“ (37 340 Kč). </w:t>
      </w:r>
      <w:r w:rsidR="00621D94" w:rsidRPr="00621D94">
        <w:rPr>
          <w:rFonts w:ascii="Calibri" w:hAnsi="Calibri" w:cs="Calibri"/>
          <w:b/>
          <w:bCs/>
          <w:iCs/>
          <w:sz w:val="26"/>
          <w:szCs w:val="26"/>
        </w:rPr>
        <w:t>Nejnižší průměrná mzda byla v odvětvích „ubytování, stravování a pohostinství“</w:t>
      </w:r>
      <w:r w:rsidR="00621D94" w:rsidRPr="00621D94">
        <w:rPr>
          <w:rFonts w:ascii="Calibri" w:hAnsi="Calibri" w:cs="Calibri"/>
          <w:bCs/>
          <w:iCs/>
          <w:sz w:val="26"/>
          <w:szCs w:val="26"/>
        </w:rPr>
        <w:t xml:space="preserve"> (19 841 Kč), </w:t>
      </w:r>
      <w:r w:rsidR="00621D94" w:rsidRPr="00621D94">
        <w:rPr>
          <w:rFonts w:ascii="Calibri" w:hAnsi="Calibri" w:cs="Calibri"/>
          <w:b/>
          <w:bCs/>
          <w:iCs/>
          <w:sz w:val="26"/>
          <w:szCs w:val="26"/>
        </w:rPr>
        <w:t>„administrativní a podpůrné činnosti“</w:t>
      </w:r>
      <w:r w:rsidR="00621D94" w:rsidRPr="00621D94">
        <w:rPr>
          <w:rFonts w:ascii="Calibri" w:hAnsi="Calibri" w:cs="Calibri"/>
          <w:bCs/>
          <w:iCs/>
          <w:sz w:val="26"/>
          <w:szCs w:val="26"/>
        </w:rPr>
        <w:t xml:space="preserve"> (24 461 Kč) a </w:t>
      </w:r>
      <w:r w:rsidR="00621D94" w:rsidRPr="00621D94">
        <w:rPr>
          <w:rFonts w:ascii="Calibri" w:hAnsi="Calibri" w:cs="Calibri"/>
          <w:b/>
          <w:bCs/>
          <w:iCs/>
          <w:sz w:val="26"/>
          <w:szCs w:val="26"/>
        </w:rPr>
        <w:t>„ostatní činnosti“</w:t>
      </w:r>
      <w:r w:rsidR="00621D94" w:rsidRPr="00621D94">
        <w:rPr>
          <w:rFonts w:ascii="Calibri" w:hAnsi="Calibri" w:cs="Calibri"/>
          <w:bCs/>
          <w:iCs/>
          <w:sz w:val="26"/>
          <w:szCs w:val="26"/>
        </w:rPr>
        <w:t xml:space="preserve"> – tj. např. činnosti podnikatelských, zaměstnavatelských a profesních organizací a odborových svazů, opravy počítačů a komunikačních zařízení a výrobků pro osobní potřebu, praní a chemické čištění, kadeřnické, kosmetické činnosti, pohřební služby apod. (25 934 Kč).</w:t>
      </w:r>
      <w:r w:rsidR="00621D94" w:rsidRPr="00621D94">
        <w:rPr>
          <w:rFonts w:ascii="Calibri" w:hAnsi="Calibri" w:cs="Calibri"/>
          <w:bCs/>
          <w:sz w:val="26"/>
          <w:szCs w:val="26"/>
        </w:rPr>
        <w:t xml:space="preserve"> </w:t>
      </w:r>
      <w:r w:rsidR="00621D94" w:rsidRPr="00621D94">
        <w:rPr>
          <w:rFonts w:ascii="Calibri" w:hAnsi="Calibri" w:cs="Calibri"/>
          <w:sz w:val="26"/>
          <w:szCs w:val="26"/>
        </w:rPr>
        <w:t>Podrobný přehled o výši průměrných mezd ve všech 19 sekcích</w:t>
      </w:r>
      <w:r w:rsidR="00B57DA5">
        <w:rPr>
          <w:rFonts w:ascii="Calibri" w:hAnsi="Calibri" w:cs="Calibri"/>
          <w:sz w:val="26"/>
          <w:szCs w:val="26"/>
        </w:rPr>
        <w:t xml:space="preserve">      </w:t>
      </w:r>
      <w:r w:rsidR="00621D94" w:rsidRPr="00621D94">
        <w:rPr>
          <w:rFonts w:ascii="Calibri" w:hAnsi="Calibri" w:cs="Calibri"/>
          <w:sz w:val="26"/>
          <w:szCs w:val="26"/>
        </w:rPr>
        <w:t xml:space="preserve"> CZ-NACE je uveden v následujícím grafu a tabulce č. 5 v příloze.</w:t>
      </w:r>
    </w:p>
    <w:p w14:paraId="34BD12C6" w14:textId="77777777" w:rsidR="00621D94" w:rsidRPr="00621D94" w:rsidRDefault="00621D94" w:rsidP="00621D94">
      <w:pPr>
        <w:spacing w:line="360" w:lineRule="auto"/>
        <w:jc w:val="both"/>
        <w:rPr>
          <w:rFonts w:ascii="Calibri" w:hAnsi="Calibri" w:cs="Calibri"/>
          <w:noProof/>
          <w:sz w:val="26"/>
          <w:szCs w:val="26"/>
        </w:rPr>
      </w:pPr>
      <w:r w:rsidRPr="00621D94">
        <w:rPr>
          <w:rFonts w:ascii="Calibri" w:hAnsi="Calibri" w:cs="Calibri"/>
          <w:noProof/>
          <w:sz w:val="26"/>
          <w:szCs w:val="26"/>
        </w:rPr>
        <w:lastRenderedPageBreak/>
        <w:drawing>
          <wp:inline distT="0" distB="0" distL="0" distR="0" wp14:anchorId="5B0F235F" wp14:editId="6ECCCF5F">
            <wp:extent cx="5759450" cy="3924300"/>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924300"/>
                    </a:xfrm>
                    <a:prstGeom prst="rect">
                      <a:avLst/>
                    </a:prstGeom>
                    <a:noFill/>
                  </pic:spPr>
                </pic:pic>
              </a:graphicData>
            </a:graphic>
          </wp:inline>
        </w:drawing>
      </w:r>
    </w:p>
    <w:p w14:paraId="54861157" w14:textId="77777777" w:rsidR="00621D94" w:rsidRPr="00621D94" w:rsidRDefault="00621D94" w:rsidP="00621D94">
      <w:pPr>
        <w:spacing w:after="600" w:line="360" w:lineRule="auto"/>
        <w:jc w:val="both"/>
        <w:rPr>
          <w:rFonts w:ascii="Calibri" w:hAnsi="Calibri" w:cs="Calibri"/>
          <w:bCs/>
          <w:sz w:val="20"/>
        </w:rPr>
      </w:pPr>
      <w:r w:rsidRPr="00621D94">
        <w:rPr>
          <w:rFonts w:ascii="Calibri" w:hAnsi="Calibri" w:cs="Calibri"/>
          <w:bCs/>
          <w:sz w:val="20"/>
        </w:rPr>
        <w:t>Zpracováno z údajů ČSÚ</w:t>
      </w:r>
    </w:p>
    <w:p w14:paraId="36542786" w14:textId="77777777" w:rsidR="00621D94" w:rsidRPr="00621D94" w:rsidRDefault="00621D94" w:rsidP="0004205F">
      <w:pPr>
        <w:spacing w:after="240" w:line="360" w:lineRule="auto"/>
        <w:jc w:val="both"/>
        <w:rPr>
          <w:rFonts w:ascii="Calibri" w:hAnsi="Calibri" w:cs="Calibri"/>
          <w:b/>
          <w:bCs/>
          <w:sz w:val="26"/>
          <w:szCs w:val="26"/>
        </w:rPr>
      </w:pPr>
      <w:r w:rsidRPr="00621D94">
        <w:rPr>
          <w:rFonts w:ascii="Calibri" w:hAnsi="Calibri" w:cs="Calibri"/>
          <w:b/>
          <w:bCs/>
          <w:sz w:val="26"/>
          <w:szCs w:val="26"/>
        </w:rPr>
        <w:tab/>
      </w:r>
      <w:r w:rsidRPr="00621D94">
        <w:rPr>
          <w:rFonts w:ascii="Calibri" w:hAnsi="Calibri" w:cs="Calibri"/>
          <w:bCs/>
          <w:iCs/>
          <w:sz w:val="26"/>
          <w:szCs w:val="26"/>
        </w:rPr>
        <w:t xml:space="preserve">Přestože s výjimkou dvou odvětví všechna ostatní odvětví národního hospodářství zaznamenala zvýšení průměrné nominální mzdy, bylo </w:t>
      </w:r>
      <w:r w:rsidRPr="00621D94">
        <w:rPr>
          <w:rFonts w:ascii="Calibri" w:hAnsi="Calibri" w:cs="Calibri"/>
          <w:b/>
          <w:iCs/>
          <w:sz w:val="26"/>
          <w:szCs w:val="26"/>
        </w:rPr>
        <w:t xml:space="preserve">tempo růstu velmi výrazně diferencované a </w:t>
      </w:r>
      <w:r w:rsidRPr="00621D94">
        <w:rPr>
          <w:rFonts w:ascii="Calibri" w:hAnsi="Calibri" w:cs="Calibri"/>
          <w:bCs/>
          <w:iCs/>
          <w:sz w:val="26"/>
          <w:szCs w:val="26"/>
        </w:rPr>
        <w:t xml:space="preserve">po zohlednění inflace </w:t>
      </w:r>
      <w:r w:rsidRPr="00621D94">
        <w:rPr>
          <w:rFonts w:ascii="Calibri" w:hAnsi="Calibri" w:cs="Calibri"/>
          <w:b/>
          <w:iCs/>
          <w:sz w:val="26"/>
          <w:szCs w:val="26"/>
        </w:rPr>
        <w:t xml:space="preserve">došlo ve většině odvětví k poklesu průměrné reálné mzdy. </w:t>
      </w:r>
      <w:r w:rsidRPr="00621D94">
        <w:rPr>
          <w:rFonts w:ascii="Calibri" w:hAnsi="Calibri" w:cs="Calibri"/>
          <w:b/>
          <w:bCs/>
          <w:iCs/>
          <w:sz w:val="26"/>
          <w:szCs w:val="26"/>
        </w:rPr>
        <w:t xml:space="preserve">Pro vývoj dynamiky průměrných výdělků v jednotlivých odvětvích byl </w:t>
      </w:r>
      <w:r w:rsidRPr="00621D94">
        <w:rPr>
          <w:rFonts w:ascii="Calibri" w:hAnsi="Calibri" w:cs="Calibri"/>
          <w:bCs/>
          <w:iCs/>
          <w:sz w:val="26"/>
          <w:szCs w:val="26"/>
        </w:rPr>
        <w:t>podobně jako v předchozích letech i</w:t>
      </w:r>
      <w:r w:rsidRPr="00621D94">
        <w:rPr>
          <w:rFonts w:ascii="Calibri" w:hAnsi="Calibri" w:cs="Calibri"/>
          <w:b/>
          <w:bCs/>
          <w:iCs/>
          <w:sz w:val="26"/>
          <w:szCs w:val="26"/>
        </w:rPr>
        <w:t xml:space="preserve"> v roce 2020</w:t>
      </w:r>
      <w:r w:rsidRPr="00621D94">
        <w:rPr>
          <w:rFonts w:ascii="Calibri" w:hAnsi="Calibri" w:cs="Calibri"/>
          <w:bCs/>
          <w:iCs/>
          <w:sz w:val="26"/>
          <w:szCs w:val="26"/>
        </w:rPr>
        <w:t xml:space="preserve"> </w:t>
      </w:r>
      <w:r w:rsidRPr="00621D94">
        <w:rPr>
          <w:rFonts w:ascii="Calibri" w:hAnsi="Calibri" w:cs="Calibri"/>
          <w:b/>
          <w:bCs/>
          <w:iCs/>
          <w:sz w:val="26"/>
          <w:szCs w:val="26"/>
        </w:rPr>
        <w:t>typický intenzivnější nadprůměrný nárůst ve vybraných odvětvích tzv. veřejné správy.</w:t>
      </w:r>
      <w:r w:rsidRPr="00621D94">
        <w:rPr>
          <w:rFonts w:ascii="Calibri" w:hAnsi="Calibri" w:cs="Calibri"/>
          <w:bCs/>
          <w:iCs/>
          <w:sz w:val="26"/>
          <w:szCs w:val="26"/>
        </w:rPr>
        <w:t xml:space="preserve"> A to i díky valorizaci platových tarifů prostřednictvím příslušných nařízení vlády pro zaměstnance veřejného sektoru. </w:t>
      </w:r>
      <w:r w:rsidRPr="00621D94">
        <w:rPr>
          <w:rFonts w:ascii="Calibri" w:hAnsi="Calibri" w:cs="Calibri"/>
          <w:b/>
          <w:bCs/>
          <w:iCs/>
          <w:sz w:val="26"/>
          <w:szCs w:val="26"/>
        </w:rPr>
        <w:t>K největšímu nárůstu došlo</w:t>
      </w:r>
      <w:r w:rsidRPr="00621D94">
        <w:rPr>
          <w:rFonts w:ascii="Calibri" w:hAnsi="Calibri" w:cs="Calibri"/>
          <w:bCs/>
          <w:iCs/>
          <w:sz w:val="26"/>
          <w:szCs w:val="26"/>
        </w:rPr>
        <w:t xml:space="preserve"> v odvětvích </w:t>
      </w:r>
      <w:r w:rsidRPr="00621D94">
        <w:rPr>
          <w:rFonts w:ascii="Calibri" w:hAnsi="Calibri" w:cs="Calibri"/>
          <w:b/>
          <w:iCs/>
          <w:sz w:val="26"/>
          <w:szCs w:val="26"/>
        </w:rPr>
        <w:t>„</w:t>
      </w:r>
      <w:r w:rsidRPr="00621D94">
        <w:rPr>
          <w:rFonts w:ascii="Calibri" w:hAnsi="Calibri" w:cs="Calibri"/>
          <w:b/>
          <w:bCs/>
          <w:iCs/>
          <w:sz w:val="26"/>
          <w:szCs w:val="26"/>
        </w:rPr>
        <w:t xml:space="preserve">zdravotní a sociální péče“ </w:t>
      </w:r>
      <w:r w:rsidRPr="00621D94">
        <w:rPr>
          <w:rFonts w:ascii="Calibri" w:hAnsi="Calibri" w:cs="Calibri"/>
          <w:bCs/>
          <w:iCs/>
          <w:sz w:val="26"/>
          <w:szCs w:val="26"/>
        </w:rPr>
        <w:t>(nominálně o 13,8 %, reálně o 10,3 %),</w:t>
      </w:r>
      <w:r w:rsidRPr="00621D94">
        <w:rPr>
          <w:rFonts w:ascii="Calibri" w:hAnsi="Calibri" w:cs="Calibri"/>
          <w:iCs/>
          <w:sz w:val="26"/>
          <w:szCs w:val="26"/>
        </w:rPr>
        <w:t xml:space="preserve"> </w:t>
      </w:r>
      <w:r w:rsidRPr="00621D94">
        <w:rPr>
          <w:rFonts w:ascii="Calibri" w:hAnsi="Calibri" w:cs="Calibri"/>
          <w:b/>
          <w:bCs/>
          <w:iCs/>
          <w:sz w:val="26"/>
          <w:szCs w:val="26"/>
        </w:rPr>
        <w:t>„administrativní a podpůrné činnosti“</w:t>
      </w:r>
      <w:r w:rsidRPr="00621D94">
        <w:rPr>
          <w:rFonts w:ascii="Calibri" w:hAnsi="Calibri" w:cs="Calibri"/>
          <w:bCs/>
          <w:iCs/>
          <w:sz w:val="26"/>
          <w:szCs w:val="26"/>
        </w:rPr>
        <w:t xml:space="preserve"> (nominálně o 9,5 %, reálně o 6,1 %)</w:t>
      </w:r>
      <w:r w:rsidRPr="00621D94">
        <w:rPr>
          <w:rFonts w:ascii="Calibri" w:hAnsi="Calibri" w:cs="Calibri"/>
          <w:iCs/>
          <w:sz w:val="26"/>
          <w:szCs w:val="26"/>
        </w:rPr>
        <w:t xml:space="preserve"> </w:t>
      </w:r>
      <w:r w:rsidRPr="00621D94">
        <w:rPr>
          <w:rFonts w:ascii="Calibri" w:hAnsi="Calibri" w:cs="Calibri"/>
          <w:b/>
          <w:bCs/>
          <w:iCs/>
          <w:sz w:val="26"/>
          <w:szCs w:val="26"/>
        </w:rPr>
        <w:t>„vzdělávání“</w:t>
      </w:r>
      <w:r w:rsidRPr="00621D94">
        <w:rPr>
          <w:rFonts w:ascii="Calibri" w:hAnsi="Calibri" w:cs="Calibri"/>
          <w:bCs/>
          <w:iCs/>
          <w:sz w:val="26"/>
          <w:szCs w:val="26"/>
        </w:rPr>
        <w:t xml:space="preserve"> (nominálně o 7,8 %, reálně o 4,5 %) a</w:t>
      </w:r>
      <w:r w:rsidRPr="00621D94">
        <w:rPr>
          <w:rFonts w:ascii="Calibri" w:hAnsi="Calibri" w:cs="Calibri"/>
          <w:iCs/>
          <w:sz w:val="26"/>
          <w:szCs w:val="26"/>
        </w:rPr>
        <w:t xml:space="preserve"> </w:t>
      </w:r>
      <w:r w:rsidRPr="00621D94">
        <w:rPr>
          <w:rFonts w:ascii="Calibri" w:hAnsi="Calibri" w:cs="Calibri"/>
          <w:bCs/>
          <w:iCs/>
          <w:sz w:val="26"/>
          <w:szCs w:val="26"/>
        </w:rPr>
        <w:t xml:space="preserve">dále ještě v odvětví </w:t>
      </w:r>
      <w:r w:rsidRPr="00621D94">
        <w:rPr>
          <w:rFonts w:ascii="Calibri" w:hAnsi="Calibri" w:cs="Calibri"/>
          <w:b/>
          <w:iCs/>
          <w:sz w:val="26"/>
          <w:szCs w:val="26"/>
        </w:rPr>
        <w:t>„výroba a rozvod elektřiny, plynu, tepla a klimatizovaného vzduchu“</w:t>
      </w:r>
      <w:r w:rsidRPr="00621D94">
        <w:rPr>
          <w:rFonts w:ascii="Calibri" w:hAnsi="Calibri" w:cs="Calibri"/>
          <w:iCs/>
          <w:sz w:val="26"/>
          <w:szCs w:val="26"/>
        </w:rPr>
        <w:t xml:space="preserve"> (nominálně o 6,0 %, reálně o 2,7 %).</w:t>
      </w:r>
      <w:r w:rsidRPr="00621D94">
        <w:rPr>
          <w:rFonts w:ascii="Calibri" w:hAnsi="Calibri" w:cs="Calibri"/>
          <w:bCs/>
          <w:iCs/>
          <w:sz w:val="26"/>
          <w:szCs w:val="26"/>
        </w:rPr>
        <w:t xml:space="preserve"> </w:t>
      </w:r>
      <w:r w:rsidRPr="00621D94">
        <w:rPr>
          <w:rFonts w:ascii="Calibri" w:hAnsi="Calibri" w:cs="Calibri"/>
          <w:b/>
          <w:iCs/>
          <w:sz w:val="26"/>
          <w:szCs w:val="26"/>
        </w:rPr>
        <w:t>Pokles</w:t>
      </w:r>
      <w:r w:rsidRPr="00621D94">
        <w:rPr>
          <w:rFonts w:ascii="Calibri" w:hAnsi="Calibri" w:cs="Calibri"/>
          <w:bCs/>
          <w:iCs/>
          <w:sz w:val="26"/>
          <w:szCs w:val="26"/>
        </w:rPr>
        <w:t xml:space="preserve"> </w:t>
      </w:r>
      <w:r w:rsidRPr="00621D94">
        <w:rPr>
          <w:rFonts w:ascii="Calibri" w:hAnsi="Calibri" w:cs="Calibri"/>
          <w:iCs/>
          <w:sz w:val="26"/>
          <w:szCs w:val="26"/>
        </w:rPr>
        <w:t xml:space="preserve">byl zaznamenán v odvětvích </w:t>
      </w:r>
      <w:r w:rsidRPr="00621D94">
        <w:rPr>
          <w:rFonts w:ascii="Calibri" w:hAnsi="Calibri" w:cs="Calibri"/>
          <w:b/>
          <w:iCs/>
          <w:sz w:val="26"/>
          <w:szCs w:val="26"/>
        </w:rPr>
        <w:t>„činnosti v oblasti nemovitostí“</w:t>
      </w:r>
      <w:r w:rsidRPr="00621D94">
        <w:rPr>
          <w:rFonts w:ascii="Calibri" w:hAnsi="Calibri" w:cs="Calibri"/>
          <w:iCs/>
          <w:sz w:val="26"/>
          <w:szCs w:val="26"/>
        </w:rPr>
        <w:t xml:space="preserve"> (nominálně o 4,8 %, reálně o 7,8 %), </w:t>
      </w:r>
      <w:r w:rsidRPr="00621D94">
        <w:rPr>
          <w:rFonts w:ascii="Calibri" w:hAnsi="Calibri" w:cs="Calibri"/>
          <w:b/>
          <w:iCs/>
          <w:sz w:val="26"/>
          <w:szCs w:val="26"/>
        </w:rPr>
        <w:t>„ubytování, stravování a pohostinství“</w:t>
      </w:r>
      <w:r w:rsidRPr="00621D94">
        <w:rPr>
          <w:rFonts w:ascii="Calibri" w:hAnsi="Calibri" w:cs="Calibri"/>
          <w:iCs/>
          <w:sz w:val="26"/>
          <w:szCs w:val="26"/>
        </w:rPr>
        <w:t xml:space="preserve"> (nominálně o 2,1 %, reálně o 5,1 %) a dále </w:t>
      </w:r>
      <w:r w:rsidRPr="00621D94">
        <w:rPr>
          <w:rFonts w:ascii="Calibri" w:hAnsi="Calibri" w:cs="Calibri"/>
          <w:b/>
          <w:bCs/>
          <w:iCs/>
          <w:sz w:val="26"/>
          <w:szCs w:val="26"/>
        </w:rPr>
        <w:t>n</w:t>
      </w:r>
      <w:r w:rsidRPr="00621D94">
        <w:rPr>
          <w:rFonts w:ascii="Calibri" w:hAnsi="Calibri" w:cs="Calibri"/>
          <w:b/>
          <w:iCs/>
          <w:sz w:val="26"/>
          <w:szCs w:val="26"/>
        </w:rPr>
        <w:t xml:space="preserve">ejnižší nárůst </w:t>
      </w:r>
      <w:r w:rsidRPr="00621D94">
        <w:rPr>
          <w:rFonts w:ascii="Calibri" w:hAnsi="Calibri" w:cs="Calibri"/>
          <w:b/>
          <w:iCs/>
          <w:sz w:val="26"/>
          <w:szCs w:val="26"/>
        </w:rPr>
        <w:lastRenderedPageBreak/>
        <w:t>průměrné mzdy (nominálně pod 1 %) vykázala odvětví</w:t>
      </w:r>
      <w:r w:rsidRPr="00621D94">
        <w:rPr>
          <w:rFonts w:ascii="Calibri" w:hAnsi="Calibri" w:cs="Calibri"/>
          <w:iCs/>
          <w:sz w:val="26"/>
          <w:szCs w:val="26"/>
        </w:rPr>
        <w:t xml:space="preserve"> </w:t>
      </w:r>
      <w:r w:rsidRPr="00621D94">
        <w:rPr>
          <w:rFonts w:ascii="Calibri" w:hAnsi="Calibri" w:cs="Calibri"/>
          <w:b/>
          <w:iCs/>
          <w:sz w:val="26"/>
          <w:szCs w:val="26"/>
        </w:rPr>
        <w:t>„těžba a dobývání“</w:t>
      </w:r>
      <w:r w:rsidRPr="00621D94">
        <w:rPr>
          <w:rFonts w:ascii="Calibri" w:hAnsi="Calibri" w:cs="Calibri"/>
          <w:iCs/>
          <w:sz w:val="26"/>
          <w:szCs w:val="26"/>
        </w:rPr>
        <w:t xml:space="preserve"> (nominálně o 0,4 %, reálně pokles o 2,7 %) a </w:t>
      </w:r>
      <w:r w:rsidRPr="00621D94">
        <w:rPr>
          <w:rFonts w:ascii="Calibri" w:hAnsi="Calibri" w:cs="Calibri"/>
          <w:b/>
          <w:iCs/>
          <w:sz w:val="26"/>
          <w:szCs w:val="26"/>
        </w:rPr>
        <w:t>„peněžnictví a pojišťovnictví“</w:t>
      </w:r>
      <w:r w:rsidRPr="00621D94">
        <w:rPr>
          <w:rFonts w:ascii="Calibri" w:hAnsi="Calibri" w:cs="Calibri"/>
          <w:iCs/>
          <w:sz w:val="26"/>
          <w:szCs w:val="26"/>
        </w:rPr>
        <w:t xml:space="preserve"> (nominálně o 0,6 %, reálně pokles o 2,5 %).</w:t>
      </w:r>
    </w:p>
    <w:p w14:paraId="557D0F41" w14:textId="77777777" w:rsidR="00621D94" w:rsidRPr="00621D94" w:rsidRDefault="00621D94" w:rsidP="0004205F">
      <w:pPr>
        <w:spacing w:after="240" w:line="360" w:lineRule="auto"/>
        <w:jc w:val="both"/>
        <w:rPr>
          <w:rFonts w:ascii="Calibri" w:hAnsi="Calibri" w:cs="Calibri"/>
          <w:bCs/>
          <w:sz w:val="26"/>
          <w:szCs w:val="26"/>
        </w:rPr>
      </w:pPr>
      <w:r w:rsidRPr="00621D94">
        <w:rPr>
          <w:rFonts w:ascii="Calibri" w:hAnsi="Calibri" w:cs="Calibri"/>
          <w:sz w:val="26"/>
          <w:szCs w:val="26"/>
        </w:rPr>
        <w:tab/>
      </w:r>
      <w:r w:rsidRPr="00621D94">
        <w:rPr>
          <w:rFonts w:ascii="Calibri" w:hAnsi="Calibri" w:cs="Calibri"/>
          <w:b/>
          <w:sz w:val="26"/>
          <w:szCs w:val="26"/>
        </w:rPr>
        <w:t xml:space="preserve">Meziodvětvová mzdová diferenciace </w:t>
      </w:r>
      <w:r w:rsidRPr="00621D94">
        <w:rPr>
          <w:rFonts w:ascii="Calibri" w:hAnsi="Calibri" w:cs="Calibri"/>
          <w:bCs/>
          <w:sz w:val="26"/>
          <w:szCs w:val="26"/>
        </w:rPr>
        <w:t xml:space="preserve">v roce 2020 </w:t>
      </w:r>
      <w:r w:rsidRPr="00621D94">
        <w:rPr>
          <w:rFonts w:ascii="Calibri" w:hAnsi="Calibri" w:cs="Calibri"/>
          <w:b/>
          <w:sz w:val="26"/>
          <w:szCs w:val="26"/>
        </w:rPr>
        <w:t>vzrostla;</w:t>
      </w:r>
      <w:r w:rsidRPr="00621D94">
        <w:rPr>
          <w:rFonts w:ascii="Calibri" w:hAnsi="Calibri" w:cs="Calibri"/>
          <w:bCs/>
          <w:sz w:val="26"/>
          <w:szCs w:val="26"/>
        </w:rPr>
        <w:t xml:space="preserve"> variační koeficient průměrných mezd (podle sekcí CZ-NACE) se zvýšil o 0,6 p. b. na 30,1 %.</w:t>
      </w:r>
    </w:p>
    <w:p w14:paraId="39BF06B5" w14:textId="6B4E2A47" w:rsidR="00621D94" w:rsidRPr="00621D94" w:rsidRDefault="00621D94" w:rsidP="0004205F">
      <w:pPr>
        <w:spacing w:after="240" w:line="360" w:lineRule="auto"/>
        <w:jc w:val="both"/>
        <w:rPr>
          <w:rFonts w:ascii="Calibri" w:hAnsi="Calibri" w:cs="Calibri"/>
          <w:bCs/>
          <w:sz w:val="26"/>
          <w:szCs w:val="26"/>
        </w:rPr>
      </w:pPr>
      <w:r w:rsidRPr="00621D94">
        <w:rPr>
          <w:rFonts w:ascii="Calibri" w:hAnsi="Calibri" w:cs="Calibri"/>
          <w:sz w:val="26"/>
          <w:szCs w:val="26"/>
        </w:rPr>
        <w:tab/>
      </w:r>
      <w:r w:rsidRPr="00621D94">
        <w:rPr>
          <w:rFonts w:ascii="Calibri" w:hAnsi="Calibri" w:cs="Calibri"/>
          <w:b/>
          <w:sz w:val="26"/>
          <w:szCs w:val="26"/>
        </w:rPr>
        <w:t>Výše průměrné mzdy se</w:t>
      </w:r>
      <w:r w:rsidRPr="00621D94">
        <w:rPr>
          <w:rFonts w:ascii="Calibri" w:hAnsi="Calibri" w:cs="Calibri"/>
          <w:bCs/>
          <w:sz w:val="26"/>
          <w:szCs w:val="26"/>
        </w:rPr>
        <w:t xml:space="preserve"> výrazně</w:t>
      </w:r>
      <w:r w:rsidRPr="00621D94">
        <w:rPr>
          <w:rFonts w:ascii="Calibri" w:hAnsi="Calibri" w:cs="Calibri"/>
          <w:b/>
          <w:sz w:val="26"/>
          <w:szCs w:val="26"/>
        </w:rPr>
        <w:t xml:space="preserve"> lišila i podle velikosti organizace</w:t>
      </w:r>
      <w:r w:rsidRPr="00621D94">
        <w:rPr>
          <w:rFonts w:ascii="Calibri" w:hAnsi="Calibri" w:cs="Calibri"/>
          <w:bCs/>
          <w:sz w:val="26"/>
          <w:szCs w:val="26"/>
        </w:rPr>
        <w:t xml:space="preserve"> (zpravodajské jednotky); </w:t>
      </w:r>
      <w:r w:rsidRPr="00621D94">
        <w:rPr>
          <w:rFonts w:ascii="Calibri" w:hAnsi="Calibri" w:cs="Calibri"/>
          <w:b/>
          <w:sz w:val="26"/>
          <w:szCs w:val="26"/>
        </w:rPr>
        <w:t>čím více je ve firmě</w:t>
      </w:r>
      <w:r w:rsidRPr="00621D94">
        <w:rPr>
          <w:rFonts w:ascii="Calibri" w:hAnsi="Calibri" w:cs="Calibri"/>
          <w:bCs/>
          <w:sz w:val="26"/>
          <w:szCs w:val="26"/>
        </w:rPr>
        <w:t xml:space="preserve"> nebo podniku </w:t>
      </w:r>
      <w:r w:rsidRPr="00621D94">
        <w:rPr>
          <w:rFonts w:ascii="Calibri" w:hAnsi="Calibri" w:cs="Calibri"/>
          <w:b/>
          <w:sz w:val="26"/>
          <w:szCs w:val="26"/>
        </w:rPr>
        <w:t>zaměstnanců, tím vyšší je průměrná mzda.</w:t>
      </w:r>
      <w:r w:rsidRPr="00621D94">
        <w:rPr>
          <w:rFonts w:ascii="Calibri" w:hAnsi="Calibri" w:cs="Calibri"/>
          <w:b/>
          <w:bCs/>
          <w:sz w:val="26"/>
          <w:szCs w:val="26"/>
        </w:rPr>
        <w:t xml:space="preserve"> V podnicích do 19 zaměstnanců</w:t>
      </w:r>
      <w:r w:rsidRPr="00621D94">
        <w:rPr>
          <w:rFonts w:ascii="Calibri" w:hAnsi="Calibri" w:cs="Calibri"/>
          <w:bCs/>
          <w:sz w:val="26"/>
          <w:szCs w:val="26"/>
        </w:rPr>
        <w:t xml:space="preserve"> (velikostní kategorii s druhým nejvyšším celkovým počtem zaměstnanců) </w:t>
      </w:r>
      <w:r w:rsidRPr="00621D94">
        <w:rPr>
          <w:rFonts w:ascii="Calibri" w:hAnsi="Calibri" w:cs="Calibri"/>
          <w:b/>
          <w:bCs/>
          <w:sz w:val="26"/>
          <w:szCs w:val="26"/>
        </w:rPr>
        <w:t>byla průměrná mzda nejnižší a činila 25 810 Kč</w:t>
      </w:r>
      <w:r w:rsidRPr="00621D94">
        <w:rPr>
          <w:rFonts w:ascii="Calibri" w:hAnsi="Calibri" w:cs="Calibri"/>
          <w:bCs/>
          <w:sz w:val="26"/>
          <w:szCs w:val="26"/>
        </w:rPr>
        <w:t xml:space="preserve"> (cca 72 % průměrné mzdy v celém národním hospodářství). </w:t>
      </w:r>
      <w:r w:rsidRPr="00621D94">
        <w:rPr>
          <w:rFonts w:ascii="Calibri" w:hAnsi="Calibri" w:cs="Calibri"/>
          <w:b/>
          <w:bCs/>
          <w:sz w:val="26"/>
          <w:szCs w:val="26"/>
        </w:rPr>
        <w:t>Naopak nejvyšší průměrná mzda 43 242 Kč</w:t>
      </w:r>
      <w:r w:rsidRPr="00621D94">
        <w:rPr>
          <w:rFonts w:ascii="Calibri" w:hAnsi="Calibri" w:cs="Calibri"/>
          <w:bCs/>
          <w:sz w:val="26"/>
          <w:szCs w:val="26"/>
        </w:rPr>
        <w:t xml:space="preserve"> (více než 121 % průměrné mzdy v celém národním hospodářství) </w:t>
      </w:r>
      <w:r w:rsidRPr="00621D94">
        <w:rPr>
          <w:rFonts w:ascii="Calibri" w:hAnsi="Calibri" w:cs="Calibri"/>
          <w:b/>
          <w:bCs/>
          <w:sz w:val="26"/>
          <w:szCs w:val="26"/>
        </w:rPr>
        <w:t>byla vyplacena</w:t>
      </w:r>
      <w:r w:rsidRPr="00621D94">
        <w:rPr>
          <w:rFonts w:ascii="Calibri" w:hAnsi="Calibri" w:cs="Calibri"/>
          <w:bCs/>
          <w:sz w:val="26"/>
          <w:szCs w:val="26"/>
        </w:rPr>
        <w:t xml:space="preserve"> zaměstnancům </w:t>
      </w:r>
      <w:r w:rsidRPr="00621D94">
        <w:rPr>
          <w:rFonts w:ascii="Calibri" w:hAnsi="Calibri" w:cs="Calibri"/>
          <w:b/>
          <w:bCs/>
          <w:sz w:val="26"/>
          <w:szCs w:val="26"/>
        </w:rPr>
        <w:t>v organizacích s 1 000 a více zaměstnanci.</w:t>
      </w:r>
      <w:r w:rsidRPr="00621D94">
        <w:rPr>
          <w:rFonts w:ascii="Calibri" w:hAnsi="Calibri" w:cs="Calibri"/>
          <w:bCs/>
          <w:sz w:val="26"/>
          <w:szCs w:val="26"/>
        </w:rPr>
        <w:t xml:space="preserve"> V této velikostní kategorii pracuje největší počet zaměstnanců – 1 002,0 tis. (dle údajů z podnikového výkaznictví ČSÚ; přepočteno na plně zaměstnané). K nejvyššímu nárůstu průměrné mzdy (nominálně o 5,1 %) došlo u zaměstnavatelů o velikosti 20 až 49 zaměstnanců, následovaly subjekty největších zaměstnavatelů (nominální nárůst průměrné mzdy o 4,9 %). Nejnižší nárůst průměrné mzdy (nominálně o 2,5 %) vykázaly podniky s 250 až 499 zaměstnanci. Ve všech velikostních kategorií</w:t>
      </w:r>
      <w:r w:rsidR="00724AC1">
        <w:rPr>
          <w:rFonts w:ascii="Calibri" w:hAnsi="Calibri" w:cs="Calibri"/>
          <w:bCs/>
          <w:sz w:val="26"/>
          <w:szCs w:val="26"/>
        </w:rPr>
        <w:t>ch</w:t>
      </w:r>
      <w:r w:rsidRPr="00621D94">
        <w:rPr>
          <w:rFonts w:ascii="Calibri" w:hAnsi="Calibri" w:cs="Calibri"/>
          <w:bCs/>
          <w:sz w:val="26"/>
          <w:szCs w:val="26"/>
        </w:rPr>
        <w:t xml:space="preserve"> zpravodajských jednotek došlo k poklesu počtu zaměstnanců. Nejméně příznivá situace byla podobně jako v předchozím roce u firem s 20 až 49, resp. s 500 až 999 zaměstnanci a dále ještě u subjektů se 100 až 249 zaměstnanci, neboť v těchto velikostních kategoriích došlo ke</w:t>
      </w:r>
      <w:r w:rsidR="00414862">
        <w:rPr>
          <w:rFonts w:ascii="Calibri" w:hAnsi="Calibri" w:cs="Calibri"/>
          <w:bCs/>
          <w:sz w:val="26"/>
          <w:szCs w:val="26"/>
        </w:rPr>
        <w:t> </w:t>
      </w:r>
      <w:r w:rsidRPr="00621D94">
        <w:rPr>
          <w:rFonts w:ascii="Calibri" w:hAnsi="Calibri" w:cs="Calibri"/>
          <w:bCs/>
          <w:sz w:val="26"/>
          <w:szCs w:val="26"/>
        </w:rPr>
        <w:t xml:space="preserve">snížení počtu zaměstnanců o 42,7 tis., resp. o 18,1 tis, resp. o 14,6 tis. </w:t>
      </w:r>
      <w:r w:rsidRPr="00621D94">
        <w:rPr>
          <w:rFonts w:ascii="Calibri" w:hAnsi="Calibri" w:cs="Calibri"/>
          <w:b/>
          <w:bCs/>
          <w:sz w:val="26"/>
          <w:szCs w:val="26"/>
        </w:rPr>
        <w:t>U všech velikostních kategorií</w:t>
      </w:r>
      <w:r w:rsidRPr="00621D94">
        <w:rPr>
          <w:rFonts w:ascii="Calibri" w:hAnsi="Calibri" w:cs="Calibri"/>
          <w:sz w:val="26"/>
          <w:szCs w:val="26"/>
        </w:rPr>
        <w:t xml:space="preserve"> </w:t>
      </w:r>
      <w:r w:rsidRPr="00621D94">
        <w:rPr>
          <w:rFonts w:ascii="Calibri" w:hAnsi="Calibri" w:cs="Calibri"/>
          <w:bCs/>
          <w:sz w:val="26"/>
          <w:szCs w:val="26"/>
        </w:rPr>
        <w:t>ekonomických subjektů, resp. jejich zaměstnanců</w:t>
      </w:r>
      <w:r w:rsidRPr="00621D94">
        <w:rPr>
          <w:rFonts w:ascii="Calibri" w:hAnsi="Calibri" w:cs="Calibri"/>
          <w:sz w:val="26"/>
          <w:szCs w:val="26"/>
        </w:rPr>
        <w:t xml:space="preserve"> </w:t>
      </w:r>
      <w:r w:rsidRPr="00621D94">
        <w:rPr>
          <w:rFonts w:ascii="Calibri" w:hAnsi="Calibri" w:cs="Calibri"/>
          <w:b/>
          <w:bCs/>
          <w:sz w:val="26"/>
          <w:szCs w:val="26"/>
        </w:rPr>
        <w:t>došlo k růstu reálné průměrné mzdy</w:t>
      </w:r>
      <w:r w:rsidR="00414862">
        <w:rPr>
          <w:rFonts w:ascii="Calibri" w:hAnsi="Calibri" w:cs="Calibri"/>
          <w:b/>
          <w:bCs/>
          <w:sz w:val="26"/>
          <w:szCs w:val="26"/>
        </w:rPr>
        <w:t>,</w:t>
      </w:r>
      <w:r w:rsidRPr="00621D94">
        <w:rPr>
          <w:rFonts w:ascii="Calibri" w:hAnsi="Calibri" w:cs="Calibri"/>
          <w:sz w:val="26"/>
          <w:szCs w:val="26"/>
        </w:rPr>
        <w:t xml:space="preserve"> </w:t>
      </w:r>
      <w:r w:rsidR="00414862" w:rsidRPr="00414862">
        <w:rPr>
          <w:rFonts w:ascii="Calibri" w:hAnsi="Calibri" w:cs="Calibri"/>
          <w:b/>
          <w:bCs/>
          <w:sz w:val="26"/>
          <w:szCs w:val="26"/>
        </w:rPr>
        <w:t>s výjimkou kategorie 250 </w:t>
      </w:r>
      <w:r w:rsidR="006534B6">
        <w:rPr>
          <w:rFonts w:ascii="Calibri" w:hAnsi="Calibri" w:cs="Calibri"/>
          <w:b/>
          <w:bCs/>
          <w:sz w:val="26"/>
          <w:szCs w:val="26"/>
        </w:rPr>
        <w:t>až</w:t>
      </w:r>
      <w:r w:rsidR="00414862" w:rsidRPr="00414862">
        <w:rPr>
          <w:rFonts w:ascii="Calibri" w:hAnsi="Calibri" w:cs="Calibri"/>
          <w:b/>
          <w:bCs/>
          <w:sz w:val="26"/>
          <w:szCs w:val="26"/>
        </w:rPr>
        <w:t> 499 zaměstnanců, kde byl zaznamenán pokles reálné mzdy o 0,7 %</w:t>
      </w:r>
      <w:r w:rsidR="00414862">
        <w:rPr>
          <w:rFonts w:ascii="Calibri" w:hAnsi="Calibri" w:cs="Calibri"/>
          <w:sz w:val="26"/>
          <w:szCs w:val="26"/>
        </w:rPr>
        <w:t xml:space="preserve"> </w:t>
      </w:r>
      <w:r w:rsidRPr="00621D94">
        <w:rPr>
          <w:rFonts w:ascii="Calibri" w:hAnsi="Calibri" w:cs="Calibri"/>
          <w:bCs/>
          <w:sz w:val="26"/>
          <w:szCs w:val="26"/>
        </w:rPr>
        <w:t>– podrobněji viz tabulku č. 6 v příloze.</w:t>
      </w:r>
    </w:p>
    <w:p w14:paraId="70711C47" w14:textId="77777777" w:rsidR="00621D94" w:rsidRPr="00621D94" w:rsidRDefault="00621D94" w:rsidP="00D1044C">
      <w:pPr>
        <w:spacing w:after="480" w:line="360" w:lineRule="auto"/>
        <w:jc w:val="both"/>
        <w:rPr>
          <w:rFonts w:ascii="Calibri" w:hAnsi="Calibri" w:cs="Calibri"/>
          <w:bCs/>
          <w:sz w:val="26"/>
          <w:szCs w:val="26"/>
        </w:rPr>
      </w:pPr>
      <w:r w:rsidRPr="00621D94">
        <w:rPr>
          <w:rFonts w:ascii="Calibri" w:hAnsi="Calibri" w:cs="Calibri"/>
          <w:sz w:val="26"/>
          <w:szCs w:val="26"/>
        </w:rPr>
        <w:tab/>
        <w:t xml:space="preserve">Z následující mapy (grafu) na další straně je patrné </w:t>
      </w:r>
      <w:r w:rsidRPr="00621D94">
        <w:rPr>
          <w:rFonts w:ascii="Calibri" w:hAnsi="Calibri" w:cs="Calibri"/>
          <w:b/>
          <w:sz w:val="26"/>
          <w:szCs w:val="26"/>
        </w:rPr>
        <w:t>výdělkové dominantní postavení hl. m. Prahy</w:t>
      </w:r>
      <w:r w:rsidRPr="00621D94">
        <w:rPr>
          <w:rFonts w:ascii="Calibri" w:hAnsi="Calibri" w:cs="Calibri"/>
          <w:sz w:val="26"/>
          <w:szCs w:val="26"/>
        </w:rPr>
        <w:t xml:space="preserve"> (s odstupem následovaným Středočeským krajem). Tradičně je zde dosahováno</w:t>
      </w:r>
      <w:r w:rsidRPr="00621D94">
        <w:rPr>
          <w:rFonts w:ascii="Calibri" w:hAnsi="Calibri" w:cs="Calibri"/>
          <w:bCs/>
          <w:sz w:val="26"/>
          <w:szCs w:val="26"/>
        </w:rPr>
        <w:t xml:space="preserve"> </w:t>
      </w:r>
      <w:r w:rsidRPr="00621D94">
        <w:rPr>
          <w:rFonts w:ascii="Calibri" w:hAnsi="Calibri" w:cs="Calibri"/>
          <w:b/>
          <w:sz w:val="26"/>
          <w:szCs w:val="26"/>
        </w:rPr>
        <w:t>nejvyšší průměrné mzdy.</w:t>
      </w:r>
      <w:r w:rsidRPr="00621D94">
        <w:rPr>
          <w:rFonts w:ascii="Calibri" w:hAnsi="Calibri" w:cs="Calibri"/>
          <w:sz w:val="26"/>
          <w:szCs w:val="26"/>
        </w:rPr>
        <w:t xml:space="preserve"> I přes její opětovný nízký nárůst dosáhla její </w:t>
      </w:r>
      <w:r w:rsidRPr="00621D94">
        <w:rPr>
          <w:rFonts w:ascii="Calibri" w:hAnsi="Calibri" w:cs="Calibri"/>
          <w:b/>
          <w:sz w:val="26"/>
          <w:szCs w:val="26"/>
        </w:rPr>
        <w:lastRenderedPageBreak/>
        <w:t>výše 43 675 Kč.</w:t>
      </w:r>
      <w:r w:rsidRPr="00621D94">
        <w:rPr>
          <w:rFonts w:ascii="Calibri" w:hAnsi="Calibri" w:cs="Calibri"/>
          <w:sz w:val="26"/>
          <w:szCs w:val="26"/>
        </w:rPr>
        <w:t xml:space="preserve"> Hl. m. Praha </w:t>
      </w:r>
      <w:r w:rsidRPr="00621D94">
        <w:rPr>
          <w:rFonts w:ascii="Calibri" w:hAnsi="Calibri" w:cs="Calibri"/>
          <w:bCs/>
          <w:sz w:val="26"/>
          <w:szCs w:val="26"/>
        </w:rPr>
        <w:t xml:space="preserve">je regionem, který úrovní průměrné mzdy převyšuje celorepublikový průměr, a to o cca 23 % (o 8 064 Kč). </w:t>
      </w:r>
      <w:r w:rsidRPr="00621D94">
        <w:rPr>
          <w:rFonts w:ascii="Calibri" w:hAnsi="Calibri" w:cs="Calibri"/>
          <w:b/>
          <w:bCs/>
          <w:sz w:val="26"/>
          <w:szCs w:val="26"/>
        </w:rPr>
        <w:t>Ve všech krajích</w:t>
      </w:r>
      <w:r w:rsidRPr="00621D94">
        <w:rPr>
          <w:rFonts w:ascii="Calibri" w:hAnsi="Calibri" w:cs="Calibri"/>
          <w:sz w:val="26"/>
          <w:szCs w:val="26"/>
        </w:rPr>
        <w:t xml:space="preserve"> </w:t>
      </w:r>
      <w:r w:rsidRPr="00621D94">
        <w:rPr>
          <w:rFonts w:ascii="Calibri" w:hAnsi="Calibri" w:cs="Calibri"/>
          <w:bCs/>
          <w:sz w:val="26"/>
          <w:szCs w:val="26"/>
        </w:rPr>
        <w:t xml:space="preserve">(členění podle klasifikace územních statistických jednotek CZ-NUTS) </w:t>
      </w:r>
      <w:r w:rsidRPr="00621D94">
        <w:rPr>
          <w:rFonts w:ascii="Calibri" w:hAnsi="Calibri" w:cs="Calibri"/>
          <w:b/>
          <w:bCs/>
          <w:sz w:val="26"/>
          <w:szCs w:val="26"/>
        </w:rPr>
        <w:t>došlo ke zvýšení průměrné nominální mzdy,</w:t>
      </w:r>
      <w:r w:rsidRPr="00621D94">
        <w:rPr>
          <w:rFonts w:ascii="Calibri" w:hAnsi="Calibri" w:cs="Calibri"/>
          <w:bCs/>
          <w:sz w:val="26"/>
          <w:szCs w:val="26"/>
        </w:rPr>
        <w:t xml:space="preserve"> a to v intervalu od 3,1 % do 6,1 %. Hranici 35 101 Kč překročil kraj Středočeský, mzdu převyšující 33 901 Kč zaznamenal dále Plzeňský a Jihomoravský kraj. Průměrný výdělek v intervalu 32 701 </w:t>
      </w:r>
      <w:r w:rsidRPr="00621D94">
        <w:rPr>
          <w:rFonts w:ascii="Calibri" w:hAnsi="Calibri" w:cs="Calibri"/>
          <w:bCs/>
          <w:sz w:val="26"/>
          <w:szCs w:val="26"/>
        </w:rPr>
        <w:noBreakHyphen/>
        <w:t xml:space="preserve"> 33 900 Kč měli zaměstnanci pracující v Ústeckém, Libereckém, Královéhradeckém kraji a na Vysočině. </w:t>
      </w:r>
      <w:r w:rsidRPr="00621D94">
        <w:rPr>
          <w:rFonts w:ascii="Calibri" w:hAnsi="Calibri" w:cs="Calibri"/>
          <w:b/>
          <w:bCs/>
          <w:sz w:val="26"/>
          <w:szCs w:val="26"/>
        </w:rPr>
        <w:t>Nejčetnější zastoupení měl interval 31 501 </w:t>
      </w:r>
      <w:r w:rsidRPr="00621D94">
        <w:rPr>
          <w:rFonts w:ascii="Calibri" w:hAnsi="Calibri" w:cs="Calibri"/>
          <w:b/>
          <w:bCs/>
          <w:sz w:val="26"/>
          <w:szCs w:val="26"/>
        </w:rPr>
        <w:noBreakHyphen/>
        <w:t> 32 700 Kč</w:t>
      </w:r>
      <w:r w:rsidRPr="00621D94">
        <w:rPr>
          <w:rFonts w:ascii="Calibri" w:hAnsi="Calibri" w:cs="Calibri"/>
          <w:bCs/>
          <w:sz w:val="26"/>
          <w:szCs w:val="26"/>
        </w:rPr>
        <w:t xml:space="preserve"> (5 krajů) – Jihočeský, Pardubický, Olomoucký, Moravskoslezský a Zlínský kraj. </w:t>
      </w:r>
      <w:r w:rsidRPr="00621D94">
        <w:rPr>
          <w:rFonts w:ascii="Calibri" w:hAnsi="Calibri" w:cs="Calibri"/>
          <w:b/>
          <w:bCs/>
          <w:sz w:val="26"/>
          <w:szCs w:val="26"/>
        </w:rPr>
        <w:t xml:space="preserve">Nejnižší </w:t>
      </w:r>
      <w:r w:rsidRPr="00621D94">
        <w:rPr>
          <w:rFonts w:ascii="Calibri" w:hAnsi="Calibri" w:cs="Calibri"/>
          <w:b/>
          <w:sz w:val="26"/>
          <w:szCs w:val="26"/>
        </w:rPr>
        <w:t xml:space="preserve">průměrná mzda, tj. 31 180 Kč, byla zaznamenána v Karlovarském kraji </w:t>
      </w:r>
      <w:r w:rsidRPr="00621D94">
        <w:rPr>
          <w:rFonts w:ascii="Calibri" w:hAnsi="Calibri" w:cs="Calibri"/>
          <w:sz w:val="26"/>
          <w:szCs w:val="26"/>
        </w:rPr>
        <w:t>(cca 88 % celorepublikového průměru)</w:t>
      </w:r>
      <w:r w:rsidRPr="00621D94">
        <w:rPr>
          <w:rFonts w:ascii="Calibri" w:hAnsi="Calibri" w:cs="Calibri"/>
          <w:bCs/>
          <w:sz w:val="26"/>
          <w:szCs w:val="26"/>
        </w:rPr>
        <w:t>.</w:t>
      </w:r>
    </w:p>
    <w:p w14:paraId="3E56B76B" w14:textId="77777777" w:rsidR="00621D94" w:rsidRPr="00621D94" w:rsidRDefault="00621D94" w:rsidP="00621D94">
      <w:pPr>
        <w:spacing w:line="360" w:lineRule="auto"/>
        <w:jc w:val="both"/>
        <w:rPr>
          <w:rFonts w:ascii="Calibri" w:hAnsi="Calibri" w:cs="Calibri"/>
          <w:bCs/>
          <w:sz w:val="26"/>
          <w:szCs w:val="26"/>
        </w:rPr>
      </w:pPr>
      <w:r w:rsidRPr="00621D94">
        <w:rPr>
          <w:rFonts w:ascii="Calibri" w:hAnsi="Calibri" w:cs="Calibri"/>
          <w:bCs/>
          <w:noProof/>
          <w:sz w:val="26"/>
          <w:szCs w:val="26"/>
        </w:rPr>
        <w:drawing>
          <wp:inline distT="0" distB="0" distL="0" distR="0" wp14:anchorId="423C63E0" wp14:editId="21D065AA">
            <wp:extent cx="5760720" cy="3893820"/>
            <wp:effectExtent l="0" t="0" r="0" b="0"/>
            <wp:docPr id="23" name="Obrázek 23" descr="Obsah obrázku map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3" descr="Obsah obrázku mapa&#10;&#10;Popis byl vytvořen automaticky"/>
                    <pic:cNvPicPr/>
                  </pic:nvPicPr>
                  <pic:blipFill>
                    <a:blip r:embed="rId18">
                      <a:extLst>
                        <a:ext uri="{28A0092B-C50C-407E-A947-70E740481C1C}">
                          <a14:useLocalDpi xmlns:a14="http://schemas.microsoft.com/office/drawing/2010/main" val="0"/>
                        </a:ext>
                      </a:extLst>
                    </a:blip>
                    <a:stretch>
                      <a:fillRect/>
                    </a:stretch>
                  </pic:blipFill>
                  <pic:spPr>
                    <a:xfrm>
                      <a:off x="0" y="0"/>
                      <a:ext cx="5760720" cy="3893820"/>
                    </a:xfrm>
                    <a:prstGeom prst="rect">
                      <a:avLst/>
                    </a:prstGeom>
                  </pic:spPr>
                </pic:pic>
              </a:graphicData>
            </a:graphic>
          </wp:inline>
        </w:drawing>
      </w:r>
    </w:p>
    <w:p w14:paraId="1FC765CE" w14:textId="77777777" w:rsidR="00621D94" w:rsidRPr="00621D94" w:rsidRDefault="00621D94" w:rsidP="00621D94">
      <w:pPr>
        <w:spacing w:after="600" w:line="360" w:lineRule="auto"/>
        <w:jc w:val="both"/>
        <w:rPr>
          <w:rFonts w:ascii="Calibri" w:hAnsi="Calibri" w:cs="Calibri"/>
          <w:bCs/>
          <w:sz w:val="20"/>
        </w:rPr>
      </w:pPr>
      <w:r w:rsidRPr="00621D94">
        <w:rPr>
          <w:rFonts w:ascii="Calibri" w:hAnsi="Calibri" w:cs="Calibri"/>
          <w:bCs/>
          <w:sz w:val="20"/>
        </w:rPr>
        <w:t>Zpracováno z údajů ČSÚ</w:t>
      </w:r>
    </w:p>
    <w:p w14:paraId="3F9952D2" w14:textId="77777777" w:rsidR="00621D94" w:rsidRPr="00621D94" w:rsidRDefault="00621D94" w:rsidP="00621D94">
      <w:pPr>
        <w:spacing w:after="360" w:line="360" w:lineRule="auto"/>
        <w:jc w:val="both"/>
        <w:rPr>
          <w:rFonts w:ascii="Calibri" w:hAnsi="Calibri" w:cs="Calibri"/>
          <w:bCs/>
          <w:sz w:val="26"/>
          <w:szCs w:val="26"/>
        </w:rPr>
      </w:pPr>
      <w:r w:rsidRPr="00621D94">
        <w:rPr>
          <w:rFonts w:ascii="Calibri" w:hAnsi="Calibri" w:cs="Calibri"/>
          <w:sz w:val="26"/>
          <w:szCs w:val="26"/>
        </w:rPr>
        <w:tab/>
      </w:r>
      <w:r w:rsidRPr="00621D94">
        <w:rPr>
          <w:rFonts w:ascii="Calibri" w:hAnsi="Calibri" w:cs="Calibri"/>
          <w:b/>
          <w:bCs/>
          <w:sz w:val="26"/>
          <w:szCs w:val="26"/>
        </w:rPr>
        <w:t>D</w:t>
      </w:r>
      <w:r w:rsidRPr="00621D94">
        <w:rPr>
          <w:rFonts w:ascii="Calibri" w:hAnsi="Calibri" w:cs="Calibri"/>
          <w:b/>
          <w:sz w:val="26"/>
          <w:szCs w:val="26"/>
        </w:rPr>
        <w:t>iferenciace</w:t>
      </w:r>
      <w:r w:rsidRPr="00621D94">
        <w:rPr>
          <w:rFonts w:ascii="Calibri" w:hAnsi="Calibri" w:cs="Calibri"/>
          <w:bCs/>
          <w:sz w:val="26"/>
          <w:szCs w:val="26"/>
        </w:rPr>
        <w:t xml:space="preserve"> extrémních mzdových hladin </w:t>
      </w:r>
      <w:r w:rsidRPr="00621D94">
        <w:rPr>
          <w:rFonts w:ascii="Calibri" w:hAnsi="Calibri" w:cs="Calibri"/>
          <w:b/>
          <w:sz w:val="26"/>
          <w:szCs w:val="26"/>
        </w:rPr>
        <w:t>na úrovni krajů</w:t>
      </w:r>
      <w:r w:rsidRPr="00621D94">
        <w:rPr>
          <w:rFonts w:ascii="Calibri" w:hAnsi="Calibri" w:cs="Calibri"/>
          <w:b/>
          <w:bCs/>
          <w:sz w:val="26"/>
          <w:szCs w:val="26"/>
        </w:rPr>
        <w:t xml:space="preserve"> se snížila</w:t>
      </w:r>
      <w:r w:rsidRPr="00621D94">
        <w:rPr>
          <w:rFonts w:ascii="Calibri" w:hAnsi="Calibri" w:cs="Calibri"/>
          <w:bCs/>
          <w:sz w:val="26"/>
          <w:szCs w:val="26"/>
        </w:rPr>
        <w:t xml:space="preserve"> o 24 Kč </w:t>
      </w:r>
      <w:r w:rsidRPr="00621D94">
        <w:rPr>
          <w:rFonts w:ascii="Calibri" w:hAnsi="Calibri" w:cs="Calibri"/>
          <w:b/>
          <w:sz w:val="26"/>
          <w:szCs w:val="26"/>
        </w:rPr>
        <w:t xml:space="preserve">na 12 495 Kč </w:t>
      </w:r>
      <w:r w:rsidRPr="00621D94">
        <w:rPr>
          <w:rFonts w:ascii="Calibri" w:hAnsi="Calibri" w:cs="Calibri"/>
          <w:bCs/>
          <w:sz w:val="26"/>
          <w:szCs w:val="26"/>
        </w:rPr>
        <w:t xml:space="preserve">(hl. m. Praha x Karlovarský kraj). Hodnota variačního koeficientu v tomto členění klesla z 9,4 % (v roce 2019) na 8,9 % v roce 2020. </w:t>
      </w:r>
      <w:r w:rsidRPr="00621D94">
        <w:rPr>
          <w:rFonts w:ascii="Calibri" w:hAnsi="Calibri" w:cs="Calibri"/>
          <w:b/>
          <w:sz w:val="26"/>
          <w:szCs w:val="26"/>
        </w:rPr>
        <w:t>N</w:t>
      </w:r>
      <w:r w:rsidRPr="00621D94">
        <w:rPr>
          <w:rFonts w:ascii="Calibri" w:hAnsi="Calibri" w:cs="Calibri"/>
          <w:b/>
          <w:bCs/>
          <w:sz w:val="26"/>
          <w:szCs w:val="26"/>
        </w:rPr>
        <w:t>ejvýznamnější</w:t>
      </w:r>
      <w:r w:rsidRPr="00621D94">
        <w:rPr>
          <w:rFonts w:ascii="Calibri" w:hAnsi="Calibri" w:cs="Calibri"/>
          <w:sz w:val="26"/>
          <w:szCs w:val="26"/>
        </w:rPr>
        <w:t xml:space="preserve"> relativní </w:t>
      </w:r>
      <w:r w:rsidRPr="00621D94">
        <w:rPr>
          <w:rFonts w:ascii="Calibri" w:hAnsi="Calibri" w:cs="Calibri"/>
          <w:b/>
          <w:bCs/>
          <w:sz w:val="26"/>
          <w:szCs w:val="26"/>
        </w:rPr>
        <w:lastRenderedPageBreak/>
        <w:t>vzestup</w:t>
      </w:r>
      <w:r w:rsidRPr="00621D94">
        <w:rPr>
          <w:rFonts w:ascii="Calibri" w:hAnsi="Calibri" w:cs="Calibri"/>
          <w:sz w:val="26"/>
          <w:szCs w:val="26"/>
        </w:rPr>
        <w:t xml:space="preserve"> </w:t>
      </w:r>
      <w:r w:rsidRPr="00621D94">
        <w:rPr>
          <w:rFonts w:ascii="Calibri" w:hAnsi="Calibri" w:cs="Calibri"/>
          <w:bCs/>
          <w:sz w:val="26"/>
          <w:szCs w:val="26"/>
        </w:rPr>
        <w:t xml:space="preserve">průměrné nominální mzdy vykázaly </w:t>
      </w:r>
      <w:r w:rsidRPr="00621D94">
        <w:rPr>
          <w:rFonts w:ascii="Calibri" w:hAnsi="Calibri" w:cs="Calibri"/>
          <w:b/>
          <w:bCs/>
          <w:iCs/>
          <w:sz w:val="26"/>
          <w:szCs w:val="26"/>
        </w:rPr>
        <w:t>Ústecký</w:t>
      </w:r>
      <w:r w:rsidRPr="00621D94">
        <w:rPr>
          <w:rFonts w:ascii="Calibri" w:hAnsi="Calibri" w:cs="Calibri"/>
          <w:iCs/>
          <w:sz w:val="26"/>
          <w:szCs w:val="26"/>
        </w:rPr>
        <w:t xml:space="preserve"> </w:t>
      </w:r>
      <w:r w:rsidRPr="00621D94">
        <w:rPr>
          <w:rFonts w:ascii="Calibri" w:hAnsi="Calibri" w:cs="Calibri"/>
          <w:bCs/>
          <w:iCs/>
          <w:sz w:val="26"/>
          <w:szCs w:val="26"/>
        </w:rPr>
        <w:t xml:space="preserve">(o 6,1 %), </w:t>
      </w:r>
      <w:r w:rsidRPr="00621D94">
        <w:rPr>
          <w:rFonts w:ascii="Calibri" w:hAnsi="Calibri" w:cs="Calibri"/>
          <w:b/>
          <w:bCs/>
          <w:iCs/>
          <w:sz w:val="26"/>
          <w:szCs w:val="26"/>
        </w:rPr>
        <w:t>Jihočeský</w:t>
      </w:r>
      <w:r w:rsidRPr="00621D94">
        <w:rPr>
          <w:rFonts w:ascii="Calibri" w:hAnsi="Calibri" w:cs="Calibri"/>
          <w:iCs/>
          <w:sz w:val="26"/>
          <w:szCs w:val="26"/>
        </w:rPr>
        <w:t xml:space="preserve"> </w:t>
      </w:r>
      <w:r w:rsidRPr="00621D94">
        <w:rPr>
          <w:rFonts w:ascii="Calibri" w:hAnsi="Calibri" w:cs="Calibri"/>
          <w:bCs/>
          <w:iCs/>
          <w:sz w:val="26"/>
          <w:szCs w:val="26"/>
        </w:rPr>
        <w:t xml:space="preserve">(5,6 %), </w:t>
      </w:r>
      <w:r w:rsidRPr="00621D94">
        <w:rPr>
          <w:rFonts w:ascii="Calibri" w:hAnsi="Calibri" w:cs="Calibri"/>
          <w:b/>
          <w:bCs/>
          <w:iCs/>
          <w:sz w:val="26"/>
          <w:szCs w:val="26"/>
        </w:rPr>
        <w:t>Jihomoravský</w:t>
      </w:r>
      <w:r w:rsidRPr="00621D94">
        <w:rPr>
          <w:rFonts w:ascii="Calibri" w:hAnsi="Calibri" w:cs="Calibri"/>
          <w:iCs/>
          <w:sz w:val="26"/>
          <w:szCs w:val="26"/>
        </w:rPr>
        <w:t xml:space="preserve"> </w:t>
      </w:r>
      <w:r w:rsidRPr="00621D94">
        <w:rPr>
          <w:rFonts w:ascii="Calibri" w:hAnsi="Calibri" w:cs="Calibri"/>
          <w:bCs/>
          <w:iCs/>
          <w:sz w:val="26"/>
          <w:szCs w:val="26"/>
        </w:rPr>
        <w:t xml:space="preserve">(5,4 %) a </w:t>
      </w:r>
      <w:r w:rsidRPr="00621D94">
        <w:rPr>
          <w:rFonts w:ascii="Calibri" w:hAnsi="Calibri" w:cs="Calibri"/>
          <w:b/>
          <w:bCs/>
          <w:iCs/>
          <w:sz w:val="26"/>
          <w:szCs w:val="26"/>
        </w:rPr>
        <w:t>Olomoucký</w:t>
      </w:r>
      <w:r w:rsidRPr="00621D94">
        <w:rPr>
          <w:rFonts w:ascii="Calibri" w:hAnsi="Calibri" w:cs="Calibri"/>
          <w:b/>
          <w:iCs/>
          <w:sz w:val="26"/>
          <w:szCs w:val="26"/>
        </w:rPr>
        <w:t xml:space="preserve"> </w:t>
      </w:r>
      <w:r w:rsidRPr="00621D94">
        <w:rPr>
          <w:rFonts w:ascii="Calibri" w:hAnsi="Calibri" w:cs="Calibri"/>
          <w:b/>
          <w:bCs/>
          <w:iCs/>
          <w:sz w:val="26"/>
          <w:szCs w:val="26"/>
        </w:rPr>
        <w:t>kraj</w:t>
      </w:r>
      <w:r w:rsidRPr="00621D94">
        <w:rPr>
          <w:rFonts w:ascii="Calibri" w:hAnsi="Calibri" w:cs="Calibri"/>
          <w:iCs/>
          <w:sz w:val="26"/>
          <w:szCs w:val="26"/>
        </w:rPr>
        <w:t xml:space="preserve"> </w:t>
      </w:r>
      <w:r w:rsidRPr="00621D94">
        <w:rPr>
          <w:rFonts w:ascii="Calibri" w:hAnsi="Calibri" w:cs="Calibri"/>
          <w:bCs/>
          <w:iCs/>
          <w:sz w:val="26"/>
          <w:szCs w:val="26"/>
        </w:rPr>
        <w:t>(o 5,3 %)</w:t>
      </w:r>
      <w:r w:rsidRPr="00621D94">
        <w:rPr>
          <w:rFonts w:ascii="Calibri" w:hAnsi="Calibri" w:cs="Calibri"/>
          <w:bCs/>
          <w:sz w:val="26"/>
          <w:szCs w:val="26"/>
        </w:rPr>
        <w:t>, naopak nejnižší nárůst byl v </w:t>
      </w:r>
      <w:r w:rsidRPr="00621D94">
        <w:rPr>
          <w:rFonts w:ascii="Calibri" w:hAnsi="Calibri" w:cs="Calibri"/>
          <w:b/>
          <w:bCs/>
          <w:sz w:val="26"/>
          <w:szCs w:val="26"/>
        </w:rPr>
        <w:t>hl. m. Praze</w:t>
      </w:r>
      <w:r w:rsidRPr="00621D94">
        <w:rPr>
          <w:rFonts w:ascii="Calibri" w:hAnsi="Calibri" w:cs="Calibri"/>
          <w:bCs/>
          <w:sz w:val="26"/>
          <w:szCs w:val="26"/>
        </w:rPr>
        <w:t xml:space="preserve"> </w:t>
      </w:r>
      <w:r w:rsidRPr="00621D94">
        <w:rPr>
          <w:rFonts w:ascii="Calibri" w:hAnsi="Calibri" w:cs="Calibri"/>
          <w:bCs/>
          <w:iCs/>
          <w:sz w:val="26"/>
          <w:szCs w:val="26"/>
        </w:rPr>
        <w:t>(o 3,1 %), v </w:t>
      </w:r>
      <w:r w:rsidRPr="00621D94">
        <w:rPr>
          <w:rFonts w:ascii="Calibri" w:hAnsi="Calibri" w:cs="Calibri"/>
          <w:b/>
          <w:bCs/>
          <w:iCs/>
          <w:sz w:val="26"/>
          <w:szCs w:val="26"/>
        </w:rPr>
        <w:t>Libereckém</w:t>
      </w:r>
      <w:r w:rsidRPr="00621D94">
        <w:rPr>
          <w:rFonts w:ascii="Calibri" w:hAnsi="Calibri" w:cs="Calibri"/>
          <w:iCs/>
          <w:sz w:val="26"/>
          <w:szCs w:val="26"/>
        </w:rPr>
        <w:t xml:space="preserve"> </w:t>
      </w:r>
      <w:r w:rsidRPr="00621D94">
        <w:rPr>
          <w:rFonts w:ascii="Calibri" w:hAnsi="Calibri" w:cs="Calibri"/>
          <w:bCs/>
          <w:iCs/>
          <w:sz w:val="26"/>
          <w:szCs w:val="26"/>
        </w:rPr>
        <w:t>(o 3,5 %) a</w:t>
      </w:r>
      <w:r w:rsidRPr="00621D94">
        <w:rPr>
          <w:rFonts w:ascii="Calibri" w:hAnsi="Calibri" w:cs="Calibri"/>
          <w:iCs/>
          <w:sz w:val="26"/>
          <w:szCs w:val="26"/>
        </w:rPr>
        <w:t xml:space="preserve"> </w:t>
      </w:r>
      <w:r w:rsidRPr="00621D94">
        <w:rPr>
          <w:rFonts w:ascii="Calibri" w:hAnsi="Calibri" w:cs="Calibri"/>
          <w:b/>
          <w:bCs/>
          <w:iCs/>
          <w:sz w:val="26"/>
          <w:szCs w:val="26"/>
        </w:rPr>
        <w:t>Středočeském kraji</w:t>
      </w:r>
      <w:r w:rsidRPr="00621D94">
        <w:rPr>
          <w:rFonts w:ascii="Calibri" w:hAnsi="Calibri" w:cs="Calibri"/>
          <w:bCs/>
          <w:iCs/>
          <w:sz w:val="26"/>
          <w:szCs w:val="26"/>
        </w:rPr>
        <w:t xml:space="preserve"> (o 3,6 %).</w:t>
      </w:r>
      <w:r w:rsidRPr="00621D94">
        <w:rPr>
          <w:rFonts w:ascii="Calibri" w:hAnsi="Calibri" w:cs="Calibri"/>
          <w:bCs/>
          <w:sz w:val="26"/>
          <w:szCs w:val="26"/>
        </w:rPr>
        <w:t xml:space="preserve"> </w:t>
      </w:r>
      <w:r w:rsidRPr="00621D94">
        <w:rPr>
          <w:rFonts w:ascii="Calibri" w:hAnsi="Calibri" w:cs="Calibri"/>
          <w:b/>
          <w:bCs/>
          <w:sz w:val="26"/>
          <w:szCs w:val="26"/>
        </w:rPr>
        <w:t>Ve všech regionech, s výjimkou hl. m. Prahy, kde došlo k jejímu poklesu</w:t>
      </w:r>
      <w:r w:rsidRPr="00621D94">
        <w:rPr>
          <w:rFonts w:ascii="Calibri" w:hAnsi="Calibri" w:cs="Calibri"/>
          <w:sz w:val="26"/>
          <w:szCs w:val="26"/>
        </w:rPr>
        <w:t xml:space="preserve"> (o 0,1 %), </w:t>
      </w:r>
      <w:r w:rsidRPr="00621D94">
        <w:rPr>
          <w:rFonts w:ascii="Calibri" w:hAnsi="Calibri" w:cs="Calibri"/>
          <w:b/>
          <w:bCs/>
          <w:sz w:val="26"/>
          <w:szCs w:val="26"/>
        </w:rPr>
        <w:t>vzrostla průměrná reálná mzda</w:t>
      </w:r>
      <w:r w:rsidRPr="00621D94">
        <w:rPr>
          <w:rFonts w:ascii="Calibri" w:hAnsi="Calibri" w:cs="Calibri"/>
          <w:sz w:val="26"/>
          <w:szCs w:val="26"/>
        </w:rPr>
        <w:t xml:space="preserve"> </w:t>
      </w:r>
      <w:r w:rsidRPr="00621D94">
        <w:rPr>
          <w:rFonts w:ascii="Calibri" w:hAnsi="Calibri" w:cs="Calibri"/>
          <w:bCs/>
          <w:sz w:val="26"/>
          <w:szCs w:val="26"/>
        </w:rPr>
        <w:t>(v rozsahu 0,3 % až 2,8 %)</w:t>
      </w:r>
      <w:r w:rsidRPr="00621D94">
        <w:rPr>
          <w:rFonts w:ascii="Calibri" w:hAnsi="Calibri" w:cs="Calibri"/>
          <w:sz w:val="26"/>
          <w:szCs w:val="26"/>
        </w:rPr>
        <w:t xml:space="preserve"> – </w:t>
      </w:r>
      <w:r w:rsidRPr="00621D94">
        <w:rPr>
          <w:rFonts w:ascii="Calibri" w:hAnsi="Calibri" w:cs="Calibri"/>
          <w:bCs/>
          <w:sz w:val="26"/>
          <w:szCs w:val="26"/>
        </w:rPr>
        <w:t>viz tabulku č. 7 v příloze.</w:t>
      </w:r>
    </w:p>
    <w:p w14:paraId="780B2AF6" w14:textId="77777777" w:rsidR="00621D94" w:rsidRPr="00621D94" w:rsidRDefault="00621D94" w:rsidP="00621D94"/>
    <w:p w14:paraId="3BB4DA69" w14:textId="77777777" w:rsidR="00D1044C" w:rsidRPr="00710980" w:rsidRDefault="00D1044C" w:rsidP="00D1044C">
      <w:pPr>
        <w:spacing w:after="360" w:line="360" w:lineRule="auto"/>
        <w:jc w:val="both"/>
        <w:rPr>
          <w:rFonts w:asciiTheme="minorHAnsi" w:hAnsiTheme="minorHAnsi"/>
          <w:b/>
          <w:bCs/>
          <w:i/>
          <w:smallCaps/>
          <w:color w:val="1F497D"/>
          <w:sz w:val="28"/>
          <w:szCs w:val="24"/>
        </w:rPr>
      </w:pPr>
      <w:r w:rsidRPr="00710980">
        <w:rPr>
          <w:rFonts w:asciiTheme="minorHAnsi" w:hAnsiTheme="minorHAnsi"/>
          <w:b/>
          <w:bCs/>
          <w:i/>
          <w:smallCaps/>
          <w:color w:val="1F497D"/>
          <w:sz w:val="28"/>
          <w:szCs w:val="24"/>
        </w:rPr>
        <w:t>1. 2. 1 Poznatky ze šetření Informačního systému o průměrném výdělku</w:t>
      </w:r>
    </w:p>
    <w:p w14:paraId="66BE1FB3" w14:textId="77777777" w:rsidR="00621D94" w:rsidRPr="00621D94" w:rsidRDefault="00621D94" w:rsidP="0004205F">
      <w:pPr>
        <w:spacing w:after="240" w:line="360" w:lineRule="auto"/>
        <w:jc w:val="both"/>
        <w:rPr>
          <w:rFonts w:ascii="Calibri" w:hAnsi="Calibri" w:cs="Calibri"/>
          <w:bCs/>
          <w:sz w:val="26"/>
          <w:szCs w:val="26"/>
        </w:rPr>
      </w:pPr>
      <w:r w:rsidRPr="00621D94">
        <w:rPr>
          <w:rFonts w:ascii="Calibri" w:hAnsi="Calibri" w:cs="Calibri"/>
          <w:sz w:val="26"/>
          <w:szCs w:val="26"/>
        </w:rPr>
        <w:tab/>
      </w:r>
      <w:r w:rsidRPr="00621D94">
        <w:rPr>
          <w:rFonts w:ascii="Calibri" w:hAnsi="Calibri" w:cs="Calibri"/>
          <w:b/>
          <w:bCs/>
          <w:sz w:val="26"/>
          <w:szCs w:val="26"/>
        </w:rPr>
        <w:t>Důležitým zdrojem informací o pracovních</w:t>
      </w:r>
      <w:r w:rsidRPr="00621D94">
        <w:rPr>
          <w:rFonts w:ascii="Calibri" w:hAnsi="Calibri" w:cs="Calibri"/>
          <w:bCs/>
          <w:sz w:val="26"/>
          <w:szCs w:val="26"/>
        </w:rPr>
        <w:t xml:space="preserve"> příjmech, resp. </w:t>
      </w:r>
      <w:r w:rsidRPr="00621D94">
        <w:rPr>
          <w:rFonts w:ascii="Calibri" w:hAnsi="Calibri" w:cs="Calibri"/>
          <w:b/>
          <w:bCs/>
          <w:sz w:val="26"/>
          <w:szCs w:val="26"/>
        </w:rPr>
        <w:t>výdělcích jednotlivých zaměstnanců</w:t>
      </w:r>
      <w:r w:rsidRPr="00621D94">
        <w:rPr>
          <w:rFonts w:ascii="Calibri" w:hAnsi="Calibri" w:cs="Calibri"/>
          <w:bCs/>
          <w:sz w:val="26"/>
          <w:szCs w:val="26"/>
        </w:rPr>
        <w:t xml:space="preserve"> v ČR, které doplňují údaje ČSÚ, </w:t>
      </w:r>
      <w:r w:rsidRPr="00621D94">
        <w:rPr>
          <w:rFonts w:ascii="Calibri" w:hAnsi="Calibri" w:cs="Calibri"/>
          <w:b/>
          <w:bCs/>
          <w:sz w:val="26"/>
          <w:szCs w:val="26"/>
        </w:rPr>
        <w:t>jsou data získaná z pravidelného statistického šetření</w:t>
      </w:r>
      <w:r w:rsidRPr="00621D94">
        <w:rPr>
          <w:rFonts w:ascii="Calibri" w:hAnsi="Calibri" w:cs="Calibri"/>
          <w:b/>
          <w:sz w:val="26"/>
          <w:szCs w:val="26"/>
        </w:rPr>
        <w:t xml:space="preserve"> </w:t>
      </w:r>
      <w:r w:rsidRPr="00621D94">
        <w:rPr>
          <w:rFonts w:ascii="Calibri" w:hAnsi="Calibri" w:cs="Calibri"/>
          <w:b/>
          <w:bCs/>
          <w:sz w:val="26"/>
          <w:szCs w:val="26"/>
        </w:rPr>
        <w:t>o průměrném výdělku</w:t>
      </w:r>
      <w:r w:rsidRPr="00621D94">
        <w:rPr>
          <w:rFonts w:ascii="Calibri" w:hAnsi="Calibri" w:cs="Calibri"/>
          <w:bCs/>
          <w:sz w:val="26"/>
          <w:szCs w:val="26"/>
        </w:rPr>
        <w:t xml:space="preserve"> (ISPV). Na rozdíl od podnikového výkaznictví ČSÚ, které vychází z údajů o evidenčním počtu zaměstnanců a vyplacených mzdách za ekonomický subjekt, jehož účelem je makroekonomický pohled na mzdy, </w:t>
      </w:r>
      <w:r w:rsidRPr="00621D94">
        <w:rPr>
          <w:rFonts w:ascii="Calibri" w:hAnsi="Calibri" w:cs="Calibri"/>
          <w:b/>
          <w:bCs/>
          <w:sz w:val="26"/>
          <w:szCs w:val="26"/>
        </w:rPr>
        <w:t>ISPV poskytuje data o mzdové úrovni jednotlivých skupin zaměstnanců</w:t>
      </w:r>
      <w:r w:rsidRPr="00621D94">
        <w:rPr>
          <w:rFonts w:ascii="Calibri" w:hAnsi="Calibri" w:cs="Calibri"/>
          <w:bCs/>
          <w:sz w:val="26"/>
          <w:szCs w:val="26"/>
        </w:rPr>
        <w:t xml:space="preserve"> i podle profesní struktury (včetně rozdělení na ženy a muže). Ve výsledcích o průměrných mzdách ČSÚ a ISPV jsou rozdíly, které vyplývají zejména z odlišné metodiky šetření a z rozdílného způsobu přepočtu zaměstnanců apod.</w:t>
      </w:r>
    </w:p>
    <w:p w14:paraId="26D2FB08" w14:textId="77777777" w:rsidR="00621D94" w:rsidRPr="00621D94" w:rsidRDefault="00621D94" w:rsidP="0004205F">
      <w:pPr>
        <w:spacing w:after="240" w:line="360" w:lineRule="auto"/>
        <w:jc w:val="both"/>
        <w:rPr>
          <w:rFonts w:ascii="Calibri" w:hAnsi="Calibri" w:cs="Calibri"/>
          <w:sz w:val="26"/>
          <w:szCs w:val="26"/>
        </w:rPr>
      </w:pPr>
      <w:r w:rsidRPr="00621D94">
        <w:rPr>
          <w:rFonts w:ascii="Calibri" w:hAnsi="Calibri" w:cs="Calibri"/>
          <w:sz w:val="26"/>
          <w:szCs w:val="26"/>
        </w:rPr>
        <w:tab/>
      </w:r>
      <w:r w:rsidRPr="00621D94">
        <w:rPr>
          <w:rFonts w:ascii="Calibri" w:hAnsi="Calibri" w:cs="Calibri"/>
          <w:bCs/>
          <w:sz w:val="26"/>
          <w:szCs w:val="26"/>
        </w:rPr>
        <w:t xml:space="preserve">Z výstupů šetření ISPV lze porovnat výdělkovou úroveň žen a mužů. </w:t>
      </w:r>
      <w:r w:rsidRPr="00621D94">
        <w:rPr>
          <w:rFonts w:ascii="Calibri" w:hAnsi="Calibri" w:cs="Calibri"/>
          <w:b/>
          <w:bCs/>
          <w:sz w:val="26"/>
          <w:szCs w:val="26"/>
        </w:rPr>
        <w:t>Průměrná mzda mužů dosáhla v roce 2020 výše</w:t>
      </w:r>
      <w:r w:rsidRPr="00621D94">
        <w:rPr>
          <w:rFonts w:ascii="Calibri" w:hAnsi="Calibri" w:cs="Calibri"/>
          <w:bCs/>
          <w:sz w:val="26"/>
          <w:szCs w:val="26"/>
        </w:rPr>
        <w:t xml:space="preserve"> </w:t>
      </w:r>
      <w:r w:rsidRPr="00621D94">
        <w:rPr>
          <w:rFonts w:ascii="Calibri" w:hAnsi="Calibri" w:cs="Calibri"/>
          <w:b/>
          <w:bCs/>
          <w:sz w:val="26"/>
          <w:szCs w:val="26"/>
        </w:rPr>
        <w:t>41 616 Kč a průměrná mzda žen 34 756 Kč. Dynamika růstu průměrné mzdy žen byla v hodnoceném období o 3,2 p. b. vyšší než u mužů a činila 7,9 %.</w:t>
      </w:r>
      <w:r w:rsidRPr="00621D94">
        <w:rPr>
          <w:rFonts w:ascii="Calibri" w:hAnsi="Calibri" w:cs="Calibri"/>
          <w:bCs/>
          <w:sz w:val="26"/>
          <w:szCs w:val="26"/>
        </w:rPr>
        <w:t xml:space="preserve"> Rozdíl v průměrném výdělku mužů a žen činil 6 860 Kč, r</w:t>
      </w:r>
      <w:r w:rsidRPr="00621D94">
        <w:rPr>
          <w:rFonts w:ascii="Calibri" w:hAnsi="Calibri" w:cs="Calibri"/>
          <w:sz w:val="26"/>
          <w:szCs w:val="26"/>
        </w:rPr>
        <w:t>elace průměrné mzdy žen k průměrné mzdě mužů dosáhla 83,5 % a byla o 1,2 p. b. vyšší než v roce 2019.</w:t>
      </w:r>
      <w:r w:rsidRPr="00621D94">
        <w:rPr>
          <w:rFonts w:ascii="Calibri" w:hAnsi="Calibri" w:cs="Calibri"/>
          <w:b/>
          <w:sz w:val="26"/>
          <w:szCs w:val="26"/>
        </w:rPr>
        <w:t xml:space="preserve"> </w:t>
      </w:r>
      <w:r w:rsidRPr="00621D94">
        <w:rPr>
          <w:rFonts w:ascii="Calibri" w:hAnsi="Calibri" w:cs="Calibri"/>
          <w:b/>
          <w:bCs/>
          <w:sz w:val="26"/>
          <w:szCs w:val="26"/>
        </w:rPr>
        <w:t>Hodnota mediánu mezd mužů činila</w:t>
      </w:r>
      <w:r w:rsidRPr="00621D94">
        <w:rPr>
          <w:rFonts w:ascii="Calibri" w:hAnsi="Calibri" w:cs="Calibri"/>
          <w:bCs/>
          <w:sz w:val="26"/>
          <w:szCs w:val="26"/>
        </w:rPr>
        <w:t xml:space="preserve"> ve sledovaném období </w:t>
      </w:r>
      <w:r w:rsidRPr="00621D94">
        <w:rPr>
          <w:rFonts w:ascii="Calibri" w:hAnsi="Calibri" w:cs="Calibri"/>
          <w:b/>
          <w:bCs/>
          <w:sz w:val="26"/>
          <w:szCs w:val="26"/>
        </w:rPr>
        <w:t>35 198 Kč</w:t>
      </w:r>
      <w:r w:rsidRPr="00621D94">
        <w:rPr>
          <w:rFonts w:ascii="Calibri" w:hAnsi="Calibri" w:cs="Calibri"/>
          <w:bCs/>
          <w:sz w:val="26"/>
          <w:szCs w:val="26"/>
        </w:rPr>
        <w:t xml:space="preserve"> a </w:t>
      </w:r>
      <w:r w:rsidRPr="00621D94">
        <w:rPr>
          <w:rFonts w:ascii="Calibri" w:hAnsi="Calibri" w:cs="Calibri"/>
          <w:b/>
          <w:bCs/>
          <w:sz w:val="26"/>
          <w:szCs w:val="26"/>
        </w:rPr>
        <w:t>mediánu mezd žen 30 843 Kč.</w:t>
      </w:r>
      <w:r w:rsidRPr="00621D94">
        <w:rPr>
          <w:rFonts w:ascii="Calibri" w:hAnsi="Calibri" w:cs="Calibri"/>
          <w:bCs/>
          <w:sz w:val="26"/>
          <w:szCs w:val="26"/>
        </w:rPr>
        <w:t xml:space="preserve"> </w:t>
      </w:r>
      <w:r w:rsidRPr="00621D94">
        <w:rPr>
          <w:rFonts w:ascii="Calibri" w:hAnsi="Calibri" w:cs="Calibri"/>
          <w:sz w:val="26"/>
          <w:szCs w:val="26"/>
        </w:rPr>
        <w:t>Porovnání založené na posouzení vývoje relace mediánové hodnoty výdělků žen a mužů představovalo 87,6 % (absolutní rozdíl 4 355 Kč, což bylo o 2 505 Kč méně než v případě průměru).</w:t>
      </w:r>
    </w:p>
    <w:p w14:paraId="06F5360E" w14:textId="77777777" w:rsidR="00621D94" w:rsidRPr="00621D94" w:rsidRDefault="00621D94" w:rsidP="00621D94">
      <w:pPr>
        <w:spacing w:after="240" w:line="360" w:lineRule="auto"/>
        <w:jc w:val="both"/>
        <w:rPr>
          <w:rFonts w:ascii="Calibri" w:hAnsi="Calibri" w:cs="Calibri"/>
          <w:sz w:val="26"/>
          <w:szCs w:val="26"/>
        </w:rPr>
      </w:pPr>
      <w:r w:rsidRPr="00621D94">
        <w:rPr>
          <w:rFonts w:ascii="Calibri" w:hAnsi="Calibri" w:cs="Calibri"/>
          <w:sz w:val="26"/>
          <w:szCs w:val="26"/>
        </w:rPr>
        <w:tab/>
        <w:t xml:space="preserve">V podstatě </w:t>
      </w:r>
      <w:r w:rsidRPr="00621D94">
        <w:rPr>
          <w:rFonts w:ascii="Calibri" w:hAnsi="Calibri" w:cs="Calibri"/>
          <w:b/>
          <w:bCs/>
          <w:sz w:val="26"/>
          <w:szCs w:val="26"/>
        </w:rPr>
        <w:t>stagnaci rozsahu mzdové diferenciace</w:t>
      </w:r>
      <w:r w:rsidRPr="00621D94">
        <w:rPr>
          <w:rFonts w:ascii="Calibri" w:hAnsi="Calibri" w:cs="Calibri"/>
          <w:sz w:val="26"/>
          <w:szCs w:val="26"/>
        </w:rPr>
        <w:t xml:space="preserve"> </w:t>
      </w:r>
      <w:r w:rsidRPr="00621D94">
        <w:rPr>
          <w:rFonts w:ascii="Calibri" w:hAnsi="Calibri" w:cs="Calibri"/>
          <w:b/>
          <w:sz w:val="26"/>
          <w:szCs w:val="26"/>
        </w:rPr>
        <w:t>na</w:t>
      </w:r>
      <w:r w:rsidRPr="00621D94">
        <w:rPr>
          <w:rFonts w:ascii="Calibri" w:hAnsi="Calibri" w:cs="Calibri"/>
          <w:sz w:val="26"/>
          <w:szCs w:val="26"/>
        </w:rPr>
        <w:t xml:space="preserve"> nejnižší </w:t>
      </w:r>
      <w:r w:rsidRPr="00621D94">
        <w:rPr>
          <w:rFonts w:ascii="Calibri" w:hAnsi="Calibri" w:cs="Calibri"/>
          <w:b/>
          <w:bCs/>
          <w:sz w:val="26"/>
          <w:szCs w:val="26"/>
        </w:rPr>
        <w:t>úrovni jednotlivých</w:t>
      </w:r>
      <w:r w:rsidRPr="00621D94">
        <w:rPr>
          <w:rFonts w:ascii="Calibri" w:hAnsi="Calibri" w:cs="Calibri"/>
          <w:sz w:val="26"/>
          <w:szCs w:val="26"/>
        </w:rPr>
        <w:t xml:space="preserve"> </w:t>
      </w:r>
      <w:r w:rsidRPr="00621D94">
        <w:rPr>
          <w:rFonts w:ascii="Calibri" w:hAnsi="Calibri" w:cs="Calibri"/>
          <w:b/>
          <w:bCs/>
          <w:sz w:val="26"/>
          <w:szCs w:val="26"/>
        </w:rPr>
        <w:t>zaměstnanců</w:t>
      </w:r>
      <w:r w:rsidRPr="00621D94">
        <w:rPr>
          <w:rFonts w:ascii="Calibri" w:hAnsi="Calibri" w:cs="Calibri"/>
          <w:bCs/>
          <w:sz w:val="26"/>
          <w:szCs w:val="26"/>
        </w:rPr>
        <w:t xml:space="preserve"> (v roce 2020 ve srovnání s rokem 2019)</w:t>
      </w:r>
      <w:r w:rsidRPr="00621D94">
        <w:rPr>
          <w:rFonts w:ascii="Calibri" w:hAnsi="Calibri" w:cs="Calibri"/>
          <w:sz w:val="26"/>
          <w:szCs w:val="26"/>
        </w:rPr>
        <w:t xml:space="preserve"> </w:t>
      </w:r>
      <w:r w:rsidRPr="00621D94">
        <w:rPr>
          <w:rFonts w:ascii="Calibri" w:hAnsi="Calibri" w:cs="Calibri"/>
          <w:b/>
          <w:sz w:val="26"/>
          <w:szCs w:val="26"/>
        </w:rPr>
        <w:t xml:space="preserve">signalizuje vývoj </w:t>
      </w:r>
      <w:r w:rsidRPr="00621D94">
        <w:rPr>
          <w:rFonts w:ascii="Calibri" w:hAnsi="Calibri" w:cs="Calibri"/>
          <w:b/>
          <w:sz w:val="26"/>
          <w:szCs w:val="26"/>
        </w:rPr>
        <w:lastRenderedPageBreak/>
        <w:t>hodnoty většiny základních diferenciačních charakteristik</w:t>
      </w:r>
      <w:r w:rsidRPr="00621D94">
        <w:rPr>
          <w:rFonts w:ascii="Calibri" w:hAnsi="Calibri" w:cs="Calibri"/>
          <w:sz w:val="26"/>
          <w:szCs w:val="26"/>
        </w:rPr>
        <w:t xml:space="preserve"> popsaných v následující tabulce (vlastní propočty MPSV z dat vybraných organizací).</w:t>
      </w:r>
    </w:p>
    <w:tbl>
      <w:tblPr>
        <w:tblW w:w="9024" w:type="dxa"/>
        <w:jc w:val="center"/>
        <w:tblCellMar>
          <w:left w:w="0" w:type="dxa"/>
          <w:right w:w="0" w:type="dxa"/>
        </w:tblCellMar>
        <w:tblLook w:val="0000" w:firstRow="0" w:lastRow="0" w:firstColumn="0" w:lastColumn="0" w:noHBand="0" w:noVBand="0"/>
      </w:tblPr>
      <w:tblGrid>
        <w:gridCol w:w="5550"/>
        <w:gridCol w:w="1737"/>
        <w:gridCol w:w="1737"/>
      </w:tblGrid>
      <w:tr w:rsidR="00621D94" w:rsidRPr="00621D94" w14:paraId="4133FE97" w14:textId="77777777" w:rsidTr="00621D94">
        <w:trPr>
          <w:trHeight w:val="402"/>
          <w:jc w:val="center"/>
        </w:trPr>
        <w:tc>
          <w:tcPr>
            <w:tcW w:w="5550" w:type="dxa"/>
            <w:tcBorders>
              <w:top w:val="double" w:sz="6" w:space="0" w:color="auto"/>
              <w:left w:val="double" w:sz="6" w:space="0" w:color="auto"/>
              <w:bottom w:val="double" w:sz="6" w:space="0" w:color="auto"/>
              <w:right w:val="single" w:sz="4" w:space="0" w:color="auto"/>
            </w:tcBorders>
            <w:noWrap/>
            <w:tcMar>
              <w:top w:w="0" w:type="dxa"/>
              <w:left w:w="15" w:type="dxa"/>
              <w:bottom w:w="0" w:type="dxa"/>
              <w:right w:w="15" w:type="dxa"/>
            </w:tcMar>
            <w:vAlign w:val="center"/>
          </w:tcPr>
          <w:p w14:paraId="082769E4" w14:textId="77777777" w:rsidR="00621D94" w:rsidRPr="00621D94" w:rsidRDefault="00621D94" w:rsidP="00621D94">
            <w:pPr>
              <w:jc w:val="center"/>
              <w:rPr>
                <w:rFonts w:ascii="Calibri" w:hAnsi="Calibri" w:cs="Calibri"/>
                <w:sz w:val="20"/>
              </w:rPr>
            </w:pPr>
            <w:r w:rsidRPr="00621D94">
              <w:rPr>
                <w:rFonts w:ascii="Calibri" w:hAnsi="Calibri" w:cs="Calibri"/>
                <w:sz w:val="20"/>
              </w:rPr>
              <w:t>Ukazatel</w:t>
            </w:r>
          </w:p>
        </w:tc>
        <w:tc>
          <w:tcPr>
            <w:tcW w:w="1737" w:type="dxa"/>
            <w:tcBorders>
              <w:top w:val="double" w:sz="6" w:space="0" w:color="auto"/>
              <w:left w:val="single" w:sz="4" w:space="0" w:color="auto"/>
              <w:bottom w:val="double" w:sz="6" w:space="0" w:color="auto"/>
              <w:right w:val="single" w:sz="4" w:space="0" w:color="auto"/>
            </w:tcBorders>
            <w:noWrap/>
            <w:tcMar>
              <w:top w:w="15" w:type="dxa"/>
              <w:left w:w="15" w:type="dxa"/>
              <w:bottom w:w="0" w:type="dxa"/>
              <w:right w:w="15" w:type="dxa"/>
            </w:tcMar>
            <w:vAlign w:val="center"/>
          </w:tcPr>
          <w:p w14:paraId="6B160925" w14:textId="77777777" w:rsidR="00621D94" w:rsidRPr="00621D94" w:rsidRDefault="00621D94" w:rsidP="00621D94">
            <w:pPr>
              <w:jc w:val="center"/>
              <w:rPr>
                <w:rFonts w:ascii="Calibri" w:hAnsi="Calibri" w:cs="Calibri"/>
                <w:sz w:val="20"/>
              </w:rPr>
            </w:pPr>
            <w:r w:rsidRPr="00621D94">
              <w:rPr>
                <w:rFonts w:ascii="Calibri" w:hAnsi="Calibri" w:cs="Calibri"/>
                <w:sz w:val="20"/>
              </w:rPr>
              <w:t>rok 2019</w:t>
            </w:r>
          </w:p>
        </w:tc>
        <w:tc>
          <w:tcPr>
            <w:tcW w:w="1737" w:type="dxa"/>
            <w:tcBorders>
              <w:top w:val="double" w:sz="6" w:space="0" w:color="auto"/>
              <w:left w:val="nil"/>
              <w:bottom w:val="double" w:sz="6" w:space="0" w:color="auto"/>
              <w:right w:val="double" w:sz="6" w:space="0" w:color="auto"/>
            </w:tcBorders>
            <w:noWrap/>
            <w:tcMar>
              <w:top w:w="15" w:type="dxa"/>
              <w:left w:w="15" w:type="dxa"/>
              <w:bottom w:w="0" w:type="dxa"/>
              <w:right w:w="15" w:type="dxa"/>
            </w:tcMar>
            <w:vAlign w:val="center"/>
          </w:tcPr>
          <w:p w14:paraId="4769CEEC" w14:textId="77777777" w:rsidR="00621D94" w:rsidRPr="00621D94" w:rsidRDefault="00621D94" w:rsidP="00621D94">
            <w:pPr>
              <w:jc w:val="center"/>
              <w:rPr>
                <w:rFonts w:ascii="Calibri" w:hAnsi="Calibri" w:cs="Calibri"/>
                <w:sz w:val="20"/>
              </w:rPr>
            </w:pPr>
            <w:r w:rsidRPr="00621D94">
              <w:rPr>
                <w:rFonts w:ascii="Calibri" w:hAnsi="Calibri" w:cs="Calibri"/>
                <w:sz w:val="20"/>
              </w:rPr>
              <w:t>rok 2020</w:t>
            </w:r>
          </w:p>
        </w:tc>
      </w:tr>
      <w:tr w:rsidR="00621D94" w:rsidRPr="00621D94" w14:paraId="63815DE9" w14:textId="77777777" w:rsidTr="00621D94">
        <w:trPr>
          <w:trHeight w:val="360"/>
          <w:jc w:val="center"/>
        </w:trPr>
        <w:tc>
          <w:tcPr>
            <w:tcW w:w="0" w:type="auto"/>
            <w:tcBorders>
              <w:top w:val="nil"/>
              <w:left w:val="double" w:sz="6" w:space="0" w:color="auto"/>
              <w:bottom w:val="nil"/>
              <w:right w:val="single" w:sz="4" w:space="0" w:color="auto"/>
            </w:tcBorders>
            <w:noWrap/>
            <w:tcMar>
              <w:top w:w="15" w:type="dxa"/>
              <w:left w:w="15" w:type="dxa"/>
              <w:bottom w:w="0" w:type="dxa"/>
              <w:right w:w="15" w:type="dxa"/>
            </w:tcMar>
            <w:vAlign w:val="center"/>
          </w:tcPr>
          <w:p w14:paraId="02BAABF2" w14:textId="77777777" w:rsidR="00621D94" w:rsidRPr="00621D94" w:rsidRDefault="00621D94" w:rsidP="00621D94">
            <w:pPr>
              <w:rPr>
                <w:rFonts w:ascii="Calibri" w:hAnsi="Calibri" w:cs="Calibri"/>
                <w:sz w:val="20"/>
              </w:rPr>
            </w:pPr>
            <w:r w:rsidRPr="00621D94">
              <w:rPr>
                <w:rFonts w:ascii="Calibri" w:hAnsi="Calibri" w:cs="Calibri"/>
                <w:sz w:val="20"/>
              </w:rPr>
              <w:t xml:space="preserve"> Rozdíl mezi průměrným výdělkem a mediánem (Kč)</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14:paraId="4E630229" w14:textId="77777777" w:rsidR="00621D94" w:rsidRPr="00621D94" w:rsidRDefault="00621D94" w:rsidP="00621D94">
            <w:pPr>
              <w:jc w:val="center"/>
              <w:rPr>
                <w:rFonts w:ascii="Calibri" w:hAnsi="Calibri" w:cs="Calibri"/>
                <w:sz w:val="20"/>
              </w:rPr>
            </w:pPr>
            <w:r w:rsidRPr="00621D94">
              <w:rPr>
                <w:rFonts w:ascii="Calibri" w:hAnsi="Calibri" w:cs="Calibri"/>
                <w:sz w:val="20"/>
              </w:rPr>
              <w:t>4 927</w:t>
            </w:r>
          </w:p>
        </w:tc>
        <w:tc>
          <w:tcPr>
            <w:tcW w:w="0" w:type="auto"/>
            <w:tcBorders>
              <w:top w:val="nil"/>
              <w:left w:val="nil"/>
              <w:bottom w:val="nil"/>
              <w:right w:val="double" w:sz="6" w:space="0" w:color="auto"/>
            </w:tcBorders>
            <w:noWrap/>
            <w:tcMar>
              <w:top w:w="15" w:type="dxa"/>
              <w:left w:w="15" w:type="dxa"/>
              <w:bottom w:w="0" w:type="dxa"/>
              <w:right w:w="15" w:type="dxa"/>
            </w:tcMar>
            <w:vAlign w:val="center"/>
          </w:tcPr>
          <w:p w14:paraId="4756AEEC" w14:textId="77777777" w:rsidR="00621D94" w:rsidRPr="00621D94" w:rsidRDefault="00621D94" w:rsidP="00621D94">
            <w:pPr>
              <w:jc w:val="center"/>
              <w:rPr>
                <w:rFonts w:ascii="Calibri" w:hAnsi="Calibri" w:cs="Calibri"/>
                <w:sz w:val="20"/>
              </w:rPr>
            </w:pPr>
            <w:r w:rsidRPr="00621D94">
              <w:rPr>
                <w:rFonts w:ascii="Calibri" w:hAnsi="Calibri" w:cs="Calibri"/>
                <w:sz w:val="20"/>
              </w:rPr>
              <w:t>5 271</w:t>
            </w:r>
          </w:p>
        </w:tc>
      </w:tr>
      <w:tr w:rsidR="00621D94" w:rsidRPr="00621D94" w14:paraId="4AA51497" w14:textId="77777777" w:rsidTr="00621D94">
        <w:trPr>
          <w:trHeight w:val="360"/>
          <w:jc w:val="center"/>
        </w:trPr>
        <w:tc>
          <w:tcPr>
            <w:tcW w:w="0" w:type="auto"/>
            <w:tcBorders>
              <w:top w:val="nil"/>
              <w:left w:val="double" w:sz="6" w:space="0" w:color="auto"/>
              <w:bottom w:val="nil"/>
              <w:right w:val="single" w:sz="4" w:space="0" w:color="auto"/>
            </w:tcBorders>
            <w:noWrap/>
            <w:tcMar>
              <w:top w:w="15" w:type="dxa"/>
              <w:left w:w="15" w:type="dxa"/>
              <w:bottom w:w="0" w:type="dxa"/>
              <w:right w:w="15" w:type="dxa"/>
            </w:tcMar>
            <w:vAlign w:val="center"/>
          </w:tcPr>
          <w:p w14:paraId="74FCAD1A" w14:textId="77777777" w:rsidR="00621D94" w:rsidRPr="00621D94" w:rsidRDefault="00621D94" w:rsidP="00621D94">
            <w:pPr>
              <w:rPr>
                <w:rFonts w:ascii="Calibri" w:hAnsi="Calibri" w:cs="Calibri"/>
                <w:sz w:val="20"/>
              </w:rPr>
            </w:pPr>
            <w:r w:rsidRPr="00621D94">
              <w:rPr>
                <w:rFonts w:ascii="Calibri" w:hAnsi="Calibri" w:cs="Calibri"/>
                <w:sz w:val="20"/>
              </w:rPr>
              <w:t xml:space="preserve"> Podíl zaměstnanců s nižší než průměrnou mzdou (%)</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14:paraId="1C89A925" w14:textId="77777777" w:rsidR="00621D94" w:rsidRPr="00621D94" w:rsidRDefault="00621D94" w:rsidP="00621D94">
            <w:pPr>
              <w:jc w:val="center"/>
              <w:rPr>
                <w:rFonts w:ascii="Calibri" w:hAnsi="Calibri" w:cs="Calibri"/>
                <w:sz w:val="20"/>
              </w:rPr>
            </w:pPr>
            <w:r w:rsidRPr="00621D94">
              <w:rPr>
                <w:rFonts w:ascii="Calibri" w:hAnsi="Calibri" w:cs="Calibri"/>
                <w:sz w:val="20"/>
              </w:rPr>
              <w:t xml:space="preserve">  67,2</w:t>
            </w:r>
          </w:p>
        </w:tc>
        <w:tc>
          <w:tcPr>
            <w:tcW w:w="0" w:type="auto"/>
            <w:tcBorders>
              <w:top w:val="nil"/>
              <w:left w:val="nil"/>
              <w:bottom w:val="nil"/>
              <w:right w:val="double" w:sz="6" w:space="0" w:color="auto"/>
            </w:tcBorders>
            <w:noWrap/>
            <w:tcMar>
              <w:top w:w="15" w:type="dxa"/>
              <w:left w:w="15" w:type="dxa"/>
              <w:bottom w:w="0" w:type="dxa"/>
              <w:right w:w="15" w:type="dxa"/>
            </w:tcMar>
            <w:vAlign w:val="center"/>
          </w:tcPr>
          <w:p w14:paraId="682ABD17" w14:textId="77777777" w:rsidR="00621D94" w:rsidRPr="00621D94" w:rsidRDefault="00621D94" w:rsidP="00621D94">
            <w:pPr>
              <w:jc w:val="center"/>
              <w:rPr>
                <w:rFonts w:ascii="Calibri" w:hAnsi="Calibri" w:cs="Calibri"/>
                <w:sz w:val="20"/>
              </w:rPr>
            </w:pPr>
            <w:r w:rsidRPr="00621D94">
              <w:rPr>
                <w:rFonts w:ascii="Calibri" w:hAnsi="Calibri" w:cs="Calibri"/>
                <w:sz w:val="20"/>
              </w:rPr>
              <w:t xml:space="preserve">  67,4</w:t>
            </w:r>
          </w:p>
        </w:tc>
      </w:tr>
      <w:tr w:rsidR="00621D94" w:rsidRPr="00621D94" w14:paraId="38281A21" w14:textId="77777777" w:rsidTr="00621D94">
        <w:trPr>
          <w:trHeight w:val="360"/>
          <w:jc w:val="center"/>
        </w:trPr>
        <w:tc>
          <w:tcPr>
            <w:tcW w:w="0" w:type="auto"/>
            <w:tcBorders>
              <w:top w:val="nil"/>
              <w:left w:val="double" w:sz="6" w:space="0" w:color="auto"/>
              <w:bottom w:val="nil"/>
              <w:right w:val="single" w:sz="4" w:space="0" w:color="auto"/>
            </w:tcBorders>
            <w:noWrap/>
            <w:tcMar>
              <w:top w:w="15" w:type="dxa"/>
              <w:left w:w="15" w:type="dxa"/>
              <w:bottom w:w="0" w:type="dxa"/>
              <w:right w:w="15" w:type="dxa"/>
            </w:tcMar>
            <w:vAlign w:val="center"/>
          </w:tcPr>
          <w:p w14:paraId="3A13BAA6" w14:textId="77777777" w:rsidR="00621D94" w:rsidRPr="00621D94" w:rsidRDefault="00621D94" w:rsidP="00621D94">
            <w:pPr>
              <w:rPr>
                <w:rFonts w:ascii="Calibri" w:hAnsi="Calibri" w:cs="Calibri"/>
                <w:sz w:val="20"/>
              </w:rPr>
            </w:pPr>
            <w:r w:rsidRPr="00621D94">
              <w:rPr>
                <w:rFonts w:ascii="Calibri" w:hAnsi="Calibri" w:cs="Calibri"/>
                <w:sz w:val="20"/>
              </w:rPr>
              <w:t xml:space="preserve"> Decilový poměr (9. </w:t>
            </w:r>
            <w:proofErr w:type="gramStart"/>
            <w:r w:rsidRPr="00621D94">
              <w:rPr>
                <w:rFonts w:ascii="Calibri" w:hAnsi="Calibri" w:cs="Calibri"/>
                <w:sz w:val="20"/>
              </w:rPr>
              <w:t>decil :</w:t>
            </w:r>
            <w:proofErr w:type="gramEnd"/>
            <w:r w:rsidRPr="00621D94">
              <w:rPr>
                <w:rFonts w:ascii="Calibri" w:hAnsi="Calibri" w:cs="Calibri"/>
                <w:sz w:val="20"/>
              </w:rPr>
              <w:t xml:space="preserve"> 1. decil)</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14:paraId="21EC4B52" w14:textId="77777777" w:rsidR="00621D94" w:rsidRPr="00621D94" w:rsidRDefault="00621D94" w:rsidP="00621D94">
            <w:pPr>
              <w:jc w:val="center"/>
              <w:rPr>
                <w:rFonts w:ascii="Calibri" w:hAnsi="Calibri" w:cs="Calibri"/>
                <w:sz w:val="20"/>
              </w:rPr>
            </w:pPr>
            <w:r w:rsidRPr="00621D94">
              <w:rPr>
                <w:rFonts w:ascii="Calibri" w:hAnsi="Calibri" w:cs="Calibri"/>
                <w:sz w:val="20"/>
              </w:rPr>
              <w:t xml:space="preserve">  3,27</w:t>
            </w:r>
          </w:p>
        </w:tc>
        <w:tc>
          <w:tcPr>
            <w:tcW w:w="0" w:type="auto"/>
            <w:tcBorders>
              <w:top w:val="nil"/>
              <w:left w:val="nil"/>
              <w:bottom w:val="nil"/>
              <w:right w:val="double" w:sz="6" w:space="0" w:color="auto"/>
            </w:tcBorders>
            <w:noWrap/>
            <w:tcMar>
              <w:top w:w="15" w:type="dxa"/>
              <w:left w:w="15" w:type="dxa"/>
              <w:bottom w:w="0" w:type="dxa"/>
              <w:right w:w="15" w:type="dxa"/>
            </w:tcMar>
            <w:vAlign w:val="center"/>
          </w:tcPr>
          <w:p w14:paraId="01125A8A" w14:textId="77777777" w:rsidR="00621D94" w:rsidRPr="00621D94" w:rsidRDefault="00621D94" w:rsidP="00621D94">
            <w:pPr>
              <w:jc w:val="center"/>
              <w:rPr>
                <w:rFonts w:ascii="Calibri" w:hAnsi="Calibri" w:cs="Calibri"/>
                <w:sz w:val="20"/>
              </w:rPr>
            </w:pPr>
            <w:r w:rsidRPr="00621D94">
              <w:rPr>
                <w:rFonts w:ascii="Calibri" w:hAnsi="Calibri" w:cs="Calibri"/>
                <w:sz w:val="20"/>
              </w:rPr>
              <w:t xml:space="preserve">  3,21</w:t>
            </w:r>
          </w:p>
        </w:tc>
      </w:tr>
      <w:tr w:rsidR="00621D94" w:rsidRPr="00621D94" w14:paraId="23316F4E" w14:textId="77777777" w:rsidTr="00621D94">
        <w:trPr>
          <w:trHeight w:val="360"/>
          <w:jc w:val="center"/>
        </w:trPr>
        <w:tc>
          <w:tcPr>
            <w:tcW w:w="0" w:type="auto"/>
            <w:tcBorders>
              <w:top w:val="nil"/>
              <w:left w:val="double" w:sz="6" w:space="0" w:color="auto"/>
              <w:bottom w:val="nil"/>
              <w:right w:val="single" w:sz="4" w:space="0" w:color="auto"/>
            </w:tcBorders>
            <w:noWrap/>
            <w:tcMar>
              <w:top w:w="15" w:type="dxa"/>
              <w:left w:w="15" w:type="dxa"/>
              <w:bottom w:w="0" w:type="dxa"/>
              <w:right w:w="15" w:type="dxa"/>
            </w:tcMar>
            <w:vAlign w:val="center"/>
          </w:tcPr>
          <w:p w14:paraId="757F2E17" w14:textId="77777777" w:rsidR="00621D94" w:rsidRPr="00621D94" w:rsidRDefault="00621D94" w:rsidP="00621D94">
            <w:pPr>
              <w:rPr>
                <w:rFonts w:ascii="Calibri" w:hAnsi="Calibri" w:cs="Calibri"/>
                <w:sz w:val="20"/>
              </w:rPr>
            </w:pPr>
            <w:r w:rsidRPr="00621D94">
              <w:rPr>
                <w:rFonts w:ascii="Calibri" w:hAnsi="Calibri" w:cs="Calibri"/>
                <w:sz w:val="20"/>
              </w:rPr>
              <w:t xml:space="preserve"> Variační koeficient (%)</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14:paraId="2B182650" w14:textId="77777777" w:rsidR="00621D94" w:rsidRPr="00621D94" w:rsidRDefault="00621D94" w:rsidP="00621D94">
            <w:pPr>
              <w:jc w:val="center"/>
              <w:rPr>
                <w:rFonts w:ascii="Calibri" w:hAnsi="Calibri" w:cs="Calibri"/>
                <w:sz w:val="20"/>
              </w:rPr>
            </w:pPr>
            <w:r w:rsidRPr="00621D94">
              <w:rPr>
                <w:rFonts w:ascii="Calibri" w:hAnsi="Calibri" w:cs="Calibri"/>
                <w:sz w:val="20"/>
              </w:rPr>
              <w:t xml:space="preserve">     70</w:t>
            </w:r>
          </w:p>
        </w:tc>
        <w:tc>
          <w:tcPr>
            <w:tcW w:w="0" w:type="auto"/>
            <w:tcBorders>
              <w:top w:val="nil"/>
              <w:left w:val="nil"/>
              <w:bottom w:val="nil"/>
              <w:right w:val="double" w:sz="6" w:space="0" w:color="auto"/>
            </w:tcBorders>
            <w:noWrap/>
            <w:tcMar>
              <w:top w:w="15" w:type="dxa"/>
              <w:left w:w="15" w:type="dxa"/>
              <w:bottom w:w="0" w:type="dxa"/>
              <w:right w:w="15" w:type="dxa"/>
            </w:tcMar>
            <w:vAlign w:val="center"/>
          </w:tcPr>
          <w:p w14:paraId="58828B93" w14:textId="77777777" w:rsidR="00621D94" w:rsidRPr="00621D94" w:rsidRDefault="00621D94" w:rsidP="00621D94">
            <w:pPr>
              <w:jc w:val="center"/>
              <w:rPr>
                <w:rFonts w:ascii="Calibri" w:hAnsi="Calibri" w:cs="Calibri"/>
                <w:sz w:val="20"/>
              </w:rPr>
            </w:pPr>
            <w:r w:rsidRPr="00621D94">
              <w:rPr>
                <w:rFonts w:ascii="Calibri" w:hAnsi="Calibri" w:cs="Calibri"/>
                <w:sz w:val="20"/>
              </w:rPr>
              <w:t xml:space="preserve">     68</w:t>
            </w:r>
          </w:p>
        </w:tc>
      </w:tr>
      <w:tr w:rsidR="00621D94" w:rsidRPr="00621D94" w14:paraId="6465EC7B" w14:textId="77777777" w:rsidTr="00621D94">
        <w:trPr>
          <w:trHeight w:val="360"/>
          <w:jc w:val="center"/>
        </w:trPr>
        <w:tc>
          <w:tcPr>
            <w:tcW w:w="0" w:type="auto"/>
            <w:tcBorders>
              <w:top w:val="nil"/>
              <w:left w:val="double" w:sz="6" w:space="0" w:color="auto"/>
              <w:bottom w:val="nil"/>
              <w:right w:val="single" w:sz="4" w:space="0" w:color="auto"/>
            </w:tcBorders>
            <w:noWrap/>
            <w:tcMar>
              <w:top w:w="15" w:type="dxa"/>
              <w:left w:w="15" w:type="dxa"/>
              <w:bottom w:w="0" w:type="dxa"/>
              <w:right w:w="15" w:type="dxa"/>
            </w:tcMar>
            <w:vAlign w:val="center"/>
          </w:tcPr>
          <w:p w14:paraId="3A87C234" w14:textId="77777777" w:rsidR="00621D94" w:rsidRPr="00621D94" w:rsidRDefault="00621D94" w:rsidP="00621D94">
            <w:pPr>
              <w:rPr>
                <w:rFonts w:ascii="Calibri" w:hAnsi="Calibri" w:cs="Calibri"/>
                <w:sz w:val="20"/>
              </w:rPr>
            </w:pPr>
            <w:r w:rsidRPr="00621D94">
              <w:rPr>
                <w:rFonts w:ascii="Calibri" w:hAnsi="Calibri" w:cs="Calibri"/>
                <w:sz w:val="20"/>
              </w:rPr>
              <w:t xml:space="preserve"> </w:t>
            </w:r>
            <w:proofErr w:type="spellStart"/>
            <w:r w:rsidRPr="00621D94">
              <w:rPr>
                <w:rFonts w:ascii="Calibri" w:hAnsi="Calibri" w:cs="Calibri"/>
                <w:sz w:val="20"/>
              </w:rPr>
              <w:t>Giniho</w:t>
            </w:r>
            <w:proofErr w:type="spellEnd"/>
            <w:r w:rsidRPr="00621D94">
              <w:rPr>
                <w:rFonts w:ascii="Calibri" w:hAnsi="Calibri" w:cs="Calibri"/>
                <w:sz w:val="20"/>
              </w:rPr>
              <w:t xml:space="preserve"> koeficient</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14:paraId="05320795" w14:textId="77777777" w:rsidR="00621D94" w:rsidRPr="00621D94" w:rsidRDefault="00621D94" w:rsidP="00621D94">
            <w:pPr>
              <w:jc w:val="center"/>
              <w:rPr>
                <w:rFonts w:ascii="Calibri" w:hAnsi="Calibri" w:cs="Calibri"/>
                <w:sz w:val="20"/>
              </w:rPr>
            </w:pPr>
            <w:r w:rsidRPr="00621D94">
              <w:rPr>
                <w:rFonts w:ascii="Calibri" w:hAnsi="Calibri" w:cs="Calibri"/>
                <w:sz w:val="20"/>
              </w:rPr>
              <w:t xml:space="preserve">  0,28</w:t>
            </w:r>
          </w:p>
        </w:tc>
        <w:tc>
          <w:tcPr>
            <w:tcW w:w="0" w:type="auto"/>
            <w:tcBorders>
              <w:top w:val="nil"/>
              <w:left w:val="nil"/>
              <w:bottom w:val="nil"/>
              <w:right w:val="double" w:sz="6" w:space="0" w:color="auto"/>
            </w:tcBorders>
            <w:noWrap/>
            <w:tcMar>
              <w:top w:w="15" w:type="dxa"/>
              <w:left w:w="15" w:type="dxa"/>
              <w:bottom w:w="0" w:type="dxa"/>
              <w:right w:w="15" w:type="dxa"/>
            </w:tcMar>
            <w:vAlign w:val="center"/>
          </w:tcPr>
          <w:p w14:paraId="6B598591" w14:textId="77777777" w:rsidR="00621D94" w:rsidRPr="00621D94" w:rsidRDefault="00621D94" w:rsidP="00621D94">
            <w:pPr>
              <w:jc w:val="center"/>
              <w:rPr>
                <w:rFonts w:ascii="Calibri" w:hAnsi="Calibri" w:cs="Calibri"/>
                <w:sz w:val="20"/>
              </w:rPr>
            </w:pPr>
            <w:r w:rsidRPr="00621D94">
              <w:rPr>
                <w:rFonts w:ascii="Calibri" w:hAnsi="Calibri" w:cs="Calibri"/>
                <w:sz w:val="20"/>
              </w:rPr>
              <w:t xml:space="preserve">  0,28</w:t>
            </w:r>
          </w:p>
        </w:tc>
      </w:tr>
      <w:tr w:rsidR="00621D94" w:rsidRPr="00621D94" w14:paraId="51CB08C7" w14:textId="77777777" w:rsidTr="00621D94">
        <w:trPr>
          <w:trHeight w:val="360"/>
          <w:jc w:val="center"/>
        </w:trPr>
        <w:tc>
          <w:tcPr>
            <w:tcW w:w="0" w:type="auto"/>
            <w:tcBorders>
              <w:top w:val="nil"/>
              <w:left w:val="double" w:sz="6" w:space="0" w:color="auto"/>
              <w:bottom w:val="double" w:sz="6" w:space="0" w:color="auto"/>
              <w:right w:val="single" w:sz="4" w:space="0" w:color="auto"/>
            </w:tcBorders>
            <w:noWrap/>
            <w:tcMar>
              <w:top w:w="15" w:type="dxa"/>
              <w:left w:w="15" w:type="dxa"/>
              <w:bottom w:w="0" w:type="dxa"/>
              <w:right w:w="15" w:type="dxa"/>
            </w:tcMar>
            <w:vAlign w:val="center"/>
          </w:tcPr>
          <w:p w14:paraId="352E1E99" w14:textId="77777777" w:rsidR="00621D94" w:rsidRPr="00621D94" w:rsidRDefault="00621D94" w:rsidP="00621D94">
            <w:pPr>
              <w:rPr>
                <w:rFonts w:ascii="Calibri" w:hAnsi="Calibri" w:cs="Calibri"/>
                <w:sz w:val="20"/>
              </w:rPr>
            </w:pPr>
            <w:r w:rsidRPr="00621D94">
              <w:rPr>
                <w:rFonts w:ascii="Calibri" w:hAnsi="Calibri" w:cs="Calibri"/>
                <w:sz w:val="20"/>
              </w:rPr>
              <w:t xml:space="preserve"> </w:t>
            </w:r>
            <w:proofErr w:type="spellStart"/>
            <w:r w:rsidRPr="00621D94">
              <w:rPr>
                <w:rFonts w:ascii="Calibri" w:hAnsi="Calibri" w:cs="Calibri"/>
                <w:sz w:val="20"/>
              </w:rPr>
              <w:t>Paretův</w:t>
            </w:r>
            <w:proofErr w:type="spellEnd"/>
            <w:r w:rsidRPr="00621D94">
              <w:rPr>
                <w:rFonts w:ascii="Calibri" w:hAnsi="Calibri" w:cs="Calibri"/>
                <w:sz w:val="20"/>
              </w:rPr>
              <w:t xml:space="preserve"> koeficient</w:t>
            </w:r>
          </w:p>
        </w:tc>
        <w:tc>
          <w:tcPr>
            <w:tcW w:w="0" w:type="auto"/>
            <w:tcBorders>
              <w:top w:val="nil"/>
              <w:left w:val="nil"/>
              <w:bottom w:val="double" w:sz="6" w:space="0" w:color="auto"/>
              <w:right w:val="single" w:sz="4" w:space="0" w:color="auto"/>
            </w:tcBorders>
            <w:noWrap/>
            <w:tcMar>
              <w:top w:w="15" w:type="dxa"/>
              <w:left w:w="15" w:type="dxa"/>
              <w:bottom w:w="0" w:type="dxa"/>
              <w:right w:w="15" w:type="dxa"/>
            </w:tcMar>
            <w:vAlign w:val="center"/>
          </w:tcPr>
          <w:p w14:paraId="4558AD59" w14:textId="77777777" w:rsidR="00621D94" w:rsidRPr="00621D94" w:rsidRDefault="00621D94" w:rsidP="00621D94">
            <w:pPr>
              <w:jc w:val="center"/>
              <w:rPr>
                <w:rFonts w:ascii="Calibri" w:hAnsi="Calibri" w:cs="Calibri"/>
                <w:sz w:val="20"/>
              </w:rPr>
            </w:pPr>
            <w:r w:rsidRPr="00621D94">
              <w:rPr>
                <w:rFonts w:ascii="Calibri" w:hAnsi="Calibri" w:cs="Calibri"/>
                <w:sz w:val="20"/>
              </w:rPr>
              <w:t xml:space="preserve">  0,36</w:t>
            </w:r>
          </w:p>
        </w:tc>
        <w:tc>
          <w:tcPr>
            <w:tcW w:w="0" w:type="auto"/>
            <w:tcBorders>
              <w:top w:val="nil"/>
              <w:left w:val="nil"/>
              <w:bottom w:val="double" w:sz="6" w:space="0" w:color="auto"/>
              <w:right w:val="double" w:sz="6" w:space="0" w:color="auto"/>
            </w:tcBorders>
            <w:noWrap/>
            <w:tcMar>
              <w:top w:w="15" w:type="dxa"/>
              <w:left w:w="15" w:type="dxa"/>
              <w:bottom w:w="0" w:type="dxa"/>
              <w:right w:w="15" w:type="dxa"/>
            </w:tcMar>
            <w:vAlign w:val="center"/>
          </w:tcPr>
          <w:p w14:paraId="75FEFA08" w14:textId="77777777" w:rsidR="00621D94" w:rsidRPr="00621D94" w:rsidRDefault="00621D94" w:rsidP="00621D94">
            <w:pPr>
              <w:jc w:val="center"/>
              <w:rPr>
                <w:rFonts w:ascii="Calibri" w:hAnsi="Calibri" w:cs="Calibri"/>
                <w:sz w:val="20"/>
              </w:rPr>
            </w:pPr>
            <w:r w:rsidRPr="00621D94">
              <w:rPr>
                <w:rFonts w:ascii="Calibri" w:hAnsi="Calibri" w:cs="Calibri"/>
                <w:sz w:val="20"/>
              </w:rPr>
              <w:t xml:space="preserve">  0,36</w:t>
            </w:r>
          </w:p>
        </w:tc>
      </w:tr>
    </w:tbl>
    <w:p w14:paraId="751CAE81" w14:textId="77777777" w:rsidR="00621D94" w:rsidRPr="00621D94" w:rsidRDefault="00621D94" w:rsidP="00621D94">
      <w:pPr>
        <w:spacing w:after="240" w:line="360" w:lineRule="auto"/>
        <w:jc w:val="both"/>
        <w:rPr>
          <w:rFonts w:ascii="Calibri" w:hAnsi="Calibri" w:cs="Calibri"/>
          <w:sz w:val="26"/>
          <w:szCs w:val="26"/>
        </w:rPr>
      </w:pPr>
    </w:p>
    <w:p w14:paraId="685F8080" w14:textId="77777777" w:rsidR="00621D94" w:rsidRPr="00621D94" w:rsidRDefault="00621D94" w:rsidP="0004205F">
      <w:pPr>
        <w:spacing w:before="480" w:after="240" w:line="360" w:lineRule="auto"/>
        <w:jc w:val="both"/>
        <w:rPr>
          <w:rFonts w:ascii="Calibri" w:hAnsi="Calibri" w:cs="Calibri"/>
          <w:sz w:val="26"/>
          <w:szCs w:val="26"/>
        </w:rPr>
      </w:pPr>
      <w:r w:rsidRPr="00621D94">
        <w:rPr>
          <w:rFonts w:ascii="Calibri" w:hAnsi="Calibri" w:cs="Calibri"/>
          <w:sz w:val="26"/>
          <w:szCs w:val="26"/>
        </w:rPr>
        <w:tab/>
      </w:r>
      <w:r w:rsidRPr="00621D94">
        <w:rPr>
          <w:rFonts w:ascii="Calibri" w:hAnsi="Calibri" w:cs="Calibri"/>
          <w:b/>
          <w:bCs/>
          <w:sz w:val="26"/>
          <w:szCs w:val="26"/>
        </w:rPr>
        <w:t>Podíl zaměstnanců s </w:t>
      </w:r>
      <w:r w:rsidRPr="00621D94">
        <w:rPr>
          <w:rFonts w:ascii="Calibri" w:hAnsi="Calibri" w:cs="Calibri"/>
          <w:b/>
          <w:sz w:val="26"/>
          <w:szCs w:val="26"/>
        </w:rPr>
        <w:t>nižším než průměrným výdělkem z celkového počtu zaměstnanců</w:t>
      </w:r>
      <w:r w:rsidRPr="00621D94">
        <w:rPr>
          <w:rFonts w:ascii="Calibri" w:hAnsi="Calibri" w:cs="Calibri"/>
          <w:bCs/>
          <w:sz w:val="26"/>
          <w:szCs w:val="26"/>
        </w:rPr>
        <w:t xml:space="preserve"> (</w:t>
      </w:r>
      <w:r w:rsidRPr="00621D94">
        <w:rPr>
          <w:rFonts w:ascii="Calibri" w:hAnsi="Calibri" w:cs="Calibri"/>
          <w:sz w:val="26"/>
          <w:szCs w:val="26"/>
        </w:rPr>
        <w:t>oproti stejnému období předchozího roku) se zvýšil o 0,2 p. b. na hodnotu</w:t>
      </w:r>
      <w:r w:rsidRPr="00621D94">
        <w:rPr>
          <w:rFonts w:ascii="Calibri" w:hAnsi="Calibri" w:cs="Calibri"/>
          <w:bCs/>
          <w:sz w:val="26"/>
          <w:szCs w:val="26"/>
        </w:rPr>
        <w:t xml:space="preserve"> </w:t>
      </w:r>
      <w:r w:rsidRPr="00621D94">
        <w:rPr>
          <w:rFonts w:ascii="Calibri" w:hAnsi="Calibri" w:cs="Calibri"/>
          <w:b/>
          <w:sz w:val="26"/>
          <w:szCs w:val="26"/>
        </w:rPr>
        <w:t>67,4 %</w:t>
      </w:r>
      <w:r w:rsidRPr="00621D94">
        <w:rPr>
          <w:rFonts w:ascii="Calibri" w:hAnsi="Calibri" w:cs="Calibri"/>
          <w:bCs/>
          <w:sz w:val="26"/>
          <w:szCs w:val="26"/>
        </w:rPr>
        <w:t xml:space="preserve">. </w:t>
      </w:r>
      <w:r w:rsidRPr="00621D94">
        <w:rPr>
          <w:rFonts w:ascii="Calibri" w:hAnsi="Calibri" w:cs="Calibri"/>
          <w:sz w:val="26"/>
          <w:szCs w:val="26"/>
        </w:rPr>
        <w:t>Podobně se</w:t>
      </w:r>
      <w:r w:rsidRPr="00621D94">
        <w:rPr>
          <w:rFonts w:ascii="Calibri" w:hAnsi="Calibri" w:cs="Calibri"/>
          <w:bCs/>
          <w:sz w:val="26"/>
          <w:szCs w:val="26"/>
        </w:rPr>
        <w:t xml:space="preserve"> </w:t>
      </w:r>
      <w:r w:rsidRPr="00621D94">
        <w:rPr>
          <w:rFonts w:ascii="Calibri" w:hAnsi="Calibri" w:cs="Calibri"/>
          <w:b/>
          <w:sz w:val="26"/>
          <w:szCs w:val="26"/>
        </w:rPr>
        <w:t>vyvíjela</w:t>
      </w:r>
      <w:r w:rsidRPr="00621D94">
        <w:rPr>
          <w:rFonts w:ascii="Calibri" w:hAnsi="Calibri" w:cs="Calibri"/>
          <w:bCs/>
          <w:sz w:val="26"/>
          <w:szCs w:val="26"/>
        </w:rPr>
        <w:t xml:space="preserve"> </w:t>
      </w:r>
      <w:r w:rsidRPr="00621D94">
        <w:rPr>
          <w:rFonts w:ascii="Calibri" w:hAnsi="Calibri" w:cs="Calibri"/>
          <w:sz w:val="26"/>
          <w:szCs w:val="26"/>
        </w:rPr>
        <w:t xml:space="preserve">relace </w:t>
      </w:r>
      <w:r w:rsidRPr="00621D94">
        <w:rPr>
          <w:rFonts w:ascii="Calibri" w:hAnsi="Calibri" w:cs="Calibri"/>
          <w:b/>
          <w:sz w:val="26"/>
          <w:szCs w:val="26"/>
        </w:rPr>
        <w:t>růstu nižších a vyšších výdělků;</w:t>
      </w:r>
      <w:r w:rsidRPr="00621D94">
        <w:rPr>
          <w:rFonts w:ascii="Calibri" w:hAnsi="Calibri" w:cs="Calibri"/>
          <w:sz w:val="26"/>
          <w:szCs w:val="26"/>
        </w:rPr>
        <w:t xml:space="preserve"> dynamika výdělku v 1. decilu byla v roce 2020 meziročně o 2,1 p. b. vyšší než v 9. decilu.</w:t>
      </w:r>
    </w:p>
    <w:p w14:paraId="32D18F3C" w14:textId="77777777" w:rsidR="00621D94" w:rsidRPr="00621D94" w:rsidRDefault="00621D94" w:rsidP="0004205F">
      <w:pPr>
        <w:spacing w:after="240" w:line="360" w:lineRule="auto"/>
        <w:jc w:val="both"/>
        <w:rPr>
          <w:rFonts w:ascii="Calibri" w:hAnsi="Calibri" w:cs="Calibri"/>
          <w:bCs/>
          <w:sz w:val="26"/>
          <w:szCs w:val="26"/>
        </w:rPr>
      </w:pPr>
      <w:r w:rsidRPr="00621D94">
        <w:rPr>
          <w:rFonts w:ascii="Calibri" w:hAnsi="Calibri" w:cs="Calibri"/>
          <w:sz w:val="26"/>
          <w:szCs w:val="26"/>
        </w:rPr>
        <w:tab/>
      </w:r>
      <w:r w:rsidRPr="00621D94">
        <w:rPr>
          <w:rFonts w:ascii="Calibri" w:hAnsi="Calibri" w:cs="Calibri"/>
          <w:b/>
          <w:bCs/>
          <w:sz w:val="26"/>
          <w:szCs w:val="26"/>
        </w:rPr>
        <w:t>Medián</w:t>
      </w:r>
      <w:r w:rsidRPr="00621D94">
        <w:rPr>
          <w:rFonts w:ascii="Calibri" w:hAnsi="Calibri" w:cs="Calibri"/>
          <w:b/>
          <w:sz w:val="26"/>
          <w:szCs w:val="26"/>
        </w:rPr>
        <w:t xml:space="preserve"> </w:t>
      </w:r>
      <w:r w:rsidRPr="00621D94">
        <w:rPr>
          <w:rFonts w:ascii="Calibri" w:hAnsi="Calibri" w:cs="Calibri"/>
          <w:b/>
          <w:bCs/>
          <w:sz w:val="26"/>
          <w:szCs w:val="26"/>
        </w:rPr>
        <w:t>mzdy</w:t>
      </w:r>
      <w:r w:rsidRPr="00621D94">
        <w:rPr>
          <w:rFonts w:ascii="Calibri" w:hAnsi="Calibri" w:cs="Calibri"/>
          <w:sz w:val="26"/>
          <w:szCs w:val="26"/>
        </w:rPr>
        <w:t xml:space="preserve"> </w:t>
      </w:r>
      <w:r w:rsidRPr="00621D94">
        <w:rPr>
          <w:rFonts w:ascii="Calibri" w:hAnsi="Calibri" w:cs="Calibri"/>
          <w:bCs/>
          <w:sz w:val="26"/>
          <w:szCs w:val="26"/>
        </w:rPr>
        <w:t xml:space="preserve">v roce 2020 </w:t>
      </w:r>
      <w:r w:rsidRPr="00621D94">
        <w:rPr>
          <w:rFonts w:ascii="Calibri" w:hAnsi="Calibri" w:cs="Calibri"/>
          <w:b/>
          <w:bCs/>
          <w:sz w:val="26"/>
          <w:szCs w:val="26"/>
        </w:rPr>
        <w:t>činil 33 256 Kč</w:t>
      </w:r>
      <w:r w:rsidRPr="00621D94">
        <w:rPr>
          <w:rFonts w:ascii="Calibri" w:hAnsi="Calibri" w:cs="Calibri"/>
          <w:sz w:val="26"/>
          <w:szCs w:val="26"/>
        </w:rPr>
        <w:t xml:space="preserve"> </w:t>
      </w:r>
      <w:r w:rsidRPr="00621D94">
        <w:rPr>
          <w:rFonts w:ascii="Calibri" w:hAnsi="Calibri" w:cs="Calibri"/>
          <w:bCs/>
          <w:sz w:val="26"/>
          <w:szCs w:val="26"/>
        </w:rPr>
        <w:t xml:space="preserve">(ve mzdové sféře 31 579 Kč, v platové sféře 39 900 Kč) </w:t>
      </w:r>
      <w:r w:rsidRPr="00621D94">
        <w:rPr>
          <w:rFonts w:ascii="Calibri" w:hAnsi="Calibri" w:cs="Calibri"/>
          <w:b/>
          <w:bCs/>
          <w:sz w:val="26"/>
          <w:szCs w:val="26"/>
        </w:rPr>
        <w:t>a byl</w:t>
      </w:r>
      <w:r w:rsidRPr="00621D94">
        <w:rPr>
          <w:rFonts w:ascii="Calibri" w:hAnsi="Calibri" w:cs="Calibri"/>
          <w:bCs/>
          <w:sz w:val="26"/>
          <w:szCs w:val="26"/>
        </w:rPr>
        <w:t xml:space="preserve"> </w:t>
      </w:r>
      <w:r w:rsidRPr="00621D94">
        <w:rPr>
          <w:rFonts w:ascii="Calibri" w:hAnsi="Calibri" w:cs="Calibri"/>
          <w:b/>
          <w:bCs/>
          <w:sz w:val="26"/>
          <w:szCs w:val="26"/>
        </w:rPr>
        <w:t xml:space="preserve">oproti hodnotě průměrné měsíční mzdy nižší o 5 271 Kč. V platové sféře představoval tento rozdíl 2 655 Kč; ve mzdové sféře činilo zaostávání mediánu za průměrnou mzdou 6 048 Kč. </w:t>
      </w:r>
      <w:r w:rsidRPr="00621D94">
        <w:rPr>
          <w:rFonts w:ascii="Calibri" w:hAnsi="Calibri" w:cs="Calibri"/>
          <w:bCs/>
          <w:sz w:val="26"/>
          <w:szCs w:val="26"/>
        </w:rPr>
        <w:t>Z toho vyplývá, že výdělky jednotlivých zaměstnanců ve mzdové sféře na rozdíl od sféry platové byly více diferencované. To bylo ovlivněno zejména vysokou absolutní úrovní vyplácených mezd (včetně prémií, mimořádných odměn a bonusů) vrcholovým manažerům a špičkovým specialistům v tomto sektoru.</w:t>
      </w:r>
    </w:p>
    <w:p w14:paraId="2C70B761" w14:textId="77777777" w:rsidR="00621D94" w:rsidRPr="00621D94" w:rsidRDefault="00621D94" w:rsidP="0004205F">
      <w:pPr>
        <w:spacing w:after="240" w:line="360" w:lineRule="auto"/>
        <w:jc w:val="both"/>
        <w:rPr>
          <w:rFonts w:ascii="Calibri" w:hAnsi="Calibri" w:cs="Calibri"/>
          <w:bCs/>
          <w:sz w:val="26"/>
          <w:szCs w:val="26"/>
        </w:rPr>
      </w:pPr>
      <w:r w:rsidRPr="00621D94">
        <w:rPr>
          <w:rFonts w:ascii="Calibri" w:hAnsi="Calibri" w:cs="Calibri"/>
          <w:sz w:val="26"/>
          <w:szCs w:val="26"/>
        </w:rPr>
        <w:tab/>
      </w:r>
      <w:r w:rsidRPr="00621D94">
        <w:rPr>
          <w:rFonts w:ascii="Calibri" w:hAnsi="Calibri" w:cs="Calibri"/>
          <w:bCs/>
          <w:sz w:val="26"/>
          <w:szCs w:val="26"/>
        </w:rPr>
        <w:t xml:space="preserve">Proti posílení mzdové diferenciace působila skutečnost, že průměrné (meziroční) </w:t>
      </w:r>
      <w:r w:rsidRPr="00621D94">
        <w:rPr>
          <w:rFonts w:ascii="Calibri" w:hAnsi="Calibri" w:cs="Calibri"/>
          <w:b/>
          <w:bCs/>
          <w:sz w:val="26"/>
          <w:szCs w:val="26"/>
        </w:rPr>
        <w:t>tempo růstu výdělků řídících pracovníků a manažerů</w:t>
      </w:r>
      <w:r w:rsidRPr="00621D94">
        <w:rPr>
          <w:rFonts w:ascii="Calibri" w:hAnsi="Calibri" w:cs="Calibri"/>
          <w:bCs/>
          <w:sz w:val="26"/>
          <w:szCs w:val="26"/>
        </w:rPr>
        <w:t xml:space="preserve"> (klasifikace CZ</w:t>
      </w:r>
      <w:r w:rsidRPr="00621D94">
        <w:rPr>
          <w:rFonts w:ascii="Calibri" w:hAnsi="Calibri" w:cs="Calibri"/>
          <w:bCs/>
          <w:sz w:val="26"/>
          <w:szCs w:val="26"/>
        </w:rPr>
        <w:noBreakHyphen/>
        <w:t xml:space="preserve">ISCO, hlavní třída 1) </w:t>
      </w:r>
      <w:r w:rsidRPr="00621D94">
        <w:rPr>
          <w:rFonts w:ascii="Calibri" w:hAnsi="Calibri" w:cs="Calibri"/>
          <w:b/>
          <w:bCs/>
          <w:sz w:val="26"/>
          <w:szCs w:val="26"/>
        </w:rPr>
        <w:t>bylo nižší než průměrná intenzita nárůstu mezd jimi řízených zaměstnanců</w:t>
      </w:r>
      <w:r w:rsidRPr="00621D94">
        <w:rPr>
          <w:rFonts w:ascii="Calibri" w:hAnsi="Calibri" w:cs="Calibri"/>
          <w:bCs/>
          <w:sz w:val="26"/>
          <w:szCs w:val="26"/>
        </w:rPr>
        <w:t xml:space="preserve"> (o 3,0 p. b.).</w:t>
      </w:r>
    </w:p>
    <w:p w14:paraId="7B37E21F" w14:textId="77777777" w:rsidR="00621D94" w:rsidRPr="00621D94" w:rsidRDefault="00621D94" w:rsidP="0004205F">
      <w:pPr>
        <w:spacing w:after="240" w:line="360" w:lineRule="auto"/>
        <w:jc w:val="both"/>
        <w:rPr>
          <w:rFonts w:ascii="Calibri" w:hAnsi="Calibri" w:cs="Calibri"/>
          <w:sz w:val="26"/>
          <w:szCs w:val="26"/>
        </w:rPr>
      </w:pPr>
      <w:r w:rsidRPr="00621D94">
        <w:rPr>
          <w:rFonts w:ascii="Calibri" w:hAnsi="Calibri" w:cs="Calibri"/>
          <w:sz w:val="26"/>
          <w:szCs w:val="26"/>
        </w:rPr>
        <w:lastRenderedPageBreak/>
        <w:tab/>
      </w:r>
      <w:r w:rsidRPr="00621D94">
        <w:rPr>
          <w:rFonts w:ascii="Calibri" w:hAnsi="Calibri" w:cs="Calibri"/>
          <w:b/>
          <w:bCs/>
          <w:sz w:val="26"/>
          <w:szCs w:val="26"/>
        </w:rPr>
        <w:t>V rozložení úrovně mezd zaměstnanců došlo k</w:t>
      </w:r>
      <w:r w:rsidRPr="00621D94">
        <w:rPr>
          <w:rFonts w:ascii="Calibri" w:hAnsi="Calibri" w:cs="Calibri"/>
          <w:sz w:val="26"/>
          <w:szCs w:val="26"/>
        </w:rPr>
        <w:t> </w:t>
      </w:r>
      <w:r w:rsidRPr="00621D94">
        <w:rPr>
          <w:rFonts w:ascii="Calibri" w:hAnsi="Calibri" w:cs="Calibri"/>
          <w:bCs/>
          <w:sz w:val="26"/>
          <w:szCs w:val="26"/>
        </w:rPr>
        <w:t>mírnému</w:t>
      </w:r>
      <w:r w:rsidRPr="00621D94">
        <w:rPr>
          <w:rFonts w:ascii="Calibri" w:hAnsi="Calibri" w:cs="Calibri"/>
          <w:sz w:val="26"/>
          <w:szCs w:val="26"/>
        </w:rPr>
        <w:t xml:space="preserve"> </w:t>
      </w:r>
      <w:r w:rsidRPr="00621D94">
        <w:rPr>
          <w:rFonts w:ascii="Calibri" w:hAnsi="Calibri" w:cs="Calibri"/>
          <w:b/>
          <w:bCs/>
          <w:sz w:val="26"/>
          <w:szCs w:val="26"/>
        </w:rPr>
        <w:t>posunu směrem k vyšším hodnotám</w:t>
      </w:r>
      <w:r w:rsidRPr="00621D94">
        <w:rPr>
          <w:rFonts w:ascii="Calibri" w:hAnsi="Calibri" w:cs="Calibri"/>
          <w:bCs/>
          <w:sz w:val="26"/>
          <w:szCs w:val="26"/>
        </w:rPr>
        <w:t xml:space="preserve"> (viz frekvenční graf v rámci vybraných výstupů z Informačního systému o průměrném výdělku v příloze). </w:t>
      </w:r>
      <w:r w:rsidRPr="00621D94">
        <w:rPr>
          <w:rFonts w:ascii="Calibri" w:hAnsi="Calibri" w:cs="Calibri"/>
          <w:b/>
          <w:bCs/>
          <w:sz w:val="26"/>
          <w:szCs w:val="26"/>
        </w:rPr>
        <w:t xml:space="preserve">V nejčetnějším pásmu </w:t>
      </w:r>
      <w:proofErr w:type="gramStart"/>
      <w:r w:rsidRPr="00621D94">
        <w:rPr>
          <w:rFonts w:ascii="Calibri" w:hAnsi="Calibri" w:cs="Calibri"/>
          <w:b/>
          <w:bCs/>
          <w:sz w:val="26"/>
          <w:szCs w:val="26"/>
        </w:rPr>
        <w:t>28 - 30</w:t>
      </w:r>
      <w:proofErr w:type="gramEnd"/>
      <w:r w:rsidRPr="00621D94">
        <w:rPr>
          <w:rFonts w:ascii="Calibri" w:hAnsi="Calibri" w:cs="Calibri"/>
          <w:b/>
          <w:bCs/>
          <w:sz w:val="26"/>
          <w:szCs w:val="26"/>
        </w:rPr>
        <w:t> tis. Kč pobíralo mzdu celkem 6,2 % zaměstnanců</w:t>
      </w:r>
      <w:r w:rsidRPr="00621D94">
        <w:rPr>
          <w:rFonts w:ascii="Calibri" w:hAnsi="Calibri" w:cs="Calibri"/>
          <w:bCs/>
          <w:sz w:val="26"/>
          <w:szCs w:val="26"/>
        </w:rPr>
        <w:t xml:space="preserve"> (ve stejném období roku 2019 to bylo 6,4 %)</w:t>
      </w:r>
      <w:r w:rsidRPr="00621D94">
        <w:rPr>
          <w:rFonts w:ascii="Calibri" w:hAnsi="Calibri" w:cs="Calibri"/>
          <w:sz w:val="26"/>
          <w:szCs w:val="26"/>
        </w:rPr>
        <w:t xml:space="preserve">. </w:t>
      </w:r>
      <w:r w:rsidRPr="00621D94">
        <w:rPr>
          <w:rFonts w:ascii="Calibri" w:hAnsi="Calibri" w:cs="Calibri"/>
          <w:b/>
          <w:bCs/>
          <w:sz w:val="26"/>
          <w:szCs w:val="26"/>
        </w:rPr>
        <w:t>Výdělek nepřekračující 19 000 Kč</w:t>
      </w:r>
      <w:r w:rsidRPr="00621D94">
        <w:rPr>
          <w:rFonts w:ascii="Calibri" w:hAnsi="Calibri" w:cs="Calibri"/>
          <w:bCs/>
          <w:sz w:val="26"/>
          <w:szCs w:val="26"/>
        </w:rPr>
        <w:t xml:space="preserve"> (tj. úroveň téměř odpovídající 1. decilu) </w:t>
      </w:r>
      <w:r w:rsidRPr="00621D94">
        <w:rPr>
          <w:rFonts w:ascii="Calibri" w:hAnsi="Calibri" w:cs="Calibri"/>
          <w:b/>
          <w:bCs/>
          <w:sz w:val="26"/>
          <w:szCs w:val="26"/>
        </w:rPr>
        <w:t>mělo</w:t>
      </w:r>
      <w:r w:rsidRPr="00621D94">
        <w:rPr>
          <w:rFonts w:ascii="Calibri" w:hAnsi="Calibri" w:cs="Calibri"/>
          <w:sz w:val="26"/>
          <w:szCs w:val="26"/>
        </w:rPr>
        <w:t xml:space="preserve"> jen </w:t>
      </w:r>
      <w:r w:rsidRPr="00621D94">
        <w:rPr>
          <w:rFonts w:ascii="Calibri" w:hAnsi="Calibri" w:cs="Calibri"/>
          <w:b/>
          <w:bCs/>
          <w:sz w:val="26"/>
          <w:szCs w:val="26"/>
        </w:rPr>
        <w:t>10,5 % zaměstnanců</w:t>
      </w:r>
      <w:r w:rsidRPr="00621D94">
        <w:rPr>
          <w:rFonts w:ascii="Calibri" w:hAnsi="Calibri" w:cs="Calibri"/>
          <w:bCs/>
          <w:sz w:val="26"/>
          <w:szCs w:val="26"/>
        </w:rPr>
        <w:t xml:space="preserve"> (ve stejném období roku 2019 to bylo přibližně 13,6 %)</w:t>
      </w:r>
      <w:r w:rsidRPr="00621D94">
        <w:rPr>
          <w:rFonts w:ascii="Calibri" w:hAnsi="Calibri" w:cs="Calibri"/>
          <w:sz w:val="26"/>
          <w:szCs w:val="26"/>
        </w:rPr>
        <w:t xml:space="preserve"> – ovšem např. v odvětvích „ubytování, stravování a pohostinství“ 50,6 %, „administrativní a podpůrné činnosti“ 35,0 % a „výroba textilií, oděvů, usní a souvisejících výrobků“ 25,0 % zaměstnanců. </w:t>
      </w:r>
      <w:r w:rsidRPr="00621D94">
        <w:rPr>
          <w:rFonts w:ascii="Calibri" w:hAnsi="Calibri" w:cs="Calibri"/>
          <w:b/>
          <w:bCs/>
          <w:sz w:val="26"/>
          <w:szCs w:val="26"/>
        </w:rPr>
        <w:t>Mzda převyšující 60 000 Kč</w:t>
      </w:r>
      <w:r w:rsidRPr="00621D94">
        <w:rPr>
          <w:rFonts w:ascii="Calibri" w:hAnsi="Calibri" w:cs="Calibri"/>
          <w:sz w:val="26"/>
          <w:szCs w:val="26"/>
        </w:rPr>
        <w:t xml:space="preserve"> </w:t>
      </w:r>
      <w:r w:rsidRPr="00621D94">
        <w:rPr>
          <w:rFonts w:ascii="Calibri" w:hAnsi="Calibri" w:cs="Calibri"/>
          <w:bCs/>
          <w:sz w:val="26"/>
          <w:szCs w:val="26"/>
        </w:rPr>
        <w:t xml:space="preserve">(tj. úroveň odpovídající cca 9. decilu) </w:t>
      </w:r>
      <w:r w:rsidRPr="00621D94">
        <w:rPr>
          <w:rFonts w:ascii="Calibri" w:hAnsi="Calibri" w:cs="Calibri"/>
          <w:b/>
          <w:bCs/>
          <w:sz w:val="26"/>
          <w:szCs w:val="26"/>
        </w:rPr>
        <w:t>byla vyplacena 10,1 % zaměstnanců</w:t>
      </w:r>
      <w:r w:rsidRPr="00621D94">
        <w:rPr>
          <w:rFonts w:ascii="Calibri" w:hAnsi="Calibri" w:cs="Calibri"/>
          <w:bCs/>
          <w:sz w:val="26"/>
          <w:szCs w:val="26"/>
        </w:rPr>
        <w:t xml:space="preserve"> (ve stejném období roku 2019 to bylo 8,3 %) </w:t>
      </w:r>
      <w:r w:rsidRPr="00621D94">
        <w:rPr>
          <w:rFonts w:ascii="Calibri" w:hAnsi="Calibri" w:cs="Calibri"/>
          <w:sz w:val="26"/>
          <w:szCs w:val="26"/>
        </w:rPr>
        <w:t>– v odvětvích „IT a informační činnosti“ ji však obdrželo 43,2 %, v „peněžnictví a pojišťovnictví“ 34,8 % a v „telekomunikační činnosti“ 34,4 %.</w:t>
      </w:r>
    </w:p>
    <w:p w14:paraId="29EAAFF5" w14:textId="77777777" w:rsidR="00621D94" w:rsidRPr="00621D94" w:rsidRDefault="00621D94" w:rsidP="0004205F">
      <w:pPr>
        <w:spacing w:after="240" w:line="360" w:lineRule="auto"/>
        <w:jc w:val="both"/>
        <w:rPr>
          <w:rFonts w:ascii="Calibri" w:hAnsi="Calibri" w:cs="Calibri"/>
          <w:sz w:val="26"/>
          <w:szCs w:val="26"/>
        </w:rPr>
      </w:pPr>
      <w:r w:rsidRPr="00621D94">
        <w:rPr>
          <w:rFonts w:ascii="Calibri" w:hAnsi="Calibri" w:cs="Calibri"/>
          <w:sz w:val="26"/>
          <w:szCs w:val="26"/>
        </w:rPr>
        <w:tab/>
        <w:t>K nadprůměrně odměňovaným zaměstnancům v roce 2020 patřili např. „nejvyšší představitelé společností“ (s průměrnou mzdou 132 937 Kč), „lékaři specialisté“ (81 015 Kč), „strojní inženýři“ (58 555 Kč), „všeobecné sestry se specializací“ (57 104 Kč) nebo „učitelé na VŠ a VOŠ“ (56 452 Kč). K nejhůře placeným patřili zejména zaměstnanci v profesích „pracovníci ostrahy a bezpečnostních agentur“ (21 374 Kč), „švadleny, šičky, vyšívači a pracovníci v příbuzných oborech“ (20 495 Kč), „tradiční zpracovatelé textilu, kůží a příbuzných materiálů“ (19 799 Kč) nebo „uklízeči a pomocníci v hotelích, administrativních, průmyslových a jiných objektech“ (19 694 Kč).</w:t>
      </w:r>
    </w:p>
    <w:p w14:paraId="2B6D04AD" w14:textId="77777777" w:rsidR="00621D94" w:rsidRPr="00621D94" w:rsidRDefault="00621D94" w:rsidP="0004205F">
      <w:pPr>
        <w:spacing w:after="240" w:line="360" w:lineRule="auto"/>
        <w:jc w:val="both"/>
        <w:rPr>
          <w:rFonts w:ascii="Calibri" w:hAnsi="Calibri" w:cs="Calibri"/>
          <w:sz w:val="26"/>
          <w:szCs w:val="26"/>
        </w:rPr>
      </w:pPr>
      <w:r w:rsidRPr="00621D94">
        <w:rPr>
          <w:rFonts w:ascii="Calibri" w:hAnsi="Calibri" w:cs="Calibri"/>
          <w:sz w:val="26"/>
          <w:szCs w:val="26"/>
        </w:rPr>
        <w:tab/>
      </w:r>
      <w:r w:rsidRPr="00621D94">
        <w:rPr>
          <w:rFonts w:ascii="Calibri" w:hAnsi="Calibri" w:cs="Calibri"/>
          <w:b/>
          <w:sz w:val="26"/>
          <w:szCs w:val="26"/>
        </w:rPr>
        <w:t>Čím vyššího vzdělání zaměstnanec dosáhl, tím vyšší měl zpravidla průměrnou mzdu.</w:t>
      </w:r>
      <w:r w:rsidRPr="00621D94">
        <w:rPr>
          <w:rFonts w:ascii="Calibri" w:hAnsi="Calibri" w:cs="Calibri"/>
          <w:sz w:val="26"/>
          <w:szCs w:val="26"/>
        </w:rPr>
        <w:t xml:space="preserve"> Např. zatímco zaměstnanec s maturitou pobíral v průměru mzdu (37 462 Kč) téměř ve výši průměrné mzdy, vysokoškolsky vzdělaný zaměstnanec měl ve sledovaném období průměrnou mzdu cca 1,5krát vyšší (její úroveň dosáhla 56 237 Kč). </w:t>
      </w:r>
      <w:r w:rsidRPr="00621D94">
        <w:rPr>
          <w:rFonts w:ascii="Calibri" w:hAnsi="Calibri" w:cs="Calibri"/>
          <w:b/>
          <w:sz w:val="26"/>
          <w:szCs w:val="26"/>
        </w:rPr>
        <w:t>Z hlediska věku patřili k nejlépe placeným</w:t>
      </w:r>
      <w:r w:rsidRPr="00621D94">
        <w:rPr>
          <w:rFonts w:ascii="Calibri" w:hAnsi="Calibri" w:cs="Calibri"/>
          <w:sz w:val="26"/>
          <w:szCs w:val="26"/>
        </w:rPr>
        <w:t xml:space="preserve"> </w:t>
      </w:r>
      <w:r w:rsidRPr="00621D94">
        <w:rPr>
          <w:rFonts w:ascii="Calibri" w:hAnsi="Calibri" w:cs="Calibri"/>
          <w:b/>
          <w:sz w:val="26"/>
          <w:szCs w:val="26"/>
        </w:rPr>
        <w:t>zaměstnanci ve věku 30 </w:t>
      </w:r>
      <w:r w:rsidRPr="00621D94">
        <w:rPr>
          <w:rFonts w:ascii="Calibri" w:hAnsi="Calibri" w:cs="Calibri"/>
          <w:b/>
          <w:sz w:val="26"/>
          <w:szCs w:val="26"/>
        </w:rPr>
        <w:noBreakHyphen/>
        <w:t> 49 let</w:t>
      </w:r>
      <w:r w:rsidRPr="00621D94">
        <w:rPr>
          <w:rFonts w:ascii="Calibri" w:hAnsi="Calibri" w:cs="Calibri"/>
          <w:sz w:val="26"/>
          <w:szCs w:val="26"/>
        </w:rPr>
        <w:t xml:space="preserve">, a to ve všech hlavních vzdělanostních kategoriích. Největší rozdíly byly zaznamenány u zaměstnanců s vysokoškolským vzděláním. Průměrná mzda těchto zaměstnanců ve </w:t>
      </w:r>
      <w:r w:rsidRPr="00621D94">
        <w:rPr>
          <w:rFonts w:ascii="Calibri" w:hAnsi="Calibri" w:cs="Calibri"/>
          <w:sz w:val="26"/>
          <w:szCs w:val="26"/>
        </w:rPr>
        <w:lastRenderedPageBreak/>
        <w:t>věku do 29 let činila 40 402 Kč (1,2násobek průměru dané věkové kategorie), ve věku od 30 do 49 let dosáhla 58 723 Kč (1,5násobek) a ve věku nad 50 let dosáhla úrovně 58 646 Kč (rovněž 1,5násobek).</w:t>
      </w:r>
    </w:p>
    <w:p w14:paraId="10591CF2" w14:textId="77777777" w:rsidR="00621D94" w:rsidRPr="00621D94" w:rsidRDefault="00621D94" w:rsidP="0004205F">
      <w:pPr>
        <w:spacing w:after="240" w:line="360" w:lineRule="auto"/>
        <w:jc w:val="both"/>
        <w:rPr>
          <w:rFonts w:ascii="Calibri" w:hAnsi="Calibri" w:cs="Calibri"/>
          <w:bCs/>
          <w:sz w:val="26"/>
          <w:szCs w:val="26"/>
        </w:rPr>
      </w:pPr>
      <w:r w:rsidRPr="00621D94">
        <w:rPr>
          <w:rFonts w:ascii="Calibri" w:hAnsi="Calibri" w:cs="Calibri"/>
          <w:sz w:val="26"/>
          <w:szCs w:val="26"/>
        </w:rPr>
        <w:tab/>
        <w:t xml:space="preserve">Statistika výdělků z ISPV poskytuje i zajímavý </w:t>
      </w:r>
      <w:r w:rsidRPr="00621D94">
        <w:rPr>
          <w:rFonts w:ascii="Calibri" w:hAnsi="Calibri" w:cs="Calibri"/>
          <w:b/>
          <w:sz w:val="26"/>
          <w:szCs w:val="26"/>
        </w:rPr>
        <w:t>přehled o mzdách zaměstnanců v ČR podle jejich státního občanství.</w:t>
      </w:r>
      <w:r w:rsidRPr="00621D94">
        <w:rPr>
          <w:rFonts w:ascii="Calibri" w:hAnsi="Calibri" w:cs="Calibri"/>
          <w:sz w:val="26"/>
          <w:szCs w:val="26"/>
        </w:rPr>
        <w:t xml:space="preserve"> Absolutně </w:t>
      </w:r>
      <w:r w:rsidRPr="00621D94">
        <w:rPr>
          <w:rFonts w:ascii="Calibri" w:hAnsi="Calibri" w:cs="Calibri"/>
          <w:b/>
          <w:sz w:val="26"/>
          <w:szCs w:val="26"/>
        </w:rPr>
        <w:t>nejvyšší průměrné mzdy 114 292 Kč</w:t>
      </w:r>
      <w:r w:rsidRPr="00621D94">
        <w:rPr>
          <w:rFonts w:ascii="Calibri" w:hAnsi="Calibri" w:cs="Calibri"/>
          <w:sz w:val="26"/>
          <w:szCs w:val="26"/>
        </w:rPr>
        <w:t xml:space="preserve"> v roce 2020 v ČR </w:t>
      </w:r>
      <w:r w:rsidRPr="00621D94">
        <w:rPr>
          <w:rFonts w:ascii="Calibri" w:hAnsi="Calibri" w:cs="Calibri"/>
          <w:b/>
          <w:sz w:val="26"/>
          <w:szCs w:val="26"/>
        </w:rPr>
        <w:t>dosáhli zaměstnanci s německým státním občanstvím.</w:t>
      </w:r>
      <w:r w:rsidRPr="00621D94">
        <w:rPr>
          <w:rFonts w:ascii="Calibri" w:hAnsi="Calibri" w:cs="Calibri"/>
          <w:b/>
          <w:bCs/>
          <w:sz w:val="26"/>
          <w:szCs w:val="26"/>
        </w:rPr>
        <w:t xml:space="preserve"> </w:t>
      </w:r>
      <w:r w:rsidRPr="00621D94">
        <w:rPr>
          <w:rFonts w:ascii="Calibri" w:hAnsi="Calibri" w:cs="Calibri"/>
          <w:b/>
          <w:sz w:val="26"/>
          <w:szCs w:val="26"/>
        </w:rPr>
        <w:t>Druhou nejlépe placenou skupinou zaměstnanců s průměrnou mzdou 46 359 Kč,</w:t>
      </w:r>
      <w:r w:rsidRPr="00621D94">
        <w:rPr>
          <w:rFonts w:ascii="Calibri" w:hAnsi="Calibri" w:cs="Calibri"/>
          <w:sz w:val="26"/>
          <w:szCs w:val="26"/>
        </w:rPr>
        <w:t xml:space="preserve"> avšak cca 2,5krát nižší než nejlépe placení Němci, se stali pracovníci z </w:t>
      </w:r>
      <w:r w:rsidRPr="00621D94">
        <w:rPr>
          <w:rFonts w:ascii="Calibri" w:hAnsi="Calibri" w:cs="Calibri"/>
          <w:b/>
          <w:sz w:val="26"/>
          <w:szCs w:val="26"/>
        </w:rPr>
        <w:t>Ruské federace.</w:t>
      </w:r>
      <w:r w:rsidRPr="00621D94">
        <w:rPr>
          <w:rFonts w:ascii="Calibri" w:hAnsi="Calibri" w:cs="Calibri"/>
          <w:sz w:val="26"/>
          <w:szCs w:val="26"/>
        </w:rPr>
        <w:t xml:space="preserve"> Více než tuzemští zaměstnanci si vydělali ještě občané Slovenska (45 751 Kč) a Rumunska (39 736 Kč). </w:t>
      </w:r>
      <w:r w:rsidRPr="00621D94">
        <w:rPr>
          <w:rFonts w:ascii="Calibri" w:hAnsi="Calibri" w:cs="Calibri"/>
          <w:b/>
          <w:sz w:val="26"/>
          <w:szCs w:val="26"/>
        </w:rPr>
        <w:t>Naopak nejnižší průměrnou mzdu 23 421 Kč obdrželi zaměstnanci z Vietnamu</w:t>
      </w:r>
      <w:r w:rsidRPr="00621D94">
        <w:rPr>
          <w:rFonts w:ascii="Calibri" w:hAnsi="Calibri" w:cs="Calibri"/>
          <w:sz w:val="26"/>
          <w:szCs w:val="26"/>
        </w:rPr>
        <w:t xml:space="preserve">, dále rovněž </w:t>
      </w:r>
      <w:r w:rsidRPr="00621D94">
        <w:rPr>
          <w:rFonts w:ascii="Calibri" w:hAnsi="Calibri" w:cs="Calibri"/>
          <w:b/>
          <w:sz w:val="26"/>
          <w:szCs w:val="26"/>
        </w:rPr>
        <w:t>z Mongolska</w:t>
      </w:r>
      <w:r w:rsidRPr="00621D94">
        <w:rPr>
          <w:rFonts w:ascii="Calibri" w:hAnsi="Calibri" w:cs="Calibri"/>
          <w:sz w:val="26"/>
          <w:szCs w:val="26"/>
        </w:rPr>
        <w:t xml:space="preserve"> (27 642 Kč) </w:t>
      </w:r>
      <w:r w:rsidRPr="00621D94">
        <w:rPr>
          <w:rFonts w:ascii="Calibri" w:hAnsi="Calibri" w:cs="Calibri"/>
          <w:b/>
          <w:sz w:val="26"/>
          <w:szCs w:val="26"/>
        </w:rPr>
        <w:t>a z Ukrajiny</w:t>
      </w:r>
      <w:r w:rsidRPr="00621D94">
        <w:rPr>
          <w:rFonts w:ascii="Calibri" w:hAnsi="Calibri" w:cs="Calibri"/>
          <w:sz w:val="26"/>
          <w:szCs w:val="26"/>
        </w:rPr>
        <w:t xml:space="preserve"> (28 586 Kč), u nichž převažuje výkon manuálních prací. </w:t>
      </w:r>
      <w:r w:rsidRPr="00621D94">
        <w:rPr>
          <w:rFonts w:ascii="Calibri" w:hAnsi="Calibri" w:cs="Calibri"/>
          <w:bCs/>
          <w:sz w:val="26"/>
          <w:szCs w:val="26"/>
        </w:rPr>
        <w:t>Vezmou-li se v úvahu pouze pracovníci vykonávající manuální práce, patřili k nejhůře odměňovaným občané Vietnamu (průměrná mzda 23 558 Kč), Ukrajiny (25 945 Kč) a Ruské federace (26 195 Kč). V nemanuálních profesích byli vedle výše zmíněných německých zaměstnanců (121 520 Kč) nejlépe placeni rovněž občané Rumunska (70 081 Kč) a Bulharska (66 636 Kč), což bylo dáno pravděpodobně tím, že tito zaměstnanci vykonávali nadstandardně placené řídící, vedoucí a manažerské funkce.</w:t>
      </w:r>
    </w:p>
    <w:p w14:paraId="45B816F4" w14:textId="29318980" w:rsidR="00621D94" w:rsidRPr="00621D94" w:rsidRDefault="00621D94" w:rsidP="0004205F">
      <w:pPr>
        <w:spacing w:after="240" w:line="360" w:lineRule="auto"/>
        <w:jc w:val="both"/>
        <w:rPr>
          <w:rFonts w:ascii="Calibri" w:hAnsi="Calibri" w:cs="Calibri"/>
          <w:sz w:val="26"/>
          <w:szCs w:val="26"/>
        </w:rPr>
      </w:pPr>
      <w:r w:rsidRPr="00621D94">
        <w:rPr>
          <w:rFonts w:ascii="Calibri" w:hAnsi="Calibri" w:cs="Calibri"/>
          <w:sz w:val="26"/>
          <w:szCs w:val="26"/>
        </w:rPr>
        <w:tab/>
      </w:r>
      <w:r w:rsidRPr="00621D94">
        <w:rPr>
          <w:rFonts w:ascii="Calibri" w:hAnsi="Calibri" w:cs="Calibri"/>
          <w:b/>
          <w:sz w:val="26"/>
          <w:szCs w:val="26"/>
        </w:rPr>
        <w:t>Průměrná mzda zaměstnanců s invalidním důchodem</w:t>
      </w:r>
      <w:r w:rsidRPr="00621D94">
        <w:rPr>
          <w:rFonts w:ascii="Calibri" w:hAnsi="Calibri" w:cs="Calibri"/>
          <w:sz w:val="26"/>
          <w:szCs w:val="26"/>
        </w:rPr>
        <w:t xml:space="preserve"> pro invaliditu prvního nebo druhého stupně dosáhla úrovně 26 611 Kč, u zaměstnanců s invalidním důchodem pro invaliditu třetího stupně byla o 505 Kč nižší a činila 26 106 Kč (tj.</w:t>
      </w:r>
      <w:r w:rsidR="00394280">
        <w:rPr>
          <w:rFonts w:ascii="Calibri" w:hAnsi="Calibri" w:cs="Calibri"/>
          <w:sz w:val="26"/>
          <w:szCs w:val="26"/>
        </w:rPr>
        <w:t> </w:t>
      </w:r>
      <w:r w:rsidRPr="00621D94">
        <w:rPr>
          <w:rFonts w:ascii="Calibri" w:hAnsi="Calibri" w:cs="Calibri"/>
          <w:sz w:val="26"/>
          <w:szCs w:val="26"/>
        </w:rPr>
        <w:t>cca</w:t>
      </w:r>
      <w:r w:rsidR="00394280">
        <w:rPr>
          <w:rFonts w:ascii="Calibri" w:hAnsi="Calibri" w:cs="Calibri"/>
          <w:sz w:val="26"/>
          <w:szCs w:val="26"/>
        </w:rPr>
        <w:t> </w:t>
      </w:r>
      <w:r w:rsidRPr="00621D94">
        <w:rPr>
          <w:rFonts w:ascii="Calibri" w:hAnsi="Calibri" w:cs="Calibri"/>
          <w:sz w:val="26"/>
          <w:szCs w:val="26"/>
        </w:rPr>
        <w:t>68 % průměrné mzdy všech zaměstnanců).</w:t>
      </w:r>
    </w:p>
    <w:p w14:paraId="42555A78" w14:textId="77777777" w:rsidR="00621D94" w:rsidRPr="00621D94" w:rsidRDefault="00621D94" w:rsidP="0004205F">
      <w:pPr>
        <w:spacing w:after="240" w:line="360" w:lineRule="auto"/>
        <w:jc w:val="both"/>
        <w:rPr>
          <w:rFonts w:ascii="Calibri" w:hAnsi="Calibri" w:cs="Calibri"/>
          <w:b/>
          <w:sz w:val="26"/>
          <w:szCs w:val="26"/>
        </w:rPr>
      </w:pPr>
      <w:r w:rsidRPr="00621D94">
        <w:rPr>
          <w:rFonts w:ascii="Calibri" w:hAnsi="Calibri" w:cs="Calibri"/>
          <w:sz w:val="26"/>
          <w:szCs w:val="26"/>
        </w:rPr>
        <w:tab/>
      </w:r>
      <w:r w:rsidRPr="00621D94">
        <w:rPr>
          <w:rFonts w:ascii="Calibri" w:hAnsi="Calibri" w:cs="Calibri"/>
          <w:b/>
          <w:sz w:val="26"/>
          <w:szCs w:val="26"/>
        </w:rPr>
        <w:t>Podrobné statistiky o výdělcích</w:t>
      </w:r>
      <w:r w:rsidRPr="00621D94">
        <w:rPr>
          <w:rFonts w:ascii="Calibri" w:hAnsi="Calibri" w:cs="Calibri"/>
          <w:sz w:val="26"/>
          <w:szCs w:val="26"/>
        </w:rPr>
        <w:t xml:space="preserve"> (včetně mzdové distribuce) jednotlivých skupin </w:t>
      </w:r>
      <w:r w:rsidRPr="00621D94">
        <w:rPr>
          <w:rFonts w:ascii="Calibri" w:hAnsi="Calibri" w:cs="Calibri"/>
          <w:b/>
          <w:sz w:val="26"/>
          <w:szCs w:val="26"/>
        </w:rPr>
        <w:t>zaměstnanců z Informačního systému o průměrném výdělku jsou součástí tabulkové přílohy</w:t>
      </w:r>
      <w:r w:rsidRPr="00621D94">
        <w:rPr>
          <w:rFonts w:ascii="Calibri" w:hAnsi="Calibri" w:cs="Calibri"/>
          <w:sz w:val="26"/>
          <w:szCs w:val="26"/>
        </w:rPr>
        <w:t xml:space="preserve"> v samostatné složce</w:t>
      </w:r>
      <w:r w:rsidRPr="00621D94">
        <w:rPr>
          <w:rFonts w:ascii="Calibri" w:hAnsi="Calibri" w:cs="Calibri"/>
          <w:bCs/>
          <w:sz w:val="26"/>
          <w:szCs w:val="26"/>
        </w:rPr>
        <w:t xml:space="preserve"> </w:t>
      </w:r>
      <w:r w:rsidRPr="00621D94">
        <w:rPr>
          <w:rFonts w:ascii="Calibri" w:hAnsi="Calibri" w:cs="Calibri"/>
          <w:b/>
          <w:sz w:val="26"/>
          <w:szCs w:val="26"/>
        </w:rPr>
        <w:t>na konci materiálu.</w:t>
      </w:r>
    </w:p>
    <w:p w14:paraId="1F88C9C3" w14:textId="77777777" w:rsidR="00120885" w:rsidRPr="005E50DE" w:rsidRDefault="00120885" w:rsidP="00120885">
      <w:r w:rsidRPr="005E50DE">
        <w:br w:type="page"/>
      </w:r>
    </w:p>
    <w:p w14:paraId="37577327" w14:textId="77777777" w:rsidR="0017713A" w:rsidRPr="00710980" w:rsidRDefault="0017713A" w:rsidP="0004205F">
      <w:pPr>
        <w:spacing w:after="240" w:line="360" w:lineRule="auto"/>
        <w:jc w:val="both"/>
        <w:rPr>
          <w:rFonts w:ascii="Calibri" w:eastAsia="Calibri" w:hAnsi="Calibri" w:cs="Calibri"/>
          <w:b/>
          <w:i/>
          <w:smallCaps/>
          <w:color w:val="1F497D"/>
          <w:sz w:val="36"/>
          <w:szCs w:val="36"/>
          <w:lang w:eastAsia="en-US"/>
        </w:rPr>
      </w:pPr>
      <w:r w:rsidRPr="00710980">
        <w:rPr>
          <w:rFonts w:ascii="Calibri" w:eastAsia="Calibri" w:hAnsi="Calibri" w:cs="Calibri"/>
          <w:b/>
          <w:i/>
          <w:smallCaps/>
          <w:color w:val="1F497D"/>
          <w:sz w:val="36"/>
          <w:szCs w:val="36"/>
          <w:lang w:eastAsia="en-US"/>
        </w:rPr>
        <w:lastRenderedPageBreak/>
        <w:t>1.3 Sociální příjmy</w:t>
      </w:r>
    </w:p>
    <w:p w14:paraId="054D5080" w14:textId="669638D5" w:rsidR="0017713A" w:rsidRPr="00AE008D" w:rsidRDefault="0017713A" w:rsidP="00B33B21">
      <w:pPr>
        <w:spacing w:after="360" w:line="360" w:lineRule="auto"/>
        <w:jc w:val="both"/>
        <w:rPr>
          <w:rFonts w:ascii="Calibri" w:eastAsia="Calibri" w:hAnsi="Calibri" w:cs="Calibri"/>
          <w:sz w:val="26"/>
          <w:szCs w:val="26"/>
          <w:lang w:eastAsia="en-US"/>
        </w:rPr>
      </w:pPr>
      <w:r w:rsidRPr="00AE008D">
        <w:rPr>
          <w:rFonts w:ascii="Calibri" w:eastAsia="Calibri" w:hAnsi="Calibri" w:cs="Calibri"/>
          <w:sz w:val="26"/>
          <w:szCs w:val="26"/>
          <w:lang w:eastAsia="en-US"/>
        </w:rPr>
        <w:tab/>
      </w:r>
      <w:r w:rsidRPr="00AE008D">
        <w:rPr>
          <w:rFonts w:ascii="Calibri" w:eastAsia="Calibri" w:hAnsi="Calibri" w:cs="Calibri"/>
          <w:b/>
          <w:sz w:val="26"/>
          <w:szCs w:val="26"/>
          <w:lang w:eastAsia="en-US"/>
        </w:rPr>
        <w:t>Míra</w:t>
      </w:r>
      <w:r w:rsidRPr="00AE008D">
        <w:rPr>
          <w:rFonts w:ascii="Calibri" w:eastAsia="Calibri" w:hAnsi="Calibri" w:cs="Calibri"/>
          <w:sz w:val="26"/>
          <w:szCs w:val="26"/>
          <w:lang w:eastAsia="en-US"/>
        </w:rPr>
        <w:t xml:space="preserve"> zatížení </w:t>
      </w:r>
      <w:r w:rsidRPr="00AE008D">
        <w:rPr>
          <w:rFonts w:ascii="Calibri" w:eastAsia="Calibri" w:hAnsi="Calibri" w:cs="Calibri"/>
          <w:b/>
          <w:sz w:val="26"/>
          <w:szCs w:val="26"/>
          <w:lang w:eastAsia="en-US"/>
        </w:rPr>
        <w:t>hrubého domácího produktu sociálními transfery</w:t>
      </w:r>
      <w:r w:rsidRPr="00AE008D">
        <w:rPr>
          <w:rFonts w:ascii="Calibri" w:eastAsia="Calibri" w:hAnsi="Calibri" w:cs="Calibri"/>
          <w:sz w:val="26"/>
          <w:szCs w:val="26"/>
          <w:lang w:eastAsia="en-US"/>
        </w:rPr>
        <w:t xml:space="preserve"> (relace objemu sociálních příjmů k objemu HDP v běžných cenách) </w:t>
      </w:r>
      <w:r w:rsidRPr="00AE008D">
        <w:rPr>
          <w:rFonts w:ascii="Calibri" w:eastAsia="Calibri" w:hAnsi="Calibri" w:cs="Calibri"/>
          <w:b/>
          <w:sz w:val="26"/>
          <w:szCs w:val="26"/>
          <w:lang w:eastAsia="en-US"/>
        </w:rPr>
        <w:t>v roce 2020</w:t>
      </w:r>
      <w:r w:rsidRPr="00AE008D">
        <w:rPr>
          <w:rFonts w:ascii="Calibri" w:eastAsia="Calibri" w:hAnsi="Calibri" w:cs="Calibri"/>
          <w:sz w:val="26"/>
          <w:szCs w:val="26"/>
          <w:lang w:eastAsia="en-US"/>
        </w:rPr>
        <w:t xml:space="preserve"> dosáhla </w:t>
      </w:r>
      <w:r w:rsidRPr="00AE008D">
        <w:rPr>
          <w:rFonts w:ascii="Calibri" w:eastAsia="Calibri" w:hAnsi="Calibri" w:cs="Calibri"/>
          <w:b/>
          <w:sz w:val="26"/>
          <w:szCs w:val="26"/>
          <w:lang w:eastAsia="en-US"/>
        </w:rPr>
        <w:t>11,7 %</w:t>
      </w:r>
      <w:r w:rsidRPr="00AE008D">
        <w:rPr>
          <w:rFonts w:ascii="Calibri" w:eastAsia="Calibri" w:hAnsi="Calibri" w:cs="Calibri"/>
          <w:sz w:val="26"/>
          <w:szCs w:val="26"/>
          <w:lang w:eastAsia="en-US"/>
        </w:rPr>
        <w:t>, což</w:t>
      </w:r>
      <w:r w:rsidR="00AE008D">
        <w:rPr>
          <w:rFonts w:ascii="Calibri" w:eastAsia="Calibri" w:hAnsi="Calibri" w:cs="Calibri"/>
          <w:sz w:val="26"/>
          <w:szCs w:val="26"/>
          <w:lang w:eastAsia="en-US"/>
        </w:rPr>
        <w:t> </w:t>
      </w:r>
      <w:r w:rsidRPr="00AE008D">
        <w:rPr>
          <w:rFonts w:ascii="Calibri" w:eastAsia="Calibri" w:hAnsi="Calibri" w:cs="Calibri"/>
          <w:sz w:val="26"/>
          <w:szCs w:val="26"/>
          <w:lang w:eastAsia="en-US"/>
        </w:rPr>
        <w:t>bylo o 1,6 p. b. více než v roce 2019.</w:t>
      </w:r>
    </w:p>
    <w:p w14:paraId="0215F80D" w14:textId="77777777" w:rsidR="0017713A" w:rsidRPr="0017713A" w:rsidRDefault="0017713A" w:rsidP="0017713A">
      <w:pPr>
        <w:spacing w:line="360" w:lineRule="auto"/>
        <w:jc w:val="both"/>
        <w:rPr>
          <w:rFonts w:ascii="Calibri" w:eastAsia="Calibri" w:hAnsi="Calibri" w:cs="Calibri"/>
          <w:color w:val="0070C0"/>
          <w:sz w:val="26"/>
          <w:szCs w:val="26"/>
          <w:lang w:eastAsia="en-US"/>
        </w:rPr>
      </w:pPr>
      <w:r w:rsidRPr="0017713A">
        <w:rPr>
          <w:rFonts w:ascii="Calibri" w:eastAsia="Calibri" w:hAnsi="Calibri"/>
          <w:noProof/>
          <w:sz w:val="22"/>
          <w:szCs w:val="22"/>
        </w:rPr>
        <w:drawing>
          <wp:inline distT="0" distB="0" distL="0" distR="0" wp14:anchorId="057D0521" wp14:editId="283A6442">
            <wp:extent cx="5760720" cy="387320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873200"/>
                    </a:xfrm>
                    <a:prstGeom prst="rect">
                      <a:avLst/>
                    </a:prstGeom>
                    <a:noFill/>
                  </pic:spPr>
                </pic:pic>
              </a:graphicData>
            </a:graphic>
          </wp:inline>
        </w:drawing>
      </w:r>
    </w:p>
    <w:p w14:paraId="1FD9AB05" w14:textId="77777777" w:rsidR="0017713A" w:rsidRPr="0017713A" w:rsidRDefault="0017713A" w:rsidP="00B33B21">
      <w:pPr>
        <w:spacing w:after="360" w:line="360" w:lineRule="auto"/>
        <w:jc w:val="both"/>
        <w:rPr>
          <w:rFonts w:ascii="Calibri" w:eastAsia="Calibri" w:hAnsi="Calibri" w:cs="Calibri"/>
          <w:sz w:val="22"/>
          <w:szCs w:val="22"/>
          <w:lang w:eastAsia="en-US"/>
        </w:rPr>
      </w:pPr>
      <w:r w:rsidRPr="0017713A">
        <w:rPr>
          <w:rFonts w:ascii="Calibri" w:eastAsia="Calibri" w:hAnsi="Calibri" w:cs="Calibri"/>
          <w:sz w:val="22"/>
          <w:szCs w:val="22"/>
          <w:lang w:eastAsia="en-US"/>
        </w:rPr>
        <w:t>Zpracováno z dat MPSV</w:t>
      </w:r>
    </w:p>
    <w:p w14:paraId="7C829D4E" w14:textId="5789C9BD" w:rsidR="0017713A" w:rsidRPr="0017713A" w:rsidRDefault="0017713A" w:rsidP="0017713A">
      <w:pPr>
        <w:spacing w:before="240" w:after="160" w:line="360" w:lineRule="auto"/>
        <w:jc w:val="both"/>
        <w:rPr>
          <w:rFonts w:ascii="Calibri" w:eastAsia="Calibri" w:hAnsi="Calibri" w:cs="Calibri"/>
          <w:sz w:val="26"/>
          <w:szCs w:val="26"/>
          <w:lang w:eastAsia="en-US"/>
        </w:rPr>
      </w:pPr>
      <w:r w:rsidRPr="00AE008D">
        <w:rPr>
          <w:rFonts w:ascii="Calibri" w:eastAsia="Calibri" w:hAnsi="Calibri" w:cs="Calibri"/>
          <w:sz w:val="26"/>
          <w:szCs w:val="26"/>
          <w:lang w:eastAsia="en-US"/>
        </w:rPr>
        <w:tab/>
      </w:r>
      <w:r w:rsidRPr="00AE008D">
        <w:rPr>
          <w:rFonts w:ascii="Calibri" w:eastAsia="Calibri" w:hAnsi="Calibri" w:cs="Calibri"/>
          <w:b/>
          <w:sz w:val="26"/>
          <w:szCs w:val="26"/>
          <w:lang w:eastAsia="en-US"/>
        </w:rPr>
        <w:t>Celkový objem</w:t>
      </w:r>
      <w:r w:rsidRPr="00AE008D">
        <w:rPr>
          <w:rFonts w:ascii="Calibri" w:eastAsia="Calibri" w:hAnsi="Calibri" w:cs="Calibri"/>
          <w:sz w:val="26"/>
          <w:szCs w:val="26"/>
          <w:lang w:eastAsia="en-US"/>
        </w:rPr>
        <w:t xml:space="preserve"> sociálních příjmů (druhé nejvyšší složky peněžních příjmů </w:t>
      </w:r>
      <w:r w:rsidRPr="0017713A">
        <w:rPr>
          <w:rFonts w:ascii="Calibri" w:eastAsia="Calibri" w:hAnsi="Calibri" w:cs="Calibri"/>
          <w:sz w:val="26"/>
          <w:szCs w:val="26"/>
          <w:lang w:eastAsia="en-US"/>
        </w:rPr>
        <w:t xml:space="preserve">domácností) </w:t>
      </w:r>
      <w:r w:rsidRPr="0017713A">
        <w:rPr>
          <w:rFonts w:ascii="Calibri" w:eastAsia="Calibri" w:hAnsi="Calibri" w:cs="Calibri"/>
          <w:b/>
          <w:sz w:val="26"/>
          <w:szCs w:val="26"/>
          <w:lang w:eastAsia="en-US"/>
        </w:rPr>
        <w:t>dosáhl v roce 2020</w:t>
      </w:r>
      <w:r w:rsidRPr="0017713A">
        <w:rPr>
          <w:rFonts w:ascii="Calibri" w:eastAsia="Calibri" w:hAnsi="Calibri" w:cs="Calibri"/>
          <w:sz w:val="26"/>
          <w:szCs w:val="26"/>
          <w:lang w:eastAsia="en-US"/>
        </w:rPr>
        <w:t xml:space="preserve"> částky </w:t>
      </w:r>
      <w:r w:rsidRPr="0017713A">
        <w:rPr>
          <w:rFonts w:ascii="Calibri" w:eastAsia="Calibri" w:hAnsi="Calibri" w:cs="Calibri"/>
          <w:b/>
          <w:sz w:val="26"/>
          <w:szCs w:val="26"/>
          <w:lang w:eastAsia="en-US"/>
        </w:rPr>
        <w:t>661,4</w:t>
      </w:r>
      <w:r>
        <w:rPr>
          <w:rFonts w:ascii="Calibri" w:eastAsia="Calibri" w:hAnsi="Calibri" w:cs="Calibri"/>
          <w:b/>
          <w:sz w:val="26"/>
          <w:szCs w:val="26"/>
          <w:lang w:eastAsia="en-US"/>
        </w:rPr>
        <w:t> </w:t>
      </w:r>
      <w:r w:rsidRPr="0017713A">
        <w:rPr>
          <w:rFonts w:ascii="Calibri" w:eastAsia="Calibri" w:hAnsi="Calibri" w:cs="Calibri"/>
          <w:b/>
          <w:sz w:val="26"/>
          <w:szCs w:val="26"/>
          <w:lang w:eastAsia="en-US"/>
        </w:rPr>
        <w:t>mld.</w:t>
      </w:r>
      <w:r>
        <w:rPr>
          <w:rFonts w:ascii="Calibri" w:eastAsia="Calibri" w:hAnsi="Calibri" w:cs="Calibri"/>
          <w:b/>
          <w:sz w:val="26"/>
          <w:szCs w:val="26"/>
          <w:lang w:eastAsia="en-US"/>
        </w:rPr>
        <w:t> </w:t>
      </w:r>
      <w:r w:rsidRPr="0017713A">
        <w:rPr>
          <w:rFonts w:ascii="Calibri" w:eastAsia="Calibri" w:hAnsi="Calibri" w:cs="Calibri"/>
          <w:b/>
          <w:sz w:val="26"/>
          <w:szCs w:val="26"/>
          <w:lang w:eastAsia="en-US"/>
        </w:rPr>
        <w:t>Kč</w:t>
      </w:r>
      <w:r w:rsidRPr="0017713A">
        <w:rPr>
          <w:rFonts w:ascii="Calibri" w:eastAsia="Calibri" w:hAnsi="Calibri" w:cs="Calibri"/>
          <w:sz w:val="26"/>
          <w:szCs w:val="26"/>
          <w:lang w:eastAsia="en-US"/>
        </w:rPr>
        <w:t xml:space="preserve"> a </w:t>
      </w:r>
      <w:r w:rsidRPr="0017713A">
        <w:rPr>
          <w:rFonts w:ascii="Calibri" w:eastAsia="Calibri" w:hAnsi="Calibri" w:cs="Calibri"/>
          <w:b/>
          <w:sz w:val="26"/>
          <w:szCs w:val="26"/>
          <w:lang w:eastAsia="en-US"/>
        </w:rPr>
        <w:t>převýšil</w:t>
      </w:r>
      <w:r w:rsidRPr="0017713A">
        <w:rPr>
          <w:rFonts w:ascii="Calibri" w:eastAsia="Calibri" w:hAnsi="Calibri" w:cs="Calibri"/>
          <w:sz w:val="26"/>
          <w:szCs w:val="26"/>
          <w:lang w:eastAsia="en-US"/>
        </w:rPr>
        <w:t xml:space="preserve"> skutečnost stejného období roku </w:t>
      </w:r>
      <w:r w:rsidRPr="0017713A">
        <w:rPr>
          <w:rFonts w:ascii="Calibri" w:eastAsia="Calibri" w:hAnsi="Calibri" w:cs="Calibri"/>
          <w:b/>
          <w:sz w:val="26"/>
          <w:szCs w:val="26"/>
          <w:lang w:eastAsia="en-US"/>
        </w:rPr>
        <w:t>2019 o</w:t>
      </w:r>
      <w:r w:rsidR="00AE008D">
        <w:rPr>
          <w:rFonts w:ascii="Calibri" w:eastAsia="Calibri" w:hAnsi="Calibri" w:cs="Calibri"/>
          <w:b/>
          <w:sz w:val="26"/>
          <w:szCs w:val="26"/>
          <w:lang w:eastAsia="en-US"/>
        </w:rPr>
        <w:t> </w:t>
      </w:r>
      <w:r w:rsidRPr="0017713A">
        <w:rPr>
          <w:rFonts w:ascii="Calibri" w:eastAsia="Calibri" w:hAnsi="Calibri" w:cs="Calibri"/>
          <w:b/>
          <w:sz w:val="26"/>
          <w:szCs w:val="26"/>
          <w:lang w:eastAsia="en-US"/>
        </w:rPr>
        <w:t>82,8</w:t>
      </w:r>
      <w:r>
        <w:rPr>
          <w:rFonts w:ascii="Calibri" w:eastAsia="Calibri" w:hAnsi="Calibri" w:cs="Calibri"/>
          <w:b/>
          <w:sz w:val="26"/>
          <w:szCs w:val="26"/>
          <w:lang w:eastAsia="en-US"/>
        </w:rPr>
        <w:t> </w:t>
      </w:r>
      <w:r w:rsidRPr="0017713A">
        <w:rPr>
          <w:rFonts w:ascii="Calibri" w:eastAsia="Calibri" w:hAnsi="Calibri" w:cs="Calibri"/>
          <w:b/>
          <w:sz w:val="26"/>
          <w:szCs w:val="26"/>
          <w:lang w:eastAsia="en-US"/>
        </w:rPr>
        <w:t>mld.</w:t>
      </w:r>
      <w:r>
        <w:rPr>
          <w:rFonts w:ascii="Calibri" w:eastAsia="Calibri" w:hAnsi="Calibri" w:cs="Calibri"/>
          <w:b/>
          <w:sz w:val="26"/>
          <w:szCs w:val="26"/>
          <w:lang w:eastAsia="en-US"/>
        </w:rPr>
        <w:t> </w:t>
      </w:r>
      <w:r w:rsidRPr="0017713A">
        <w:rPr>
          <w:rFonts w:ascii="Calibri" w:eastAsia="Calibri" w:hAnsi="Calibri" w:cs="Calibri"/>
          <w:b/>
          <w:sz w:val="26"/>
          <w:szCs w:val="26"/>
          <w:lang w:eastAsia="en-US"/>
        </w:rPr>
        <w:t>Kč</w:t>
      </w:r>
      <w:r w:rsidRPr="0017713A">
        <w:rPr>
          <w:rFonts w:ascii="Calibri" w:eastAsia="Calibri" w:hAnsi="Calibri" w:cs="Calibri"/>
          <w:sz w:val="26"/>
          <w:szCs w:val="26"/>
          <w:lang w:eastAsia="en-US"/>
        </w:rPr>
        <w:t>, tj. o</w:t>
      </w:r>
      <w:r w:rsidR="00AE008D">
        <w:rPr>
          <w:rFonts w:ascii="Calibri" w:eastAsia="Calibri" w:hAnsi="Calibri" w:cs="Calibri"/>
          <w:sz w:val="26"/>
          <w:szCs w:val="26"/>
          <w:lang w:eastAsia="en-US"/>
        </w:rPr>
        <w:t> </w:t>
      </w:r>
      <w:r w:rsidRPr="0017713A">
        <w:rPr>
          <w:rFonts w:ascii="Calibri" w:eastAsia="Calibri" w:hAnsi="Calibri" w:cs="Calibri"/>
          <w:sz w:val="26"/>
          <w:szCs w:val="26"/>
          <w:lang w:eastAsia="en-US"/>
        </w:rPr>
        <w:t>14,3</w:t>
      </w:r>
      <w:r>
        <w:rPr>
          <w:rFonts w:ascii="Calibri" w:eastAsia="Calibri" w:hAnsi="Calibri" w:cs="Calibri"/>
          <w:sz w:val="26"/>
          <w:szCs w:val="26"/>
          <w:lang w:eastAsia="en-US"/>
        </w:rPr>
        <w:t> </w:t>
      </w:r>
      <w:r w:rsidRPr="0017713A">
        <w:rPr>
          <w:rFonts w:ascii="Calibri" w:eastAsia="Calibri" w:hAnsi="Calibri" w:cs="Calibri"/>
          <w:sz w:val="26"/>
          <w:szCs w:val="26"/>
          <w:lang w:eastAsia="en-US"/>
        </w:rPr>
        <w:t>% nominálně a 10,8</w:t>
      </w:r>
      <w:r>
        <w:rPr>
          <w:rFonts w:ascii="Calibri" w:eastAsia="Calibri" w:hAnsi="Calibri" w:cs="Calibri"/>
          <w:sz w:val="26"/>
          <w:szCs w:val="26"/>
          <w:lang w:eastAsia="en-US"/>
        </w:rPr>
        <w:t> </w:t>
      </w:r>
      <w:r w:rsidRPr="0017713A">
        <w:rPr>
          <w:rFonts w:ascii="Calibri" w:eastAsia="Calibri" w:hAnsi="Calibri" w:cs="Calibri"/>
          <w:sz w:val="26"/>
          <w:szCs w:val="26"/>
          <w:lang w:eastAsia="en-US"/>
        </w:rPr>
        <w:t>% reálně. Podíl sociálních příjmů ve struktuře celkových příjmů domácností dosáhl 17,4</w:t>
      </w:r>
      <w:r>
        <w:rPr>
          <w:rFonts w:ascii="Calibri" w:eastAsia="Calibri" w:hAnsi="Calibri" w:cs="Calibri"/>
          <w:sz w:val="26"/>
          <w:szCs w:val="26"/>
          <w:lang w:eastAsia="en-US"/>
        </w:rPr>
        <w:t> </w:t>
      </w:r>
      <w:r w:rsidRPr="0017713A">
        <w:rPr>
          <w:rFonts w:ascii="Calibri" w:eastAsia="Calibri" w:hAnsi="Calibri" w:cs="Calibri"/>
          <w:sz w:val="26"/>
          <w:szCs w:val="26"/>
          <w:lang w:eastAsia="en-US"/>
        </w:rPr>
        <w:t xml:space="preserve">% a byl o 1,8 p. b. vyšší než v roce 2019. </w:t>
      </w:r>
      <w:r w:rsidRPr="0017713A">
        <w:rPr>
          <w:rFonts w:ascii="Calibri" w:eastAsia="Calibri" w:hAnsi="Calibri" w:cs="Calibri"/>
          <w:b/>
          <w:sz w:val="26"/>
          <w:szCs w:val="26"/>
          <w:lang w:eastAsia="en-US"/>
        </w:rPr>
        <w:t>Pokles</w:t>
      </w:r>
      <w:r w:rsidRPr="0017713A">
        <w:rPr>
          <w:rFonts w:ascii="Calibri" w:eastAsia="Calibri" w:hAnsi="Calibri" w:cs="Calibri"/>
          <w:sz w:val="26"/>
          <w:szCs w:val="26"/>
          <w:lang w:eastAsia="en-US"/>
        </w:rPr>
        <w:t xml:space="preserve"> byl zaznamenán pouze u </w:t>
      </w:r>
      <w:r w:rsidRPr="0017713A">
        <w:rPr>
          <w:rFonts w:ascii="Calibri" w:eastAsia="Calibri" w:hAnsi="Calibri" w:cs="Calibri"/>
          <w:b/>
          <w:sz w:val="26"/>
          <w:szCs w:val="26"/>
          <w:lang w:eastAsia="en-US"/>
        </w:rPr>
        <w:t>dávek pro osoby se zdravotním postižením</w:t>
      </w:r>
      <w:r w:rsidRPr="0017713A">
        <w:rPr>
          <w:rFonts w:ascii="Calibri" w:eastAsia="Calibri" w:hAnsi="Calibri" w:cs="Calibri"/>
          <w:sz w:val="26"/>
          <w:szCs w:val="26"/>
          <w:lang w:eastAsia="en-US"/>
        </w:rPr>
        <w:t xml:space="preserve">. </w:t>
      </w:r>
      <w:r w:rsidRPr="0017713A">
        <w:rPr>
          <w:rFonts w:ascii="Calibri" w:eastAsia="Calibri" w:hAnsi="Calibri" w:cs="Calibri"/>
          <w:b/>
          <w:sz w:val="26"/>
          <w:szCs w:val="26"/>
          <w:lang w:eastAsia="en-US"/>
        </w:rPr>
        <w:t>Příjmy</w:t>
      </w:r>
      <w:r w:rsidRPr="0017713A">
        <w:rPr>
          <w:rFonts w:ascii="Calibri" w:eastAsia="Calibri" w:hAnsi="Calibri" w:cs="Calibri"/>
          <w:sz w:val="26"/>
          <w:szCs w:val="26"/>
          <w:lang w:eastAsia="en-US"/>
        </w:rPr>
        <w:t xml:space="preserve"> občanů </w:t>
      </w:r>
      <w:r w:rsidRPr="0017713A">
        <w:rPr>
          <w:rFonts w:ascii="Calibri" w:eastAsia="Calibri" w:hAnsi="Calibri" w:cs="Calibri"/>
          <w:b/>
          <w:sz w:val="26"/>
          <w:szCs w:val="26"/>
          <w:lang w:eastAsia="en-US"/>
        </w:rPr>
        <w:t>ze všech ostatních sociálních dávek se zvýšily</w:t>
      </w:r>
      <w:r w:rsidRPr="0017713A">
        <w:rPr>
          <w:rFonts w:ascii="Calibri" w:eastAsia="Calibri" w:hAnsi="Calibri" w:cs="Calibri"/>
          <w:sz w:val="26"/>
          <w:szCs w:val="26"/>
          <w:lang w:eastAsia="en-US"/>
        </w:rPr>
        <w:t xml:space="preserve"> – viz tabulku č.</w:t>
      </w:r>
      <w:r>
        <w:rPr>
          <w:rFonts w:ascii="Calibri" w:eastAsia="Calibri" w:hAnsi="Calibri" w:cs="Calibri"/>
          <w:sz w:val="26"/>
          <w:szCs w:val="26"/>
          <w:lang w:eastAsia="en-US"/>
        </w:rPr>
        <w:t> </w:t>
      </w:r>
      <w:r w:rsidRPr="0017713A">
        <w:rPr>
          <w:rFonts w:ascii="Calibri" w:eastAsia="Calibri" w:hAnsi="Calibri" w:cs="Calibri"/>
          <w:sz w:val="26"/>
          <w:szCs w:val="26"/>
          <w:lang w:eastAsia="en-US"/>
        </w:rPr>
        <w:t>8 v</w:t>
      </w:r>
      <w:r w:rsidR="00AE008D">
        <w:rPr>
          <w:rFonts w:ascii="Calibri" w:eastAsia="Calibri" w:hAnsi="Calibri" w:cs="Calibri"/>
          <w:sz w:val="26"/>
          <w:szCs w:val="26"/>
          <w:lang w:eastAsia="en-US"/>
        </w:rPr>
        <w:t> </w:t>
      </w:r>
      <w:r w:rsidRPr="0017713A">
        <w:rPr>
          <w:rFonts w:ascii="Calibri" w:eastAsia="Calibri" w:hAnsi="Calibri" w:cs="Calibri"/>
          <w:sz w:val="26"/>
          <w:szCs w:val="26"/>
          <w:lang w:eastAsia="en-US"/>
        </w:rPr>
        <w:t>příloze. Strukturální rozložení celkových sociálních příjmů domácností znázorňuje předchozí graf.</w:t>
      </w:r>
    </w:p>
    <w:p w14:paraId="39D9BCE9" w14:textId="7354E010" w:rsidR="0017713A" w:rsidRPr="0017713A" w:rsidRDefault="00AE008D" w:rsidP="0004205F">
      <w:pPr>
        <w:spacing w:after="240" w:line="360" w:lineRule="auto"/>
        <w:jc w:val="both"/>
        <w:rPr>
          <w:rFonts w:ascii="Calibri" w:eastAsia="Calibri" w:hAnsi="Calibri" w:cs="Calibri"/>
          <w:sz w:val="26"/>
          <w:szCs w:val="26"/>
          <w:lang w:eastAsia="en-US"/>
        </w:rPr>
      </w:pPr>
      <w:r>
        <w:rPr>
          <w:rFonts w:ascii="Calibri" w:eastAsia="Calibri" w:hAnsi="Calibri" w:cs="Calibri"/>
          <w:sz w:val="26"/>
          <w:szCs w:val="26"/>
          <w:lang w:eastAsia="en-US"/>
        </w:rPr>
        <w:lastRenderedPageBreak/>
        <w:tab/>
      </w:r>
      <w:r w:rsidR="0017713A" w:rsidRPr="0017713A">
        <w:rPr>
          <w:rFonts w:ascii="Calibri" w:eastAsia="Calibri" w:hAnsi="Calibri" w:cs="Calibri"/>
          <w:b/>
          <w:sz w:val="26"/>
          <w:szCs w:val="26"/>
          <w:u w:val="single"/>
          <w:lang w:eastAsia="en-US"/>
        </w:rPr>
        <w:t>Dávky důchodového pojištění</w:t>
      </w:r>
      <w:r w:rsidR="0017713A" w:rsidRPr="0017713A">
        <w:rPr>
          <w:rFonts w:ascii="Calibri" w:eastAsia="Calibri" w:hAnsi="Calibri" w:cs="Calibri"/>
          <w:sz w:val="26"/>
          <w:szCs w:val="26"/>
          <w:lang w:eastAsia="en-US"/>
        </w:rPr>
        <w:t xml:space="preserve">, na které bylo poskytnuto (bez dávek vyplácených do ciziny) </w:t>
      </w:r>
      <w:r w:rsidR="0017713A" w:rsidRPr="0017713A">
        <w:rPr>
          <w:rFonts w:ascii="Calibri" w:eastAsia="Calibri" w:hAnsi="Calibri" w:cs="Calibri"/>
          <w:b/>
          <w:sz w:val="26"/>
          <w:szCs w:val="26"/>
          <w:lang w:eastAsia="en-US"/>
        </w:rPr>
        <w:t>503,5</w:t>
      </w:r>
      <w:r w:rsidR="0017713A">
        <w:rPr>
          <w:rFonts w:ascii="Calibri" w:eastAsia="Calibri" w:hAnsi="Calibri" w:cs="Calibri"/>
          <w:b/>
          <w:sz w:val="26"/>
          <w:szCs w:val="26"/>
          <w:lang w:eastAsia="en-US"/>
        </w:rPr>
        <w:t> </w:t>
      </w:r>
      <w:r w:rsidR="0017713A" w:rsidRPr="0017713A">
        <w:rPr>
          <w:rFonts w:ascii="Calibri" w:eastAsia="Calibri" w:hAnsi="Calibri" w:cs="Calibri"/>
          <w:b/>
          <w:sz w:val="26"/>
          <w:szCs w:val="26"/>
          <w:lang w:eastAsia="en-US"/>
        </w:rPr>
        <w:t>mld.</w:t>
      </w:r>
      <w:r w:rsidR="0017713A">
        <w:rPr>
          <w:rFonts w:ascii="Calibri" w:eastAsia="Calibri" w:hAnsi="Calibri" w:cs="Calibri"/>
          <w:b/>
          <w:sz w:val="26"/>
          <w:szCs w:val="26"/>
          <w:lang w:eastAsia="en-US"/>
        </w:rPr>
        <w:t> </w:t>
      </w:r>
      <w:r w:rsidR="0017713A" w:rsidRPr="0017713A">
        <w:rPr>
          <w:rFonts w:ascii="Calibri" w:eastAsia="Calibri" w:hAnsi="Calibri" w:cs="Calibri"/>
          <w:b/>
          <w:sz w:val="26"/>
          <w:szCs w:val="26"/>
          <w:lang w:eastAsia="en-US"/>
        </w:rPr>
        <w:t>Kč</w:t>
      </w:r>
      <w:r w:rsidR="0017713A" w:rsidRPr="0017713A">
        <w:rPr>
          <w:rFonts w:ascii="Calibri" w:eastAsia="Calibri" w:hAnsi="Calibri" w:cs="Calibri"/>
          <w:sz w:val="26"/>
          <w:szCs w:val="26"/>
          <w:lang w:eastAsia="en-US"/>
        </w:rPr>
        <w:t xml:space="preserve">, tj. </w:t>
      </w:r>
      <w:r w:rsidR="0017713A" w:rsidRPr="0017713A">
        <w:rPr>
          <w:rFonts w:ascii="Calibri" w:eastAsia="Calibri" w:hAnsi="Calibri" w:cs="Calibri"/>
          <w:b/>
          <w:sz w:val="26"/>
          <w:szCs w:val="26"/>
          <w:lang w:eastAsia="en-US"/>
        </w:rPr>
        <w:t>o</w:t>
      </w:r>
      <w:r>
        <w:rPr>
          <w:rFonts w:ascii="Calibri" w:eastAsia="Calibri" w:hAnsi="Calibri" w:cs="Calibri"/>
          <w:b/>
          <w:sz w:val="26"/>
          <w:szCs w:val="26"/>
          <w:lang w:eastAsia="en-US"/>
        </w:rPr>
        <w:t> </w:t>
      </w:r>
      <w:r w:rsidR="0017713A" w:rsidRPr="0017713A">
        <w:rPr>
          <w:rFonts w:ascii="Calibri" w:eastAsia="Calibri" w:hAnsi="Calibri" w:cs="Calibri"/>
          <w:b/>
          <w:sz w:val="26"/>
          <w:szCs w:val="26"/>
          <w:lang w:eastAsia="en-US"/>
        </w:rPr>
        <w:t>46,6</w:t>
      </w:r>
      <w:r w:rsidR="0017713A">
        <w:rPr>
          <w:rFonts w:ascii="Calibri" w:eastAsia="Calibri" w:hAnsi="Calibri" w:cs="Calibri"/>
          <w:b/>
          <w:sz w:val="26"/>
          <w:szCs w:val="26"/>
          <w:lang w:eastAsia="en-US"/>
        </w:rPr>
        <w:t> </w:t>
      </w:r>
      <w:r w:rsidR="0017713A" w:rsidRPr="0017713A">
        <w:rPr>
          <w:rFonts w:ascii="Calibri" w:eastAsia="Calibri" w:hAnsi="Calibri" w:cs="Calibri"/>
          <w:b/>
          <w:sz w:val="26"/>
          <w:szCs w:val="26"/>
          <w:lang w:eastAsia="en-US"/>
        </w:rPr>
        <w:t>mld.</w:t>
      </w:r>
      <w:r w:rsidR="0017713A">
        <w:rPr>
          <w:rFonts w:ascii="Calibri" w:eastAsia="Calibri" w:hAnsi="Calibri" w:cs="Calibri"/>
          <w:b/>
          <w:sz w:val="26"/>
          <w:szCs w:val="26"/>
          <w:lang w:eastAsia="en-US"/>
        </w:rPr>
        <w:t> </w:t>
      </w:r>
      <w:r w:rsidR="0017713A" w:rsidRPr="0017713A">
        <w:rPr>
          <w:rFonts w:ascii="Calibri" w:eastAsia="Calibri" w:hAnsi="Calibri" w:cs="Calibri"/>
          <w:b/>
          <w:sz w:val="26"/>
          <w:szCs w:val="26"/>
          <w:lang w:eastAsia="en-US"/>
        </w:rPr>
        <w:t>Kč</w:t>
      </w:r>
      <w:r w:rsidR="0017713A" w:rsidRPr="0017713A">
        <w:rPr>
          <w:rFonts w:ascii="Calibri" w:eastAsia="Calibri" w:hAnsi="Calibri" w:cs="Calibri"/>
          <w:sz w:val="26"/>
          <w:szCs w:val="26"/>
          <w:lang w:eastAsia="en-US"/>
        </w:rPr>
        <w:t xml:space="preserve"> (o</w:t>
      </w:r>
      <w:r w:rsidR="0017713A">
        <w:rPr>
          <w:rFonts w:ascii="Calibri" w:eastAsia="Calibri" w:hAnsi="Calibri" w:cs="Calibri"/>
          <w:sz w:val="26"/>
          <w:szCs w:val="26"/>
          <w:lang w:eastAsia="en-US"/>
        </w:rPr>
        <w:t> </w:t>
      </w:r>
      <w:r w:rsidR="0017713A" w:rsidRPr="0017713A">
        <w:rPr>
          <w:rFonts w:ascii="Calibri" w:eastAsia="Calibri" w:hAnsi="Calibri" w:cs="Calibri"/>
          <w:sz w:val="26"/>
          <w:szCs w:val="26"/>
          <w:lang w:eastAsia="en-US"/>
        </w:rPr>
        <w:t>10,2</w:t>
      </w:r>
      <w:r w:rsidR="0017713A">
        <w:rPr>
          <w:rFonts w:ascii="Calibri" w:eastAsia="Calibri" w:hAnsi="Calibri" w:cs="Calibri"/>
          <w:sz w:val="26"/>
          <w:szCs w:val="26"/>
          <w:lang w:eastAsia="en-US"/>
        </w:rPr>
        <w:t> </w:t>
      </w:r>
      <w:r w:rsidR="0017713A" w:rsidRPr="0017713A">
        <w:rPr>
          <w:rFonts w:ascii="Calibri" w:eastAsia="Calibri" w:hAnsi="Calibri" w:cs="Calibri"/>
          <w:sz w:val="26"/>
          <w:szCs w:val="26"/>
          <w:lang w:eastAsia="en-US"/>
        </w:rPr>
        <w:t xml:space="preserve">%) </w:t>
      </w:r>
      <w:r w:rsidR="0017713A" w:rsidRPr="0017713A">
        <w:rPr>
          <w:rFonts w:ascii="Calibri" w:eastAsia="Calibri" w:hAnsi="Calibri" w:cs="Calibri"/>
          <w:b/>
          <w:sz w:val="26"/>
          <w:szCs w:val="26"/>
          <w:lang w:eastAsia="en-US"/>
        </w:rPr>
        <w:t>více</w:t>
      </w:r>
      <w:r w:rsidR="0017713A" w:rsidRPr="0017713A">
        <w:rPr>
          <w:rFonts w:ascii="Calibri" w:eastAsia="Calibri" w:hAnsi="Calibri" w:cs="Calibri"/>
          <w:sz w:val="26"/>
          <w:szCs w:val="26"/>
          <w:lang w:eastAsia="en-US"/>
        </w:rPr>
        <w:t xml:space="preserve"> než ve srovnatelném období roku 2019, se podílely na celkové úrovni sociálních příjmů domácností 76,2</w:t>
      </w:r>
      <w:r w:rsidR="0017713A">
        <w:rPr>
          <w:rFonts w:ascii="Calibri" w:eastAsia="Calibri" w:hAnsi="Calibri" w:cs="Calibri"/>
          <w:sz w:val="26"/>
          <w:szCs w:val="26"/>
          <w:lang w:eastAsia="en-US"/>
        </w:rPr>
        <w:t> </w:t>
      </w:r>
      <w:r w:rsidR="0017713A" w:rsidRPr="0017713A">
        <w:rPr>
          <w:rFonts w:ascii="Calibri" w:eastAsia="Calibri" w:hAnsi="Calibri" w:cs="Calibri"/>
          <w:sz w:val="26"/>
          <w:szCs w:val="26"/>
          <w:lang w:eastAsia="en-US"/>
        </w:rPr>
        <w:t>% – viz tabulku č.</w:t>
      </w:r>
      <w:r w:rsidR="0017713A">
        <w:rPr>
          <w:rFonts w:ascii="Calibri" w:eastAsia="Calibri" w:hAnsi="Calibri" w:cs="Calibri"/>
          <w:sz w:val="26"/>
          <w:szCs w:val="26"/>
          <w:lang w:eastAsia="en-US"/>
        </w:rPr>
        <w:t> </w:t>
      </w:r>
      <w:r w:rsidR="0017713A" w:rsidRPr="0017713A">
        <w:rPr>
          <w:rFonts w:ascii="Calibri" w:eastAsia="Calibri" w:hAnsi="Calibri" w:cs="Calibri"/>
          <w:sz w:val="26"/>
          <w:szCs w:val="26"/>
          <w:lang w:eastAsia="en-US"/>
        </w:rPr>
        <w:t>8 v příloze. Výdaje související s </w:t>
      </w:r>
      <w:r w:rsidR="0017713A" w:rsidRPr="0017713A">
        <w:rPr>
          <w:rFonts w:ascii="Calibri" w:eastAsia="Calibri" w:hAnsi="Calibri" w:cs="Calibri"/>
          <w:b/>
          <w:sz w:val="26"/>
          <w:szCs w:val="26"/>
          <w:lang w:eastAsia="en-US"/>
        </w:rPr>
        <w:t>valorizací důchodů</w:t>
      </w:r>
      <w:r w:rsidR="0017713A" w:rsidRPr="0017713A">
        <w:rPr>
          <w:rFonts w:ascii="Calibri" w:eastAsia="Calibri" w:hAnsi="Calibri" w:cs="Calibri"/>
          <w:sz w:val="26"/>
          <w:szCs w:val="26"/>
          <w:lang w:eastAsia="en-US"/>
        </w:rPr>
        <w:t xml:space="preserve">, která proběhla v lednu 2020, činily od počátku roku </w:t>
      </w:r>
      <w:r w:rsidR="0017713A" w:rsidRPr="0017713A">
        <w:rPr>
          <w:rFonts w:ascii="Calibri" w:eastAsia="Calibri" w:hAnsi="Calibri" w:cs="Calibri"/>
          <w:b/>
          <w:sz w:val="26"/>
          <w:szCs w:val="26"/>
          <w:lang w:eastAsia="en-US"/>
        </w:rPr>
        <w:t>30,0</w:t>
      </w:r>
      <w:r w:rsidR="00705A01">
        <w:rPr>
          <w:rFonts w:ascii="Calibri" w:eastAsia="Calibri" w:hAnsi="Calibri" w:cs="Calibri"/>
          <w:b/>
          <w:sz w:val="26"/>
          <w:szCs w:val="26"/>
          <w:lang w:eastAsia="en-US"/>
        </w:rPr>
        <w:t> </w:t>
      </w:r>
      <w:r w:rsidR="0017713A" w:rsidRPr="0017713A">
        <w:rPr>
          <w:rFonts w:ascii="Calibri" w:eastAsia="Calibri" w:hAnsi="Calibri" w:cs="Calibri"/>
          <w:b/>
          <w:sz w:val="26"/>
          <w:szCs w:val="26"/>
          <w:lang w:eastAsia="en-US"/>
        </w:rPr>
        <w:t>mld.</w:t>
      </w:r>
      <w:r w:rsidR="00705A01">
        <w:rPr>
          <w:rFonts w:ascii="Calibri" w:eastAsia="Calibri" w:hAnsi="Calibri" w:cs="Calibri"/>
          <w:b/>
          <w:sz w:val="26"/>
          <w:szCs w:val="26"/>
          <w:lang w:eastAsia="en-US"/>
        </w:rPr>
        <w:t> </w:t>
      </w:r>
      <w:r w:rsidR="0017713A" w:rsidRPr="0017713A">
        <w:rPr>
          <w:rFonts w:ascii="Calibri" w:eastAsia="Calibri" w:hAnsi="Calibri" w:cs="Calibri"/>
          <w:b/>
          <w:sz w:val="26"/>
          <w:szCs w:val="26"/>
          <w:lang w:eastAsia="en-US"/>
        </w:rPr>
        <w:t>Kč</w:t>
      </w:r>
      <w:r w:rsidR="0017713A" w:rsidRPr="0017713A">
        <w:rPr>
          <w:rFonts w:ascii="Calibri" w:eastAsia="Calibri" w:hAnsi="Calibri" w:cs="Calibri"/>
          <w:sz w:val="26"/>
          <w:szCs w:val="26"/>
          <w:lang w:eastAsia="en-US"/>
        </w:rPr>
        <w:t>.</w:t>
      </w:r>
    </w:p>
    <w:p w14:paraId="71310EFB" w14:textId="7E994E46" w:rsidR="0017713A" w:rsidRPr="00AE008D" w:rsidRDefault="0017713A" w:rsidP="0004205F">
      <w:pPr>
        <w:spacing w:after="240" w:line="360" w:lineRule="auto"/>
        <w:jc w:val="both"/>
        <w:rPr>
          <w:rFonts w:ascii="Calibri" w:eastAsia="Calibri" w:hAnsi="Calibri" w:cs="Calibri"/>
          <w:sz w:val="26"/>
          <w:szCs w:val="26"/>
          <w:lang w:eastAsia="en-US"/>
        </w:rPr>
      </w:pPr>
      <w:r w:rsidRPr="00AE008D">
        <w:rPr>
          <w:rFonts w:ascii="Calibri" w:eastAsia="Calibri" w:hAnsi="Calibri" w:cs="Calibri"/>
          <w:sz w:val="26"/>
          <w:szCs w:val="26"/>
          <w:lang w:eastAsia="en-US"/>
        </w:rPr>
        <w:tab/>
        <w:t xml:space="preserve">Nárůst zaznamenaly </w:t>
      </w:r>
      <w:r w:rsidRPr="00AE008D">
        <w:rPr>
          <w:rFonts w:ascii="Calibri" w:eastAsia="Calibri" w:hAnsi="Calibri" w:cs="Calibri"/>
          <w:b/>
          <w:sz w:val="26"/>
          <w:szCs w:val="26"/>
          <w:lang w:eastAsia="en-US"/>
        </w:rPr>
        <w:t>výdaje na starobní důchody</w:t>
      </w:r>
      <w:r w:rsidRPr="00AE008D">
        <w:rPr>
          <w:rFonts w:ascii="Calibri" w:eastAsia="Calibri" w:hAnsi="Calibri" w:cs="Calibri"/>
          <w:sz w:val="26"/>
          <w:szCs w:val="26"/>
          <w:lang w:eastAsia="en-US"/>
        </w:rPr>
        <w:t xml:space="preserve">, které (bez dávek vyplácených do ciziny) </w:t>
      </w:r>
      <w:r w:rsidRPr="00AE008D">
        <w:rPr>
          <w:rFonts w:ascii="Calibri" w:eastAsia="Calibri" w:hAnsi="Calibri" w:cs="Calibri"/>
          <w:b/>
          <w:sz w:val="26"/>
          <w:szCs w:val="26"/>
          <w:lang w:eastAsia="en-US"/>
        </w:rPr>
        <w:t>vzrostly</w:t>
      </w:r>
      <w:r w:rsidRPr="00AE008D">
        <w:rPr>
          <w:rFonts w:ascii="Calibri" w:eastAsia="Calibri" w:hAnsi="Calibri" w:cs="Calibri"/>
          <w:sz w:val="26"/>
          <w:szCs w:val="26"/>
          <w:lang w:eastAsia="en-US"/>
        </w:rPr>
        <w:t xml:space="preserve"> o 28,0 mld. Kč (o 7,4 %) </w:t>
      </w:r>
      <w:r w:rsidRPr="00AE008D">
        <w:rPr>
          <w:rFonts w:ascii="Calibri" w:eastAsia="Calibri" w:hAnsi="Calibri" w:cs="Calibri"/>
          <w:b/>
          <w:sz w:val="26"/>
          <w:szCs w:val="26"/>
          <w:lang w:eastAsia="en-US"/>
        </w:rPr>
        <w:t>na 408,1 mld. Kč</w:t>
      </w:r>
      <w:r w:rsidRPr="00AE008D">
        <w:rPr>
          <w:rFonts w:ascii="Calibri" w:eastAsia="Calibri" w:hAnsi="Calibri" w:cs="Calibri"/>
          <w:sz w:val="26"/>
          <w:szCs w:val="26"/>
          <w:lang w:eastAsia="en-US"/>
        </w:rPr>
        <w:t xml:space="preserve">. Jejich podíl na celkovém objemu výdajů na dávky důchodového pojištění dosáhl 81,1 %. Výdaje </w:t>
      </w:r>
      <w:r w:rsidRPr="00AE008D">
        <w:rPr>
          <w:rFonts w:ascii="Calibri" w:eastAsia="Calibri" w:hAnsi="Calibri" w:cs="Calibri"/>
          <w:b/>
          <w:sz w:val="26"/>
          <w:szCs w:val="26"/>
          <w:lang w:eastAsia="en-US"/>
        </w:rPr>
        <w:t>na invalidní důchody se</w:t>
      </w:r>
      <w:r w:rsidRPr="00AE008D">
        <w:rPr>
          <w:rFonts w:ascii="Calibri" w:eastAsia="Calibri" w:hAnsi="Calibri" w:cs="Calibri"/>
          <w:sz w:val="26"/>
          <w:szCs w:val="26"/>
          <w:lang w:eastAsia="en-US"/>
        </w:rPr>
        <w:t xml:space="preserve"> (bez dávek vyplácených do ciziny) </w:t>
      </w:r>
      <w:r w:rsidRPr="00AE008D">
        <w:rPr>
          <w:rFonts w:ascii="Calibri" w:eastAsia="Calibri" w:hAnsi="Calibri" w:cs="Calibri"/>
          <w:b/>
          <w:sz w:val="26"/>
          <w:szCs w:val="26"/>
          <w:lang w:eastAsia="en-US"/>
        </w:rPr>
        <w:t>zvýšily</w:t>
      </w:r>
      <w:r w:rsidRPr="00AE008D">
        <w:rPr>
          <w:rFonts w:ascii="Calibri" w:eastAsia="Calibri" w:hAnsi="Calibri" w:cs="Calibri"/>
          <w:sz w:val="26"/>
          <w:szCs w:val="26"/>
          <w:lang w:eastAsia="en-US"/>
        </w:rPr>
        <w:t xml:space="preserve"> o 2,9 mld. Kč </w:t>
      </w:r>
      <w:r w:rsidRPr="00AE008D">
        <w:rPr>
          <w:rFonts w:ascii="Calibri" w:eastAsia="Calibri" w:hAnsi="Calibri" w:cs="Calibri"/>
          <w:b/>
          <w:sz w:val="26"/>
          <w:szCs w:val="26"/>
          <w:lang w:eastAsia="en-US"/>
        </w:rPr>
        <w:t>na 50,6 mld. Kč</w:t>
      </w:r>
      <w:r w:rsidRPr="00AE008D">
        <w:rPr>
          <w:rFonts w:ascii="Calibri" w:eastAsia="Calibri" w:hAnsi="Calibri" w:cs="Calibri"/>
          <w:sz w:val="26"/>
          <w:szCs w:val="26"/>
          <w:lang w:eastAsia="en-US"/>
        </w:rPr>
        <w:t xml:space="preserve">. </w:t>
      </w:r>
      <w:r w:rsidRPr="00AE008D">
        <w:rPr>
          <w:rFonts w:ascii="Calibri" w:eastAsia="Calibri" w:hAnsi="Calibri" w:cs="Calibri"/>
          <w:b/>
          <w:sz w:val="26"/>
          <w:szCs w:val="26"/>
          <w:lang w:eastAsia="en-US"/>
        </w:rPr>
        <w:t>Vzrostly</w:t>
      </w:r>
      <w:r w:rsidRPr="00AE008D">
        <w:rPr>
          <w:rFonts w:ascii="Calibri" w:eastAsia="Calibri" w:hAnsi="Calibri" w:cs="Calibri"/>
          <w:sz w:val="26"/>
          <w:szCs w:val="26"/>
          <w:lang w:eastAsia="en-US"/>
        </w:rPr>
        <w:t xml:space="preserve"> rovněž výdaje na </w:t>
      </w:r>
      <w:r w:rsidRPr="00AE008D">
        <w:rPr>
          <w:rFonts w:ascii="Calibri" w:eastAsia="Calibri" w:hAnsi="Calibri" w:cs="Calibri"/>
          <w:b/>
          <w:sz w:val="26"/>
          <w:szCs w:val="26"/>
          <w:lang w:eastAsia="en-US"/>
        </w:rPr>
        <w:t>pozůstalostní důchody</w:t>
      </w:r>
      <w:r w:rsidRPr="00AE008D">
        <w:rPr>
          <w:rFonts w:ascii="Calibri" w:eastAsia="Calibri" w:hAnsi="Calibri" w:cs="Calibri"/>
          <w:bCs/>
          <w:sz w:val="26"/>
          <w:szCs w:val="26"/>
          <w:lang w:eastAsia="en-US"/>
        </w:rPr>
        <w:t xml:space="preserve"> a to</w:t>
      </w:r>
      <w:r w:rsidRPr="00AE008D">
        <w:rPr>
          <w:rFonts w:ascii="Calibri" w:eastAsia="Calibri" w:hAnsi="Calibri" w:cs="Calibri"/>
          <w:sz w:val="26"/>
          <w:szCs w:val="26"/>
          <w:lang w:eastAsia="en-US"/>
        </w:rPr>
        <w:t xml:space="preserve"> o 1,4 mld. Kč </w:t>
      </w:r>
      <w:r w:rsidRPr="00AE008D">
        <w:rPr>
          <w:rFonts w:ascii="Calibri" w:eastAsia="Calibri" w:hAnsi="Calibri" w:cs="Calibri"/>
          <w:b/>
          <w:sz w:val="26"/>
          <w:szCs w:val="26"/>
          <w:lang w:eastAsia="en-US"/>
        </w:rPr>
        <w:t>na 30,0 mld. Kč</w:t>
      </w:r>
      <w:r w:rsidRPr="00AE008D">
        <w:rPr>
          <w:rFonts w:ascii="Calibri" w:eastAsia="Calibri" w:hAnsi="Calibri" w:cs="Calibri"/>
          <w:sz w:val="26"/>
          <w:szCs w:val="26"/>
          <w:lang w:eastAsia="en-US"/>
        </w:rPr>
        <w:t xml:space="preserve">. Na </w:t>
      </w:r>
      <w:r w:rsidRPr="00AE008D">
        <w:rPr>
          <w:rFonts w:ascii="Calibri" w:eastAsia="Calibri" w:hAnsi="Calibri" w:cs="Calibri"/>
          <w:b/>
          <w:sz w:val="26"/>
          <w:szCs w:val="26"/>
          <w:lang w:eastAsia="en-US"/>
        </w:rPr>
        <w:t>jednorázový příspěvek</w:t>
      </w:r>
      <w:r w:rsidRPr="00AE008D">
        <w:rPr>
          <w:rFonts w:ascii="Calibri" w:eastAsia="Calibri" w:hAnsi="Calibri" w:cs="Calibri"/>
          <w:sz w:val="26"/>
          <w:szCs w:val="26"/>
          <w:lang w:eastAsia="en-US"/>
        </w:rPr>
        <w:t xml:space="preserve"> důchodcům, který byl hromadně vyplácen v prosinci a jehož výše činila 5</w:t>
      </w:r>
      <w:r w:rsidR="00705A01" w:rsidRPr="00AE008D">
        <w:rPr>
          <w:rFonts w:ascii="Calibri" w:eastAsia="Calibri" w:hAnsi="Calibri" w:cs="Calibri"/>
          <w:sz w:val="26"/>
          <w:szCs w:val="26"/>
          <w:lang w:eastAsia="en-US"/>
        </w:rPr>
        <w:t> </w:t>
      </w:r>
      <w:r w:rsidRPr="00AE008D">
        <w:rPr>
          <w:rFonts w:ascii="Calibri" w:eastAsia="Calibri" w:hAnsi="Calibri" w:cs="Calibri"/>
          <w:sz w:val="26"/>
          <w:szCs w:val="26"/>
          <w:lang w:eastAsia="en-US"/>
        </w:rPr>
        <w:t>000</w:t>
      </w:r>
      <w:r w:rsidR="00705A01" w:rsidRPr="00AE008D">
        <w:rPr>
          <w:rFonts w:ascii="Calibri" w:eastAsia="Calibri" w:hAnsi="Calibri" w:cs="Calibri"/>
          <w:sz w:val="26"/>
          <w:szCs w:val="26"/>
          <w:lang w:eastAsia="en-US"/>
        </w:rPr>
        <w:t> </w:t>
      </w:r>
      <w:r w:rsidRPr="00AE008D">
        <w:rPr>
          <w:rFonts w:ascii="Calibri" w:eastAsia="Calibri" w:hAnsi="Calibri" w:cs="Calibri"/>
          <w:sz w:val="26"/>
          <w:szCs w:val="26"/>
          <w:lang w:eastAsia="en-US"/>
        </w:rPr>
        <w:t>Kč, bylo vydáno (bez příspěvků vyplacených do ciziny) 14,4</w:t>
      </w:r>
      <w:r w:rsidR="00705A01" w:rsidRPr="00AE008D">
        <w:rPr>
          <w:rFonts w:ascii="Calibri" w:eastAsia="Calibri" w:hAnsi="Calibri" w:cs="Calibri"/>
          <w:sz w:val="26"/>
          <w:szCs w:val="26"/>
          <w:lang w:eastAsia="en-US"/>
        </w:rPr>
        <w:t> </w:t>
      </w:r>
      <w:r w:rsidRPr="00AE008D">
        <w:rPr>
          <w:rFonts w:ascii="Calibri" w:eastAsia="Calibri" w:hAnsi="Calibri" w:cs="Calibri"/>
          <w:sz w:val="26"/>
          <w:szCs w:val="26"/>
          <w:lang w:eastAsia="en-US"/>
        </w:rPr>
        <w:t>mld.</w:t>
      </w:r>
      <w:r w:rsidR="00705A01" w:rsidRPr="00AE008D">
        <w:rPr>
          <w:rFonts w:ascii="Calibri" w:eastAsia="Calibri" w:hAnsi="Calibri" w:cs="Calibri"/>
          <w:sz w:val="26"/>
          <w:szCs w:val="26"/>
          <w:lang w:eastAsia="en-US"/>
        </w:rPr>
        <w:t> </w:t>
      </w:r>
      <w:r w:rsidRPr="00AE008D">
        <w:rPr>
          <w:rFonts w:ascii="Calibri" w:eastAsia="Calibri" w:hAnsi="Calibri" w:cs="Calibri"/>
          <w:sz w:val="26"/>
          <w:szCs w:val="26"/>
          <w:lang w:eastAsia="en-US"/>
        </w:rPr>
        <w:t>Kč.</w:t>
      </w:r>
    </w:p>
    <w:p w14:paraId="0218B94F" w14:textId="288989B8" w:rsidR="0017713A" w:rsidRPr="0017713A" w:rsidRDefault="0017713A" w:rsidP="00970B2A">
      <w:pPr>
        <w:spacing w:after="480" w:line="360" w:lineRule="auto"/>
        <w:jc w:val="both"/>
        <w:rPr>
          <w:rFonts w:ascii="Calibri" w:eastAsia="Calibri" w:hAnsi="Calibri" w:cs="Calibri"/>
          <w:sz w:val="26"/>
          <w:szCs w:val="26"/>
          <w:lang w:eastAsia="en-US"/>
        </w:rPr>
      </w:pPr>
      <w:r w:rsidRPr="00AE008D">
        <w:rPr>
          <w:rFonts w:ascii="Calibri" w:eastAsia="Calibri" w:hAnsi="Calibri" w:cs="Calibri"/>
          <w:sz w:val="26"/>
          <w:szCs w:val="26"/>
          <w:lang w:eastAsia="en-US"/>
        </w:rPr>
        <w:tab/>
      </w:r>
      <w:r w:rsidRPr="00AE008D">
        <w:rPr>
          <w:rFonts w:ascii="Calibri" w:eastAsia="Calibri" w:hAnsi="Calibri" w:cs="Calibri"/>
          <w:b/>
          <w:sz w:val="26"/>
          <w:szCs w:val="26"/>
          <w:lang w:eastAsia="en-US"/>
        </w:rPr>
        <w:t>Průměrná výše</w:t>
      </w:r>
      <w:r w:rsidRPr="00AE008D">
        <w:rPr>
          <w:rFonts w:ascii="Calibri" w:eastAsia="Calibri" w:hAnsi="Calibri" w:cs="Calibri"/>
          <w:sz w:val="26"/>
          <w:szCs w:val="26"/>
          <w:lang w:eastAsia="en-US"/>
        </w:rPr>
        <w:t xml:space="preserve"> (samostatně vypláceného) </w:t>
      </w:r>
      <w:r w:rsidRPr="00AE008D">
        <w:rPr>
          <w:rFonts w:ascii="Calibri" w:eastAsia="Calibri" w:hAnsi="Calibri" w:cs="Calibri"/>
          <w:b/>
          <w:sz w:val="26"/>
          <w:szCs w:val="26"/>
          <w:lang w:eastAsia="en-US"/>
        </w:rPr>
        <w:t>starobního důchodu se</w:t>
      </w:r>
      <w:r w:rsidRPr="00AE008D">
        <w:rPr>
          <w:rFonts w:ascii="Calibri" w:eastAsia="Calibri" w:hAnsi="Calibri" w:cs="Calibri"/>
          <w:sz w:val="26"/>
          <w:szCs w:val="26"/>
          <w:lang w:eastAsia="en-US"/>
        </w:rPr>
        <w:t xml:space="preserve"> v období </w:t>
      </w:r>
      <w:proofErr w:type="gramStart"/>
      <w:r w:rsidRPr="0017713A">
        <w:rPr>
          <w:rFonts w:ascii="Calibri" w:eastAsia="Calibri" w:hAnsi="Calibri" w:cs="Calibri"/>
          <w:sz w:val="26"/>
          <w:szCs w:val="26"/>
          <w:lang w:eastAsia="en-US"/>
        </w:rPr>
        <w:t>leden – prosinec</w:t>
      </w:r>
      <w:proofErr w:type="gramEnd"/>
      <w:r w:rsidRPr="0017713A">
        <w:rPr>
          <w:rFonts w:ascii="Calibri" w:eastAsia="Calibri" w:hAnsi="Calibri" w:cs="Calibri"/>
          <w:sz w:val="26"/>
          <w:szCs w:val="26"/>
          <w:lang w:eastAsia="en-US"/>
        </w:rPr>
        <w:t xml:space="preserve"> 2020 meziročně </w:t>
      </w:r>
      <w:r w:rsidRPr="0017713A">
        <w:rPr>
          <w:rFonts w:ascii="Calibri" w:eastAsia="Calibri" w:hAnsi="Calibri" w:cs="Calibri"/>
          <w:b/>
          <w:sz w:val="26"/>
          <w:szCs w:val="26"/>
          <w:lang w:eastAsia="en-US"/>
        </w:rPr>
        <w:t>zvýšila</w:t>
      </w:r>
      <w:r w:rsidRPr="0017713A">
        <w:rPr>
          <w:rFonts w:ascii="Calibri" w:eastAsia="Calibri" w:hAnsi="Calibri" w:cs="Calibri"/>
          <w:sz w:val="26"/>
          <w:szCs w:val="26"/>
          <w:lang w:eastAsia="en-US"/>
        </w:rPr>
        <w:t xml:space="preserve"> o 1</w:t>
      </w:r>
      <w:r w:rsidR="00705A01">
        <w:rPr>
          <w:rFonts w:ascii="Calibri" w:eastAsia="Calibri" w:hAnsi="Calibri" w:cs="Calibri"/>
          <w:sz w:val="26"/>
          <w:szCs w:val="26"/>
          <w:lang w:eastAsia="en-US"/>
        </w:rPr>
        <w:t> </w:t>
      </w:r>
      <w:r w:rsidRPr="0017713A">
        <w:rPr>
          <w:rFonts w:ascii="Calibri" w:eastAsia="Calibri" w:hAnsi="Calibri" w:cs="Calibri"/>
          <w:sz w:val="26"/>
          <w:szCs w:val="26"/>
          <w:lang w:eastAsia="en-US"/>
        </w:rPr>
        <w:t>020</w:t>
      </w:r>
      <w:r w:rsidR="00705A01">
        <w:rPr>
          <w:rFonts w:ascii="Calibri" w:eastAsia="Calibri" w:hAnsi="Calibri" w:cs="Calibri"/>
          <w:sz w:val="26"/>
          <w:szCs w:val="26"/>
          <w:lang w:eastAsia="en-US"/>
        </w:rPr>
        <w:t> </w:t>
      </w:r>
      <w:r w:rsidRPr="0017713A">
        <w:rPr>
          <w:rFonts w:ascii="Calibri" w:eastAsia="Calibri" w:hAnsi="Calibri" w:cs="Calibri"/>
          <w:sz w:val="26"/>
          <w:szCs w:val="26"/>
          <w:lang w:eastAsia="en-US"/>
        </w:rPr>
        <w:t>Kč (o 7,6</w:t>
      </w:r>
      <w:r w:rsidR="00705A01">
        <w:rPr>
          <w:rFonts w:ascii="Calibri" w:eastAsia="Calibri" w:hAnsi="Calibri" w:cs="Calibri"/>
          <w:sz w:val="26"/>
          <w:szCs w:val="26"/>
          <w:lang w:eastAsia="en-US"/>
        </w:rPr>
        <w:t> </w:t>
      </w:r>
      <w:r w:rsidRPr="0017713A">
        <w:rPr>
          <w:rFonts w:ascii="Calibri" w:eastAsia="Calibri" w:hAnsi="Calibri" w:cs="Calibri"/>
          <w:sz w:val="26"/>
          <w:szCs w:val="26"/>
          <w:lang w:eastAsia="en-US"/>
        </w:rPr>
        <w:t xml:space="preserve">%) </w:t>
      </w:r>
      <w:r w:rsidRPr="0017713A">
        <w:rPr>
          <w:rFonts w:ascii="Calibri" w:eastAsia="Calibri" w:hAnsi="Calibri" w:cs="Calibri"/>
          <w:b/>
          <w:sz w:val="26"/>
          <w:szCs w:val="26"/>
          <w:lang w:eastAsia="en-US"/>
        </w:rPr>
        <w:t>na 14</w:t>
      </w:r>
      <w:r w:rsidR="00705A01">
        <w:rPr>
          <w:rFonts w:ascii="Calibri" w:eastAsia="Calibri" w:hAnsi="Calibri" w:cs="Calibri"/>
          <w:b/>
          <w:sz w:val="26"/>
          <w:szCs w:val="26"/>
          <w:lang w:eastAsia="en-US"/>
        </w:rPr>
        <w:t> </w:t>
      </w:r>
      <w:r w:rsidRPr="0017713A">
        <w:rPr>
          <w:rFonts w:ascii="Calibri" w:eastAsia="Calibri" w:hAnsi="Calibri" w:cs="Calibri"/>
          <w:b/>
          <w:sz w:val="26"/>
          <w:szCs w:val="26"/>
          <w:lang w:eastAsia="en-US"/>
        </w:rPr>
        <w:t>451</w:t>
      </w:r>
      <w:r w:rsidR="00705A01">
        <w:rPr>
          <w:rFonts w:ascii="Calibri" w:eastAsia="Calibri" w:hAnsi="Calibri" w:cs="Calibri"/>
          <w:b/>
          <w:sz w:val="26"/>
          <w:szCs w:val="26"/>
          <w:lang w:eastAsia="en-US"/>
        </w:rPr>
        <w:t> </w:t>
      </w:r>
      <w:r w:rsidRPr="0017713A">
        <w:rPr>
          <w:rFonts w:ascii="Calibri" w:eastAsia="Calibri" w:hAnsi="Calibri" w:cs="Calibri"/>
          <w:b/>
          <w:sz w:val="26"/>
          <w:szCs w:val="26"/>
          <w:lang w:eastAsia="en-US"/>
        </w:rPr>
        <w:t>Kč a v reálném vyjádření vzrostla o 4,0</w:t>
      </w:r>
      <w:r w:rsidR="00705A01">
        <w:rPr>
          <w:rFonts w:ascii="Calibri" w:eastAsia="Calibri" w:hAnsi="Calibri" w:cs="Calibri"/>
          <w:b/>
          <w:sz w:val="26"/>
          <w:szCs w:val="26"/>
          <w:lang w:eastAsia="en-US"/>
        </w:rPr>
        <w:t> </w:t>
      </w:r>
      <w:r w:rsidRPr="0017713A">
        <w:rPr>
          <w:rFonts w:ascii="Calibri" w:eastAsia="Calibri" w:hAnsi="Calibri" w:cs="Calibri"/>
          <w:b/>
          <w:sz w:val="26"/>
          <w:szCs w:val="26"/>
          <w:lang w:eastAsia="en-US"/>
        </w:rPr>
        <w:t>%</w:t>
      </w:r>
      <w:r w:rsidRPr="0017713A">
        <w:rPr>
          <w:rFonts w:ascii="Calibri" w:eastAsia="Calibri" w:hAnsi="Calibri" w:cs="Calibri"/>
          <w:sz w:val="26"/>
          <w:szCs w:val="26"/>
          <w:lang w:eastAsia="en-US"/>
        </w:rPr>
        <w:t xml:space="preserve"> (při použití indexu životních nákladů domácností důchodců 103,5</w:t>
      </w:r>
      <w:r>
        <w:rPr>
          <w:rFonts w:ascii="Calibri" w:eastAsia="Calibri" w:hAnsi="Calibri" w:cs="Calibri"/>
          <w:sz w:val="26"/>
          <w:szCs w:val="26"/>
          <w:lang w:eastAsia="en-US"/>
        </w:rPr>
        <w:t> </w:t>
      </w:r>
      <w:r w:rsidRPr="0017713A">
        <w:rPr>
          <w:rFonts w:ascii="Calibri" w:eastAsia="Calibri" w:hAnsi="Calibri" w:cs="Calibri"/>
          <w:sz w:val="26"/>
          <w:szCs w:val="26"/>
          <w:lang w:eastAsia="en-US"/>
        </w:rPr>
        <w:t>%),</w:t>
      </w:r>
      <w:r w:rsidRPr="0017713A">
        <w:rPr>
          <w:rFonts w:ascii="Calibri" w:eastAsia="Calibri" w:hAnsi="Calibri" w:cs="Calibri"/>
          <w:color w:val="0070C0"/>
          <w:sz w:val="26"/>
          <w:szCs w:val="26"/>
          <w:lang w:eastAsia="en-US"/>
        </w:rPr>
        <w:t xml:space="preserve"> </w:t>
      </w:r>
      <w:r w:rsidRPr="0017713A">
        <w:rPr>
          <w:rFonts w:ascii="Calibri" w:eastAsia="Calibri" w:hAnsi="Calibri" w:cs="Calibri"/>
          <w:sz w:val="26"/>
          <w:szCs w:val="26"/>
          <w:lang w:eastAsia="en-US"/>
        </w:rPr>
        <w:t xml:space="preserve">její </w:t>
      </w:r>
      <w:r w:rsidRPr="0017713A">
        <w:rPr>
          <w:rFonts w:ascii="Calibri" w:eastAsia="Calibri" w:hAnsi="Calibri" w:cs="Calibri"/>
          <w:b/>
          <w:sz w:val="26"/>
          <w:szCs w:val="26"/>
          <w:lang w:eastAsia="en-US"/>
        </w:rPr>
        <w:t>podíl na</w:t>
      </w:r>
      <w:r w:rsidRPr="0017713A">
        <w:rPr>
          <w:rFonts w:ascii="Calibri" w:eastAsia="Calibri" w:hAnsi="Calibri" w:cs="Calibri"/>
          <w:sz w:val="26"/>
          <w:szCs w:val="26"/>
          <w:lang w:eastAsia="en-US"/>
        </w:rPr>
        <w:t xml:space="preserve"> průměrné </w:t>
      </w:r>
      <w:r w:rsidRPr="0017713A">
        <w:rPr>
          <w:rFonts w:ascii="Calibri" w:eastAsia="Calibri" w:hAnsi="Calibri" w:cs="Calibri"/>
          <w:b/>
          <w:sz w:val="26"/>
          <w:szCs w:val="26"/>
          <w:lang w:eastAsia="en-US"/>
        </w:rPr>
        <w:t>hrubé měsíční nominální mzdě</w:t>
      </w:r>
      <w:r w:rsidRPr="0017713A">
        <w:rPr>
          <w:rFonts w:ascii="Calibri" w:eastAsia="Calibri" w:hAnsi="Calibri" w:cs="Calibri"/>
          <w:sz w:val="26"/>
          <w:szCs w:val="26"/>
          <w:lang w:eastAsia="en-US"/>
        </w:rPr>
        <w:t xml:space="preserve"> na přepočtené počty zaměstnanců v národním hospodářství </w:t>
      </w:r>
      <w:r w:rsidRPr="0017713A">
        <w:rPr>
          <w:rFonts w:ascii="Calibri" w:eastAsia="Calibri" w:hAnsi="Calibri" w:cs="Calibri"/>
          <w:b/>
          <w:sz w:val="26"/>
          <w:szCs w:val="26"/>
          <w:lang w:eastAsia="en-US"/>
        </w:rPr>
        <w:t>se zvýšil</w:t>
      </w:r>
      <w:r w:rsidRPr="0017713A">
        <w:rPr>
          <w:rFonts w:ascii="Calibri" w:eastAsia="Calibri" w:hAnsi="Calibri" w:cs="Calibri"/>
          <w:sz w:val="26"/>
          <w:szCs w:val="26"/>
          <w:lang w:eastAsia="en-US"/>
        </w:rPr>
        <w:t xml:space="preserve"> a představoval </w:t>
      </w:r>
      <w:r w:rsidRPr="0017713A">
        <w:rPr>
          <w:rFonts w:ascii="Calibri" w:eastAsia="Calibri" w:hAnsi="Calibri" w:cs="Calibri"/>
          <w:b/>
          <w:sz w:val="26"/>
          <w:szCs w:val="26"/>
          <w:lang w:eastAsia="en-US"/>
        </w:rPr>
        <w:t>40,6</w:t>
      </w:r>
      <w:r w:rsidR="00705A01">
        <w:rPr>
          <w:rFonts w:ascii="Calibri" w:eastAsia="Calibri" w:hAnsi="Calibri" w:cs="Calibri"/>
          <w:b/>
          <w:sz w:val="26"/>
          <w:szCs w:val="26"/>
          <w:lang w:eastAsia="en-US"/>
        </w:rPr>
        <w:t> </w:t>
      </w:r>
      <w:r w:rsidRPr="0017713A">
        <w:rPr>
          <w:rFonts w:ascii="Calibri" w:eastAsia="Calibri" w:hAnsi="Calibri" w:cs="Calibri"/>
          <w:b/>
          <w:sz w:val="26"/>
          <w:szCs w:val="26"/>
          <w:lang w:eastAsia="en-US"/>
        </w:rPr>
        <w:t>%</w:t>
      </w:r>
      <w:r w:rsidRPr="0017713A">
        <w:rPr>
          <w:rFonts w:ascii="Calibri" w:eastAsia="Calibri" w:hAnsi="Calibri" w:cs="Calibri"/>
          <w:sz w:val="26"/>
          <w:szCs w:val="26"/>
          <w:lang w:eastAsia="en-US"/>
        </w:rPr>
        <w:t xml:space="preserve"> – o 1,2</w:t>
      </w:r>
      <w:r w:rsidR="00705A01">
        <w:rPr>
          <w:rFonts w:ascii="Calibri" w:eastAsia="Calibri" w:hAnsi="Calibri" w:cs="Calibri"/>
          <w:sz w:val="26"/>
          <w:szCs w:val="26"/>
          <w:lang w:eastAsia="en-US"/>
        </w:rPr>
        <w:t> </w:t>
      </w:r>
      <w:r w:rsidRPr="0017713A">
        <w:rPr>
          <w:rFonts w:ascii="Calibri" w:eastAsia="Calibri" w:hAnsi="Calibri" w:cs="Calibri"/>
          <w:sz w:val="26"/>
          <w:szCs w:val="26"/>
          <w:lang w:eastAsia="en-US"/>
        </w:rPr>
        <w:t>p.</w:t>
      </w:r>
      <w:r w:rsidR="00705A01">
        <w:rPr>
          <w:rFonts w:ascii="Calibri" w:eastAsia="Calibri" w:hAnsi="Calibri" w:cs="Calibri"/>
          <w:sz w:val="26"/>
          <w:szCs w:val="26"/>
          <w:lang w:eastAsia="en-US"/>
        </w:rPr>
        <w:t> </w:t>
      </w:r>
      <w:r w:rsidRPr="0017713A">
        <w:rPr>
          <w:rFonts w:ascii="Calibri" w:eastAsia="Calibri" w:hAnsi="Calibri" w:cs="Calibri"/>
          <w:sz w:val="26"/>
          <w:szCs w:val="26"/>
          <w:lang w:eastAsia="en-US"/>
        </w:rPr>
        <w:t>b. více než v roce 2019.</w:t>
      </w:r>
    </w:p>
    <w:p w14:paraId="0989C493" w14:textId="4D5EDF6B" w:rsidR="0017713A" w:rsidRPr="00AE008D" w:rsidRDefault="0017713A" w:rsidP="00B33B21">
      <w:pPr>
        <w:spacing w:line="360" w:lineRule="auto"/>
        <w:jc w:val="both"/>
        <w:rPr>
          <w:rFonts w:ascii="Calibri" w:eastAsia="Calibri" w:hAnsi="Calibri" w:cs="Calibri"/>
          <w:b/>
          <w:sz w:val="26"/>
          <w:szCs w:val="26"/>
          <w:lang w:eastAsia="en-US"/>
        </w:rPr>
      </w:pPr>
      <w:r w:rsidRPr="00AE008D">
        <w:rPr>
          <w:rFonts w:ascii="Calibri" w:eastAsia="Calibri" w:hAnsi="Calibri" w:cs="Calibri"/>
          <w:sz w:val="26"/>
          <w:szCs w:val="26"/>
          <w:lang w:eastAsia="en-US"/>
        </w:rPr>
        <w:tab/>
      </w:r>
      <w:r w:rsidRPr="00AE008D">
        <w:rPr>
          <w:rFonts w:ascii="Calibri" w:eastAsia="Calibri" w:hAnsi="Calibri" w:cs="Calibri"/>
          <w:b/>
          <w:sz w:val="26"/>
          <w:szCs w:val="26"/>
          <w:lang w:eastAsia="en-US"/>
        </w:rPr>
        <w:t>V prosinci 2020</w:t>
      </w:r>
      <w:r w:rsidR="00AE008D">
        <w:rPr>
          <w:rFonts w:ascii="Calibri" w:eastAsia="Calibri" w:hAnsi="Calibri" w:cs="Calibri"/>
          <w:b/>
          <w:sz w:val="26"/>
          <w:szCs w:val="26"/>
          <w:lang w:eastAsia="en-US"/>
        </w:rPr>
        <w:t>:</w:t>
      </w:r>
    </w:p>
    <w:p w14:paraId="0546E9B7" w14:textId="32005347" w:rsidR="0017713A" w:rsidRPr="0017713A" w:rsidRDefault="0017713A" w:rsidP="00B33B21">
      <w:pPr>
        <w:numPr>
          <w:ilvl w:val="0"/>
          <w:numId w:val="12"/>
        </w:numPr>
        <w:spacing w:after="120" w:line="259" w:lineRule="auto"/>
        <w:ind w:left="357" w:hanging="357"/>
        <w:jc w:val="both"/>
        <w:rPr>
          <w:rFonts w:ascii="Calibri" w:eastAsia="Calibri" w:hAnsi="Calibri" w:cs="Calibri"/>
          <w:sz w:val="26"/>
          <w:szCs w:val="26"/>
          <w:lang w:eastAsia="en-US"/>
        </w:rPr>
      </w:pPr>
      <w:r w:rsidRPr="0017713A">
        <w:rPr>
          <w:rFonts w:ascii="Calibri" w:eastAsia="Calibri" w:hAnsi="Calibri" w:cs="Calibri"/>
          <w:b/>
          <w:sz w:val="26"/>
          <w:szCs w:val="26"/>
          <w:lang w:eastAsia="en-US"/>
        </w:rPr>
        <w:t>pobíralo důchod 2 881,4</w:t>
      </w:r>
      <w:r w:rsidR="00705A01">
        <w:rPr>
          <w:rFonts w:ascii="Calibri" w:eastAsia="Calibri" w:hAnsi="Calibri" w:cs="Calibri"/>
          <w:b/>
          <w:sz w:val="26"/>
          <w:szCs w:val="26"/>
          <w:lang w:eastAsia="en-US"/>
        </w:rPr>
        <w:t> </w:t>
      </w:r>
      <w:r w:rsidRPr="0017713A">
        <w:rPr>
          <w:rFonts w:ascii="Calibri" w:eastAsia="Calibri" w:hAnsi="Calibri" w:cs="Calibri"/>
          <w:b/>
          <w:sz w:val="26"/>
          <w:szCs w:val="26"/>
          <w:lang w:eastAsia="en-US"/>
        </w:rPr>
        <w:t>tis. osob</w:t>
      </w:r>
      <w:r w:rsidRPr="0017713A">
        <w:rPr>
          <w:rFonts w:ascii="Calibri" w:eastAsia="Calibri" w:hAnsi="Calibri" w:cs="Calibri"/>
          <w:sz w:val="26"/>
          <w:szCs w:val="26"/>
          <w:lang w:eastAsia="en-US"/>
        </w:rPr>
        <w:t xml:space="preserve">, přičemž </w:t>
      </w:r>
      <w:r w:rsidRPr="0017713A">
        <w:rPr>
          <w:rFonts w:ascii="Calibri" w:eastAsia="Calibri" w:hAnsi="Calibri" w:cs="Calibri"/>
          <w:b/>
          <w:sz w:val="26"/>
          <w:szCs w:val="26"/>
          <w:lang w:eastAsia="en-US"/>
        </w:rPr>
        <w:t>jejich počet</w:t>
      </w:r>
      <w:r w:rsidRPr="0017713A">
        <w:rPr>
          <w:rFonts w:ascii="Calibri" w:eastAsia="Calibri" w:hAnsi="Calibri" w:cs="Calibri"/>
          <w:sz w:val="26"/>
          <w:szCs w:val="26"/>
          <w:lang w:eastAsia="en-US"/>
        </w:rPr>
        <w:t xml:space="preserve"> se meziročně </w:t>
      </w:r>
      <w:r w:rsidRPr="0017713A">
        <w:rPr>
          <w:rFonts w:ascii="Calibri" w:eastAsia="Calibri" w:hAnsi="Calibri" w:cs="Calibri"/>
          <w:b/>
          <w:sz w:val="26"/>
          <w:szCs w:val="26"/>
          <w:lang w:eastAsia="en-US"/>
        </w:rPr>
        <w:t>snížil</w:t>
      </w:r>
      <w:r w:rsidRPr="0017713A">
        <w:rPr>
          <w:rFonts w:ascii="Calibri" w:eastAsia="Calibri" w:hAnsi="Calibri" w:cs="Calibri"/>
          <w:sz w:val="26"/>
          <w:szCs w:val="26"/>
          <w:lang w:eastAsia="en-US"/>
        </w:rPr>
        <w:t xml:space="preserve"> o 16,1</w:t>
      </w:r>
      <w:r w:rsidR="00B33B21">
        <w:rPr>
          <w:rFonts w:ascii="Calibri" w:eastAsia="Calibri" w:hAnsi="Calibri" w:cs="Calibri"/>
          <w:sz w:val="26"/>
          <w:szCs w:val="26"/>
          <w:lang w:eastAsia="en-US"/>
        </w:rPr>
        <w:t> </w:t>
      </w:r>
      <w:r w:rsidRPr="0017713A">
        <w:rPr>
          <w:rFonts w:ascii="Calibri" w:eastAsia="Calibri" w:hAnsi="Calibri" w:cs="Calibri"/>
          <w:sz w:val="26"/>
          <w:szCs w:val="26"/>
          <w:lang w:eastAsia="en-US"/>
        </w:rPr>
        <w:t xml:space="preserve">tis. </w:t>
      </w:r>
      <w:r w:rsidRPr="0017713A">
        <w:rPr>
          <w:rFonts w:ascii="Calibri" w:eastAsia="Calibri" w:hAnsi="Calibri" w:cs="Calibri"/>
          <w:b/>
          <w:sz w:val="26"/>
          <w:szCs w:val="26"/>
          <w:lang w:eastAsia="en-US"/>
        </w:rPr>
        <w:t>Počet důchodců se starobním důchodem</w:t>
      </w:r>
      <w:r w:rsidRPr="0017713A">
        <w:rPr>
          <w:rFonts w:ascii="Calibri" w:eastAsia="Calibri" w:hAnsi="Calibri" w:cs="Calibri"/>
          <w:sz w:val="26"/>
          <w:szCs w:val="26"/>
          <w:lang w:eastAsia="en-US"/>
        </w:rPr>
        <w:t xml:space="preserve"> (včetně poměrného starobního) se snížil o 14,3</w:t>
      </w:r>
      <w:r w:rsidR="00705A01">
        <w:rPr>
          <w:rFonts w:ascii="Calibri" w:eastAsia="Calibri" w:hAnsi="Calibri" w:cs="Calibri"/>
          <w:sz w:val="26"/>
          <w:szCs w:val="26"/>
          <w:lang w:eastAsia="en-US"/>
        </w:rPr>
        <w:t> </w:t>
      </w:r>
      <w:r w:rsidRPr="0017713A">
        <w:rPr>
          <w:rFonts w:ascii="Calibri" w:eastAsia="Calibri" w:hAnsi="Calibri" w:cs="Calibri"/>
          <w:sz w:val="26"/>
          <w:szCs w:val="26"/>
          <w:lang w:eastAsia="en-US"/>
        </w:rPr>
        <w:t>tis. (o 0,6</w:t>
      </w:r>
      <w:r w:rsidR="00705A01">
        <w:rPr>
          <w:rFonts w:ascii="Calibri" w:eastAsia="Calibri" w:hAnsi="Calibri" w:cs="Calibri"/>
          <w:sz w:val="26"/>
          <w:szCs w:val="26"/>
          <w:lang w:eastAsia="en-US"/>
        </w:rPr>
        <w:t> </w:t>
      </w:r>
      <w:r w:rsidRPr="0017713A">
        <w:rPr>
          <w:rFonts w:ascii="Calibri" w:eastAsia="Calibri" w:hAnsi="Calibri" w:cs="Calibri"/>
          <w:sz w:val="26"/>
          <w:szCs w:val="26"/>
          <w:lang w:eastAsia="en-US"/>
        </w:rPr>
        <w:t xml:space="preserve">%) na </w:t>
      </w:r>
      <w:r w:rsidRPr="0017713A">
        <w:rPr>
          <w:rFonts w:ascii="Calibri" w:eastAsia="Calibri" w:hAnsi="Calibri" w:cs="Calibri"/>
          <w:b/>
          <w:sz w:val="26"/>
          <w:szCs w:val="26"/>
          <w:lang w:eastAsia="en-US"/>
        </w:rPr>
        <w:t>2 400,5</w:t>
      </w:r>
      <w:r w:rsidR="00705A01">
        <w:rPr>
          <w:rFonts w:ascii="Calibri" w:eastAsia="Calibri" w:hAnsi="Calibri" w:cs="Calibri"/>
          <w:b/>
          <w:sz w:val="26"/>
          <w:szCs w:val="26"/>
          <w:lang w:eastAsia="en-US"/>
        </w:rPr>
        <w:t> </w:t>
      </w:r>
      <w:r w:rsidRPr="0017713A">
        <w:rPr>
          <w:rFonts w:ascii="Calibri" w:eastAsia="Calibri" w:hAnsi="Calibri" w:cs="Calibri"/>
          <w:b/>
          <w:sz w:val="26"/>
          <w:szCs w:val="26"/>
          <w:lang w:eastAsia="en-US"/>
        </w:rPr>
        <w:t>tis. osob</w:t>
      </w:r>
      <w:r w:rsidRPr="0017713A">
        <w:rPr>
          <w:rFonts w:ascii="Calibri" w:eastAsia="Calibri" w:hAnsi="Calibri" w:cs="Calibri"/>
          <w:sz w:val="26"/>
          <w:szCs w:val="26"/>
          <w:lang w:eastAsia="en-US"/>
        </w:rPr>
        <w:t xml:space="preserve">, v rámci této skupiny důchodců činil počet důchodců </w:t>
      </w:r>
      <w:r w:rsidRPr="0017713A">
        <w:rPr>
          <w:rFonts w:ascii="Calibri" w:eastAsia="Calibri" w:hAnsi="Calibri" w:cs="Calibri"/>
          <w:b/>
          <w:sz w:val="26"/>
          <w:szCs w:val="26"/>
          <w:lang w:eastAsia="en-US"/>
        </w:rPr>
        <w:t>s trvale kráceným předčasným důchodem</w:t>
      </w:r>
      <w:r w:rsidRPr="0017713A">
        <w:rPr>
          <w:rFonts w:ascii="Calibri" w:eastAsia="Calibri" w:hAnsi="Calibri" w:cs="Calibri"/>
          <w:sz w:val="26"/>
          <w:szCs w:val="26"/>
          <w:lang w:eastAsia="en-US"/>
        </w:rPr>
        <w:t xml:space="preserve"> </w:t>
      </w:r>
      <w:r w:rsidRPr="0017713A">
        <w:rPr>
          <w:rFonts w:ascii="Calibri" w:eastAsia="Calibri" w:hAnsi="Calibri" w:cs="Calibri"/>
          <w:b/>
          <w:sz w:val="26"/>
          <w:szCs w:val="26"/>
          <w:lang w:eastAsia="en-US"/>
        </w:rPr>
        <w:t>651,1 tis.</w:t>
      </w:r>
      <w:r w:rsidRPr="0017713A">
        <w:rPr>
          <w:rFonts w:ascii="Calibri" w:eastAsia="Calibri" w:hAnsi="Calibri" w:cs="Calibri"/>
          <w:sz w:val="26"/>
          <w:szCs w:val="26"/>
          <w:lang w:eastAsia="en-US"/>
        </w:rPr>
        <w:t xml:space="preserve"> (oproti stejnému období předchozího roku se zvýšil o</w:t>
      </w:r>
      <w:r w:rsidR="00705A01">
        <w:rPr>
          <w:rFonts w:ascii="Calibri" w:eastAsia="Calibri" w:hAnsi="Calibri" w:cs="Calibri"/>
          <w:sz w:val="26"/>
          <w:szCs w:val="26"/>
          <w:lang w:eastAsia="en-US"/>
        </w:rPr>
        <w:t> </w:t>
      </w:r>
      <w:r w:rsidRPr="0017713A">
        <w:rPr>
          <w:rFonts w:ascii="Calibri" w:eastAsia="Calibri" w:hAnsi="Calibri" w:cs="Calibri"/>
          <w:sz w:val="26"/>
          <w:szCs w:val="26"/>
          <w:lang w:eastAsia="en-US"/>
        </w:rPr>
        <w:t>10,3</w:t>
      </w:r>
      <w:r w:rsidR="00705A01">
        <w:rPr>
          <w:rFonts w:ascii="Calibri" w:eastAsia="Calibri" w:hAnsi="Calibri" w:cs="Calibri"/>
          <w:sz w:val="26"/>
          <w:szCs w:val="26"/>
          <w:lang w:eastAsia="en-US"/>
        </w:rPr>
        <w:t> </w:t>
      </w:r>
      <w:r w:rsidRPr="0017713A">
        <w:rPr>
          <w:rFonts w:ascii="Calibri" w:eastAsia="Calibri" w:hAnsi="Calibri" w:cs="Calibri"/>
          <w:sz w:val="26"/>
          <w:szCs w:val="26"/>
          <w:lang w:eastAsia="en-US"/>
        </w:rPr>
        <w:t xml:space="preserve">tis., tj. o 1,6 %). Meziročně se </w:t>
      </w:r>
      <w:r w:rsidRPr="0017713A">
        <w:rPr>
          <w:rFonts w:ascii="Calibri" w:eastAsia="Calibri" w:hAnsi="Calibri" w:cs="Calibri"/>
          <w:b/>
          <w:sz w:val="26"/>
          <w:szCs w:val="26"/>
          <w:lang w:eastAsia="en-US"/>
        </w:rPr>
        <w:t>snížily</w:t>
      </w:r>
      <w:r w:rsidRPr="0017713A">
        <w:rPr>
          <w:rFonts w:ascii="Calibri" w:eastAsia="Calibri" w:hAnsi="Calibri" w:cs="Calibri"/>
          <w:sz w:val="26"/>
          <w:szCs w:val="26"/>
          <w:lang w:eastAsia="en-US"/>
        </w:rPr>
        <w:t xml:space="preserve"> počty příjemců </w:t>
      </w:r>
      <w:r w:rsidRPr="0017713A">
        <w:rPr>
          <w:rFonts w:ascii="Calibri" w:eastAsia="Calibri" w:hAnsi="Calibri" w:cs="Calibri"/>
          <w:b/>
          <w:sz w:val="26"/>
          <w:szCs w:val="26"/>
          <w:lang w:eastAsia="en-US"/>
        </w:rPr>
        <w:t>invalidních</w:t>
      </w:r>
      <w:r w:rsidRPr="0017713A">
        <w:rPr>
          <w:rFonts w:ascii="Calibri" w:eastAsia="Calibri" w:hAnsi="Calibri" w:cs="Calibri"/>
          <w:sz w:val="26"/>
          <w:szCs w:val="26"/>
          <w:lang w:eastAsia="en-US"/>
        </w:rPr>
        <w:t xml:space="preserve"> důchodů o 1,3</w:t>
      </w:r>
      <w:r w:rsidR="00705A01">
        <w:rPr>
          <w:rFonts w:ascii="Calibri" w:eastAsia="Calibri" w:hAnsi="Calibri" w:cs="Calibri"/>
          <w:sz w:val="26"/>
          <w:szCs w:val="26"/>
          <w:lang w:eastAsia="en-US"/>
        </w:rPr>
        <w:t> </w:t>
      </w:r>
      <w:r w:rsidRPr="0017713A">
        <w:rPr>
          <w:rFonts w:ascii="Calibri" w:eastAsia="Calibri" w:hAnsi="Calibri" w:cs="Calibri"/>
          <w:sz w:val="26"/>
          <w:szCs w:val="26"/>
          <w:lang w:eastAsia="en-US"/>
        </w:rPr>
        <w:t>tis. na 417,6</w:t>
      </w:r>
      <w:r w:rsidR="00473782">
        <w:rPr>
          <w:rFonts w:ascii="Calibri" w:eastAsia="Calibri" w:hAnsi="Calibri" w:cs="Calibri"/>
          <w:sz w:val="26"/>
          <w:szCs w:val="26"/>
          <w:lang w:eastAsia="en-US"/>
        </w:rPr>
        <w:t> </w:t>
      </w:r>
      <w:r w:rsidRPr="0017713A">
        <w:rPr>
          <w:rFonts w:ascii="Calibri" w:eastAsia="Calibri" w:hAnsi="Calibri" w:cs="Calibri"/>
          <w:sz w:val="26"/>
          <w:szCs w:val="26"/>
          <w:lang w:eastAsia="en-US"/>
        </w:rPr>
        <w:t>tis. (o 0,3</w:t>
      </w:r>
      <w:r w:rsidR="00473782">
        <w:rPr>
          <w:rFonts w:ascii="Calibri" w:eastAsia="Calibri" w:hAnsi="Calibri" w:cs="Calibri"/>
          <w:sz w:val="26"/>
          <w:szCs w:val="26"/>
          <w:lang w:eastAsia="en-US"/>
        </w:rPr>
        <w:t> </w:t>
      </w:r>
      <w:r w:rsidRPr="0017713A">
        <w:rPr>
          <w:rFonts w:ascii="Calibri" w:eastAsia="Calibri" w:hAnsi="Calibri" w:cs="Calibri"/>
          <w:sz w:val="26"/>
          <w:szCs w:val="26"/>
          <w:lang w:eastAsia="en-US"/>
        </w:rPr>
        <w:t xml:space="preserve">%), </w:t>
      </w:r>
      <w:r w:rsidRPr="0017713A">
        <w:rPr>
          <w:rFonts w:ascii="Calibri" w:eastAsia="Calibri" w:hAnsi="Calibri" w:cs="Calibri"/>
          <w:b/>
          <w:sz w:val="26"/>
          <w:szCs w:val="26"/>
          <w:lang w:eastAsia="en-US"/>
        </w:rPr>
        <w:t>vdovských a vdoveckých</w:t>
      </w:r>
      <w:r w:rsidRPr="0017713A">
        <w:rPr>
          <w:rFonts w:ascii="Calibri" w:eastAsia="Calibri" w:hAnsi="Calibri" w:cs="Calibri"/>
          <w:sz w:val="26"/>
          <w:szCs w:val="26"/>
          <w:lang w:eastAsia="en-US"/>
        </w:rPr>
        <w:t xml:space="preserve"> důchodů o 0,9</w:t>
      </w:r>
      <w:r w:rsidR="00473782">
        <w:rPr>
          <w:rFonts w:ascii="Calibri" w:eastAsia="Calibri" w:hAnsi="Calibri" w:cs="Calibri"/>
          <w:sz w:val="26"/>
          <w:szCs w:val="26"/>
          <w:lang w:eastAsia="en-US"/>
        </w:rPr>
        <w:t> </w:t>
      </w:r>
      <w:r w:rsidRPr="0017713A">
        <w:rPr>
          <w:rFonts w:ascii="Calibri" w:eastAsia="Calibri" w:hAnsi="Calibri" w:cs="Calibri"/>
          <w:sz w:val="26"/>
          <w:szCs w:val="26"/>
          <w:lang w:eastAsia="en-US"/>
        </w:rPr>
        <w:t>tis. osob (o 3,5 %); naopak u</w:t>
      </w:r>
      <w:r w:rsidR="00B33B21">
        <w:rPr>
          <w:rFonts w:ascii="Calibri" w:eastAsia="Calibri" w:hAnsi="Calibri" w:cs="Calibri"/>
          <w:sz w:val="26"/>
          <w:szCs w:val="26"/>
          <w:lang w:eastAsia="en-US"/>
        </w:rPr>
        <w:t> </w:t>
      </w:r>
      <w:r w:rsidRPr="0017713A">
        <w:rPr>
          <w:rFonts w:ascii="Calibri" w:eastAsia="Calibri" w:hAnsi="Calibri" w:cs="Calibri"/>
          <w:b/>
          <w:sz w:val="26"/>
          <w:szCs w:val="26"/>
          <w:lang w:eastAsia="en-US"/>
        </w:rPr>
        <w:t>sirotčího</w:t>
      </w:r>
      <w:r w:rsidRPr="0017713A">
        <w:rPr>
          <w:rFonts w:ascii="Calibri" w:eastAsia="Calibri" w:hAnsi="Calibri" w:cs="Calibri"/>
          <w:sz w:val="26"/>
          <w:szCs w:val="26"/>
          <w:lang w:eastAsia="en-US"/>
        </w:rPr>
        <w:t xml:space="preserve"> důchodu došlo ke zvýšení o 0,5</w:t>
      </w:r>
      <w:r w:rsidR="00473782">
        <w:rPr>
          <w:rFonts w:ascii="Calibri" w:eastAsia="Calibri" w:hAnsi="Calibri" w:cs="Calibri"/>
          <w:sz w:val="26"/>
          <w:szCs w:val="26"/>
          <w:lang w:eastAsia="en-US"/>
        </w:rPr>
        <w:t> </w:t>
      </w:r>
      <w:r w:rsidRPr="0017713A">
        <w:rPr>
          <w:rFonts w:ascii="Calibri" w:eastAsia="Calibri" w:hAnsi="Calibri" w:cs="Calibri"/>
          <w:sz w:val="26"/>
          <w:szCs w:val="26"/>
          <w:lang w:eastAsia="en-US"/>
        </w:rPr>
        <w:t>tis. osob (1,3</w:t>
      </w:r>
      <w:r w:rsidR="00473782">
        <w:rPr>
          <w:rFonts w:ascii="Calibri" w:eastAsia="Calibri" w:hAnsi="Calibri" w:cs="Calibri"/>
          <w:sz w:val="26"/>
          <w:szCs w:val="26"/>
          <w:lang w:eastAsia="en-US"/>
        </w:rPr>
        <w:t> </w:t>
      </w:r>
      <w:r w:rsidRPr="0017713A">
        <w:rPr>
          <w:rFonts w:ascii="Calibri" w:eastAsia="Calibri" w:hAnsi="Calibri" w:cs="Calibri"/>
          <w:sz w:val="26"/>
          <w:szCs w:val="26"/>
          <w:lang w:eastAsia="en-US"/>
        </w:rPr>
        <w:t>%),</w:t>
      </w:r>
    </w:p>
    <w:p w14:paraId="4238CA64" w14:textId="5B145469" w:rsidR="0017713A" w:rsidRPr="00B33B21" w:rsidRDefault="0017713A" w:rsidP="00B33B21">
      <w:pPr>
        <w:numPr>
          <w:ilvl w:val="0"/>
          <w:numId w:val="12"/>
        </w:numPr>
        <w:spacing w:after="120" w:line="259" w:lineRule="auto"/>
        <w:ind w:left="357" w:hanging="357"/>
        <w:jc w:val="both"/>
        <w:rPr>
          <w:rFonts w:ascii="Calibri" w:eastAsia="Calibri" w:hAnsi="Calibri" w:cs="Calibri"/>
          <w:sz w:val="26"/>
          <w:szCs w:val="26"/>
          <w:lang w:eastAsia="en-US"/>
        </w:rPr>
      </w:pPr>
      <w:r w:rsidRPr="0017713A">
        <w:rPr>
          <w:rFonts w:ascii="Calibri" w:eastAsia="Calibri" w:hAnsi="Calibri" w:cs="Calibri"/>
          <w:b/>
          <w:sz w:val="26"/>
          <w:szCs w:val="26"/>
          <w:lang w:eastAsia="en-US"/>
        </w:rPr>
        <w:t xml:space="preserve">průměrný </w:t>
      </w:r>
      <w:r w:rsidRPr="0017713A">
        <w:rPr>
          <w:rFonts w:ascii="Calibri" w:eastAsia="Calibri" w:hAnsi="Calibri" w:cs="Calibri"/>
          <w:sz w:val="26"/>
          <w:szCs w:val="26"/>
          <w:lang w:eastAsia="en-US"/>
        </w:rPr>
        <w:t xml:space="preserve">nominální </w:t>
      </w:r>
      <w:r w:rsidRPr="0017713A">
        <w:rPr>
          <w:rFonts w:ascii="Calibri" w:eastAsia="Calibri" w:hAnsi="Calibri" w:cs="Calibri"/>
          <w:b/>
          <w:sz w:val="26"/>
          <w:szCs w:val="26"/>
          <w:lang w:eastAsia="en-US"/>
        </w:rPr>
        <w:t>starobní důchod</w:t>
      </w:r>
      <w:r w:rsidRPr="0017713A">
        <w:rPr>
          <w:rFonts w:ascii="Calibri" w:eastAsia="Calibri" w:hAnsi="Calibri" w:cs="Calibri"/>
          <w:sz w:val="26"/>
          <w:szCs w:val="26"/>
          <w:lang w:eastAsia="en-US"/>
        </w:rPr>
        <w:t xml:space="preserve"> (vyplácený samostatně) </w:t>
      </w:r>
      <w:r w:rsidRPr="0017713A">
        <w:rPr>
          <w:rFonts w:ascii="Calibri" w:eastAsia="Calibri" w:hAnsi="Calibri" w:cs="Calibri"/>
          <w:b/>
          <w:sz w:val="26"/>
          <w:szCs w:val="26"/>
          <w:lang w:eastAsia="en-US"/>
        </w:rPr>
        <w:t>dosáhl 14 502 Kč</w:t>
      </w:r>
      <w:r w:rsidRPr="0017713A">
        <w:rPr>
          <w:rFonts w:ascii="Calibri" w:eastAsia="Calibri" w:hAnsi="Calibri" w:cs="Calibri"/>
          <w:sz w:val="26"/>
          <w:szCs w:val="26"/>
          <w:lang w:eastAsia="en-US"/>
        </w:rPr>
        <w:t xml:space="preserve"> a</w:t>
      </w:r>
      <w:r w:rsidR="00B33B21">
        <w:rPr>
          <w:rFonts w:ascii="Calibri" w:eastAsia="Calibri" w:hAnsi="Calibri" w:cs="Calibri"/>
          <w:sz w:val="26"/>
          <w:szCs w:val="26"/>
          <w:lang w:eastAsia="en-US"/>
        </w:rPr>
        <w:t> </w:t>
      </w:r>
      <w:r w:rsidRPr="0017713A">
        <w:rPr>
          <w:rFonts w:ascii="Calibri" w:eastAsia="Calibri" w:hAnsi="Calibri" w:cs="Calibri"/>
          <w:b/>
          <w:sz w:val="26"/>
          <w:szCs w:val="26"/>
          <w:lang w:eastAsia="en-US"/>
        </w:rPr>
        <w:t>převýšil</w:t>
      </w:r>
      <w:r w:rsidRPr="0017713A">
        <w:rPr>
          <w:rFonts w:ascii="Calibri" w:eastAsia="Calibri" w:hAnsi="Calibri" w:cs="Calibri"/>
          <w:sz w:val="26"/>
          <w:szCs w:val="26"/>
          <w:lang w:eastAsia="en-US"/>
        </w:rPr>
        <w:t xml:space="preserve"> o 1</w:t>
      </w:r>
      <w:r w:rsidR="00473782">
        <w:rPr>
          <w:rFonts w:ascii="Calibri" w:eastAsia="Calibri" w:hAnsi="Calibri" w:cs="Calibri"/>
          <w:sz w:val="26"/>
          <w:szCs w:val="26"/>
          <w:lang w:eastAsia="en-US"/>
        </w:rPr>
        <w:t> </w:t>
      </w:r>
      <w:r w:rsidRPr="0017713A">
        <w:rPr>
          <w:rFonts w:ascii="Calibri" w:eastAsia="Calibri" w:hAnsi="Calibri" w:cs="Calibri"/>
          <w:sz w:val="26"/>
          <w:szCs w:val="26"/>
          <w:lang w:eastAsia="en-US"/>
        </w:rPr>
        <w:t>015</w:t>
      </w:r>
      <w:r w:rsidR="00473782">
        <w:rPr>
          <w:rFonts w:ascii="Calibri" w:eastAsia="Calibri" w:hAnsi="Calibri" w:cs="Calibri"/>
          <w:sz w:val="26"/>
          <w:szCs w:val="26"/>
          <w:lang w:eastAsia="en-US"/>
        </w:rPr>
        <w:t> </w:t>
      </w:r>
      <w:r w:rsidRPr="0017713A">
        <w:rPr>
          <w:rFonts w:ascii="Calibri" w:eastAsia="Calibri" w:hAnsi="Calibri" w:cs="Calibri"/>
          <w:sz w:val="26"/>
          <w:szCs w:val="26"/>
          <w:lang w:eastAsia="en-US"/>
        </w:rPr>
        <w:t xml:space="preserve">Kč skutečnost stejného měsíce roku 2019 (viz tabulku č. 9 v příloze). </w:t>
      </w:r>
      <w:r w:rsidRPr="0017713A">
        <w:rPr>
          <w:rFonts w:ascii="Calibri" w:eastAsia="Calibri" w:hAnsi="Calibri" w:cs="Calibri"/>
          <w:b/>
          <w:sz w:val="26"/>
          <w:szCs w:val="26"/>
          <w:lang w:eastAsia="en-US"/>
        </w:rPr>
        <w:t>U žen</w:t>
      </w:r>
      <w:r w:rsidRPr="0017713A">
        <w:rPr>
          <w:rFonts w:ascii="Calibri" w:eastAsia="Calibri" w:hAnsi="Calibri" w:cs="Calibri"/>
          <w:sz w:val="26"/>
          <w:szCs w:val="26"/>
          <w:lang w:eastAsia="en-US"/>
        </w:rPr>
        <w:t xml:space="preserve"> činil 13</w:t>
      </w:r>
      <w:r w:rsidR="00473782">
        <w:rPr>
          <w:rFonts w:ascii="Calibri" w:eastAsia="Calibri" w:hAnsi="Calibri" w:cs="Calibri"/>
          <w:sz w:val="26"/>
          <w:szCs w:val="26"/>
          <w:lang w:eastAsia="en-US"/>
        </w:rPr>
        <w:t> </w:t>
      </w:r>
      <w:r w:rsidRPr="0017713A">
        <w:rPr>
          <w:rFonts w:ascii="Calibri" w:eastAsia="Calibri" w:hAnsi="Calibri" w:cs="Calibri"/>
          <w:sz w:val="26"/>
          <w:szCs w:val="26"/>
          <w:lang w:eastAsia="en-US"/>
        </w:rPr>
        <w:t>221</w:t>
      </w:r>
      <w:r w:rsidR="00473782">
        <w:rPr>
          <w:rFonts w:ascii="Calibri" w:eastAsia="Calibri" w:hAnsi="Calibri" w:cs="Calibri"/>
          <w:sz w:val="26"/>
          <w:szCs w:val="26"/>
          <w:lang w:eastAsia="en-US"/>
        </w:rPr>
        <w:t> </w:t>
      </w:r>
      <w:r w:rsidRPr="0017713A">
        <w:rPr>
          <w:rFonts w:ascii="Calibri" w:eastAsia="Calibri" w:hAnsi="Calibri" w:cs="Calibri"/>
          <w:sz w:val="26"/>
          <w:szCs w:val="26"/>
          <w:lang w:eastAsia="en-US"/>
        </w:rPr>
        <w:t xml:space="preserve">Kč, čímž představoval </w:t>
      </w:r>
      <w:r w:rsidRPr="0017713A">
        <w:rPr>
          <w:rFonts w:ascii="Calibri" w:eastAsia="Calibri" w:hAnsi="Calibri" w:cs="Calibri"/>
          <w:b/>
          <w:sz w:val="26"/>
          <w:szCs w:val="26"/>
          <w:lang w:eastAsia="en-US"/>
        </w:rPr>
        <w:t>83,2</w:t>
      </w:r>
      <w:r w:rsidR="00473782">
        <w:rPr>
          <w:rFonts w:ascii="Calibri" w:eastAsia="Calibri" w:hAnsi="Calibri" w:cs="Calibri"/>
          <w:b/>
          <w:sz w:val="26"/>
          <w:szCs w:val="26"/>
          <w:lang w:eastAsia="en-US"/>
        </w:rPr>
        <w:t> </w:t>
      </w:r>
      <w:r w:rsidRPr="0017713A">
        <w:rPr>
          <w:rFonts w:ascii="Calibri" w:eastAsia="Calibri" w:hAnsi="Calibri" w:cs="Calibri"/>
          <w:b/>
          <w:sz w:val="26"/>
          <w:szCs w:val="26"/>
          <w:lang w:eastAsia="en-US"/>
        </w:rPr>
        <w:t>%</w:t>
      </w:r>
      <w:r w:rsidRPr="0017713A">
        <w:rPr>
          <w:rFonts w:ascii="Calibri" w:eastAsia="Calibri" w:hAnsi="Calibri" w:cs="Calibri"/>
          <w:sz w:val="26"/>
          <w:szCs w:val="26"/>
          <w:lang w:eastAsia="en-US"/>
        </w:rPr>
        <w:t xml:space="preserve"> </w:t>
      </w:r>
      <w:r w:rsidRPr="0017713A">
        <w:rPr>
          <w:rFonts w:ascii="Calibri" w:eastAsia="Calibri" w:hAnsi="Calibri" w:cs="Calibri"/>
          <w:b/>
          <w:sz w:val="26"/>
          <w:szCs w:val="26"/>
          <w:lang w:eastAsia="en-US"/>
        </w:rPr>
        <w:t xml:space="preserve">průměrného důchodu </w:t>
      </w:r>
      <w:r w:rsidRPr="0017713A">
        <w:rPr>
          <w:rFonts w:ascii="Calibri" w:eastAsia="Calibri" w:hAnsi="Calibri" w:cs="Calibri"/>
          <w:b/>
          <w:sz w:val="26"/>
          <w:szCs w:val="26"/>
          <w:lang w:eastAsia="en-US"/>
        </w:rPr>
        <w:lastRenderedPageBreak/>
        <w:t>mužů</w:t>
      </w:r>
      <w:r w:rsidRPr="0017713A">
        <w:rPr>
          <w:rFonts w:ascii="Calibri" w:eastAsia="Calibri" w:hAnsi="Calibri" w:cs="Calibri"/>
          <w:sz w:val="26"/>
          <w:szCs w:val="26"/>
          <w:lang w:eastAsia="en-US"/>
        </w:rPr>
        <w:t xml:space="preserve"> (15</w:t>
      </w:r>
      <w:r w:rsidR="00473782">
        <w:rPr>
          <w:rFonts w:ascii="Calibri" w:eastAsia="Calibri" w:hAnsi="Calibri" w:cs="Calibri"/>
          <w:sz w:val="26"/>
          <w:szCs w:val="26"/>
          <w:lang w:eastAsia="en-US"/>
        </w:rPr>
        <w:t> </w:t>
      </w:r>
      <w:r w:rsidRPr="0017713A">
        <w:rPr>
          <w:rFonts w:ascii="Calibri" w:eastAsia="Calibri" w:hAnsi="Calibri" w:cs="Calibri"/>
          <w:sz w:val="26"/>
          <w:szCs w:val="26"/>
          <w:lang w:eastAsia="en-US"/>
        </w:rPr>
        <w:t>898</w:t>
      </w:r>
      <w:r w:rsidR="00473782">
        <w:rPr>
          <w:rFonts w:ascii="Calibri" w:eastAsia="Calibri" w:hAnsi="Calibri" w:cs="Calibri"/>
          <w:sz w:val="26"/>
          <w:szCs w:val="26"/>
          <w:lang w:eastAsia="en-US"/>
        </w:rPr>
        <w:t> </w:t>
      </w:r>
      <w:r w:rsidRPr="0017713A">
        <w:rPr>
          <w:rFonts w:ascii="Calibri" w:eastAsia="Calibri" w:hAnsi="Calibri" w:cs="Calibri"/>
          <w:sz w:val="26"/>
          <w:szCs w:val="26"/>
          <w:lang w:eastAsia="en-US"/>
        </w:rPr>
        <w:t>Kč). Průměrná výše trvale kráceného předčasného důchodu byla oproti průměrnému starobnímu důchodu o</w:t>
      </w:r>
      <w:r w:rsidR="00473782">
        <w:rPr>
          <w:rFonts w:ascii="Calibri" w:eastAsia="Calibri" w:hAnsi="Calibri" w:cs="Calibri"/>
          <w:sz w:val="26"/>
          <w:szCs w:val="26"/>
          <w:lang w:eastAsia="en-US"/>
        </w:rPr>
        <w:t> </w:t>
      </w:r>
      <w:r w:rsidRPr="0017713A">
        <w:rPr>
          <w:rFonts w:ascii="Calibri" w:eastAsia="Calibri" w:hAnsi="Calibri" w:cs="Calibri"/>
          <w:sz w:val="26"/>
          <w:szCs w:val="26"/>
          <w:lang w:eastAsia="en-US"/>
        </w:rPr>
        <w:t>1</w:t>
      </w:r>
      <w:r w:rsidR="00473782">
        <w:rPr>
          <w:rFonts w:ascii="Calibri" w:eastAsia="Calibri" w:hAnsi="Calibri" w:cs="Calibri"/>
          <w:sz w:val="26"/>
          <w:szCs w:val="26"/>
          <w:lang w:eastAsia="en-US"/>
        </w:rPr>
        <w:t> </w:t>
      </w:r>
      <w:r w:rsidRPr="0017713A">
        <w:rPr>
          <w:rFonts w:ascii="Calibri" w:eastAsia="Calibri" w:hAnsi="Calibri" w:cs="Calibri"/>
          <w:sz w:val="26"/>
          <w:szCs w:val="26"/>
          <w:lang w:eastAsia="en-US"/>
        </w:rPr>
        <w:t>548</w:t>
      </w:r>
      <w:r w:rsidR="00473782">
        <w:rPr>
          <w:rFonts w:ascii="Calibri" w:eastAsia="Calibri" w:hAnsi="Calibri" w:cs="Calibri"/>
          <w:sz w:val="26"/>
          <w:szCs w:val="26"/>
          <w:lang w:eastAsia="en-US"/>
        </w:rPr>
        <w:t> </w:t>
      </w:r>
      <w:r w:rsidRPr="0017713A">
        <w:rPr>
          <w:rFonts w:ascii="Calibri" w:eastAsia="Calibri" w:hAnsi="Calibri" w:cs="Calibri"/>
          <w:sz w:val="26"/>
          <w:szCs w:val="26"/>
          <w:lang w:eastAsia="en-US"/>
        </w:rPr>
        <w:t>Kč nižší a dosáhla 12</w:t>
      </w:r>
      <w:r w:rsidR="00473782">
        <w:rPr>
          <w:rFonts w:ascii="Calibri" w:eastAsia="Calibri" w:hAnsi="Calibri" w:cs="Calibri"/>
          <w:sz w:val="26"/>
          <w:szCs w:val="26"/>
          <w:lang w:eastAsia="en-US"/>
        </w:rPr>
        <w:t> </w:t>
      </w:r>
      <w:r w:rsidRPr="0017713A">
        <w:rPr>
          <w:rFonts w:ascii="Calibri" w:eastAsia="Calibri" w:hAnsi="Calibri" w:cs="Calibri"/>
          <w:sz w:val="26"/>
          <w:szCs w:val="26"/>
          <w:lang w:eastAsia="en-US"/>
        </w:rPr>
        <w:t>954</w:t>
      </w:r>
      <w:r w:rsidR="00473782">
        <w:rPr>
          <w:rFonts w:ascii="Calibri" w:eastAsia="Calibri" w:hAnsi="Calibri" w:cs="Calibri"/>
          <w:sz w:val="26"/>
          <w:szCs w:val="26"/>
          <w:lang w:eastAsia="en-US"/>
        </w:rPr>
        <w:t> </w:t>
      </w:r>
      <w:r w:rsidRPr="0017713A">
        <w:rPr>
          <w:rFonts w:ascii="Calibri" w:eastAsia="Calibri" w:hAnsi="Calibri" w:cs="Calibri"/>
          <w:sz w:val="26"/>
          <w:szCs w:val="26"/>
          <w:lang w:eastAsia="en-US"/>
        </w:rPr>
        <w:t xml:space="preserve">Kč (o 934 Kč více než ve srovnatelném </w:t>
      </w:r>
      <w:r w:rsidRPr="00B33B21">
        <w:rPr>
          <w:rFonts w:ascii="Calibri" w:eastAsia="Calibri" w:hAnsi="Calibri" w:cs="Calibri"/>
          <w:sz w:val="26"/>
          <w:szCs w:val="26"/>
          <w:lang w:eastAsia="en-US"/>
        </w:rPr>
        <w:t>období předchozího roku), z toho u mužů 14</w:t>
      </w:r>
      <w:r w:rsidR="00473782" w:rsidRPr="00B33B21">
        <w:rPr>
          <w:rFonts w:ascii="Calibri" w:eastAsia="Calibri" w:hAnsi="Calibri" w:cs="Calibri"/>
          <w:sz w:val="26"/>
          <w:szCs w:val="26"/>
          <w:lang w:eastAsia="en-US"/>
        </w:rPr>
        <w:t> </w:t>
      </w:r>
      <w:r w:rsidRPr="00B33B21">
        <w:rPr>
          <w:rFonts w:ascii="Calibri" w:eastAsia="Calibri" w:hAnsi="Calibri" w:cs="Calibri"/>
          <w:sz w:val="26"/>
          <w:szCs w:val="26"/>
          <w:lang w:eastAsia="en-US"/>
        </w:rPr>
        <w:t>269</w:t>
      </w:r>
      <w:r w:rsidR="00473782" w:rsidRPr="00B33B21">
        <w:rPr>
          <w:rFonts w:ascii="Calibri" w:eastAsia="Calibri" w:hAnsi="Calibri" w:cs="Calibri"/>
          <w:sz w:val="26"/>
          <w:szCs w:val="26"/>
          <w:lang w:eastAsia="en-US"/>
        </w:rPr>
        <w:t> </w:t>
      </w:r>
      <w:r w:rsidRPr="00B33B21">
        <w:rPr>
          <w:rFonts w:ascii="Calibri" w:eastAsia="Calibri" w:hAnsi="Calibri" w:cs="Calibri"/>
          <w:sz w:val="26"/>
          <w:szCs w:val="26"/>
          <w:lang w:eastAsia="en-US"/>
        </w:rPr>
        <w:t>Kč a u žen 11</w:t>
      </w:r>
      <w:r w:rsidR="00473782" w:rsidRPr="00B33B21">
        <w:rPr>
          <w:rFonts w:ascii="Calibri" w:eastAsia="Calibri" w:hAnsi="Calibri" w:cs="Calibri"/>
          <w:sz w:val="26"/>
          <w:szCs w:val="26"/>
          <w:lang w:eastAsia="en-US"/>
        </w:rPr>
        <w:t> </w:t>
      </w:r>
      <w:r w:rsidRPr="00B33B21">
        <w:rPr>
          <w:rFonts w:ascii="Calibri" w:eastAsia="Calibri" w:hAnsi="Calibri" w:cs="Calibri"/>
          <w:sz w:val="26"/>
          <w:szCs w:val="26"/>
          <w:lang w:eastAsia="en-US"/>
        </w:rPr>
        <w:t>768</w:t>
      </w:r>
      <w:r w:rsidR="00473782" w:rsidRPr="00B33B21">
        <w:rPr>
          <w:rFonts w:ascii="Calibri" w:eastAsia="Calibri" w:hAnsi="Calibri" w:cs="Calibri"/>
          <w:sz w:val="26"/>
          <w:szCs w:val="26"/>
          <w:lang w:eastAsia="en-US"/>
        </w:rPr>
        <w:t> </w:t>
      </w:r>
      <w:r w:rsidRPr="00B33B21">
        <w:rPr>
          <w:rFonts w:ascii="Calibri" w:eastAsia="Calibri" w:hAnsi="Calibri" w:cs="Calibri"/>
          <w:sz w:val="26"/>
          <w:szCs w:val="26"/>
          <w:lang w:eastAsia="en-US"/>
        </w:rPr>
        <w:t>Kč,</w:t>
      </w:r>
    </w:p>
    <w:p w14:paraId="38BA7320" w14:textId="3A5B7B8F" w:rsidR="0017713A" w:rsidRPr="0017713A" w:rsidRDefault="0017713A" w:rsidP="00B33B21">
      <w:pPr>
        <w:numPr>
          <w:ilvl w:val="0"/>
          <w:numId w:val="12"/>
        </w:numPr>
        <w:spacing w:after="120" w:line="259" w:lineRule="auto"/>
        <w:ind w:left="357" w:hanging="357"/>
        <w:jc w:val="both"/>
        <w:rPr>
          <w:rFonts w:ascii="Calibri" w:eastAsia="Calibri" w:hAnsi="Calibri" w:cs="Calibri"/>
          <w:sz w:val="26"/>
          <w:szCs w:val="26"/>
          <w:lang w:eastAsia="en-US"/>
        </w:rPr>
      </w:pPr>
      <w:r w:rsidRPr="00B33B21">
        <w:rPr>
          <w:rFonts w:ascii="Calibri" w:eastAsia="Calibri" w:hAnsi="Calibri" w:cs="Calibri"/>
          <w:sz w:val="26"/>
          <w:szCs w:val="26"/>
          <w:lang w:eastAsia="en-US"/>
        </w:rPr>
        <w:t xml:space="preserve">stejně jako v prosinci 2019 pobírali </w:t>
      </w:r>
      <w:r w:rsidRPr="00B33B21">
        <w:rPr>
          <w:rFonts w:ascii="Calibri" w:eastAsia="Calibri" w:hAnsi="Calibri" w:cs="Calibri"/>
          <w:b/>
          <w:bCs/>
          <w:sz w:val="26"/>
          <w:szCs w:val="26"/>
          <w:lang w:eastAsia="en-US"/>
        </w:rPr>
        <w:t>nejvy</w:t>
      </w:r>
      <w:r w:rsidRPr="0017713A">
        <w:rPr>
          <w:rFonts w:ascii="Calibri" w:eastAsia="Calibri" w:hAnsi="Calibri" w:cs="Calibri"/>
          <w:b/>
          <w:bCs/>
          <w:sz w:val="26"/>
          <w:szCs w:val="26"/>
          <w:lang w:eastAsia="en-US"/>
        </w:rPr>
        <w:t>šší průměrný starobní důchod</w:t>
      </w:r>
      <w:r w:rsidRPr="0017713A">
        <w:rPr>
          <w:rFonts w:ascii="Calibri" w:eastAsia="Calibri" w:hAnsi="Calibri" w:cs="Calibri"/>
          <w:sz w:val="26"/>
          <w:szCs w:val="26"/>
          <w:lang w:eastAsia="en-US"/>
        </w:rPr>
        <w:t xml:space="preserve"> občané </w:t>
      </w:r>
      <w:r w:rsidRPr="0017713A">
        <w:rPr>
          <w:rFonts w:ascii="Calibri" w:eastAsia="Calibri" w:hAnsi="Calibri" w:cs="Calibri"/>
          <w:b/>
          <w:bCs/>
          <w:sz w:val="26"/>
          <w:szCs w:val="26"/>
          <w:lang w:eastAsia="en-US"/>
        </w:rPr>
        <w:t>v hl.</w:t>
      </w:r>
      <w:r w:rsidR="00473782">
        <w:rPr>
          <w:rFonts w:ascii="Calibri" w:eastAsia="Calibri" w:hAnsi="Calibri" w:cs="Calibri"/>
          <w:b/>
          <w:bCs/>
          <w:sz w:val="26"/>
          <w:szCs w:val="26"/>
          <w:lang w:eastAsia="en-US"/>
        </w:rPr>
        <w:t> </w:t>
      </w:r>
      <w:r w:rsidRPr="0017713A">
        <w:rPr>
          <w:rFonts w:ascii="Calibri" w:eastAsia="Calibri" w:hAnsi="Calibri" w:cs="Calibri"/>
          <w:b/>
          <w:bCs/>
          <w:sz w:val="26"/>
          <w:szCs w:val="26"/>
          <w:lang w:eastAsia="en-US"/>
        </w:rPr>
        <w:t>m</w:t>
      </w:r>
      <w:r w:rsidR="00473782">
        <w:rPr>
          <w:rFonts w:ascii="Calibri" w:eastAsia="Calibri" w:hAnsi="Calibri" w:cs="Calibri"/>
          <w:b/>
          <w:bCs/>
          <w:sz w:val="26"/>
          <w:szCs w:val="26"/>
          <w:lang w:eastAsia="en-US"/>
        </w:rPr>
        <w:t>. </w:t>
      </w:r>
      <w:r w:rsidRPr="0017713A">
        <w:rPr>
          <w:rFonts w:ascii="Calibri" w:eastAsia="Calibri" w:hAnsi="Calibri" w:cs="Calibri"/>
          <w:b/>
          <w:bCs/>
          <w:sz w:val="26"/>
          <w:szCs w:val="26"/>
          <w:lang w:eastAsia="en-US"/>
        </w:rPr>
        <w:t xml:space="preserve">Praze </w:t>
      </w:r>
      <w:r w:rsidRPr="0017713A">
        <w:rPr>
          <w:rFonts w:ascii="Calibri" w:eastAsia="Calibri" w:hAnsi="Calibri" w:cs="Calibri"/>
          <w:sz w:val="26"/>
          <w:szCs w:val="26"/>
          <w:lang w:eastAsia="en-US"/>
        </w:rPr>
        <w:t xml:space="preserve">– </w:t>
      </w:r>
      <w:r w:rsidRPr="0017713A">
        <w:rPr>
          <w:rFonts w:ascii="Calibri" w:eastAsia="Calibri" w:hAnsi="Calibri" w:cs="Calibri"/>
          <w:b/>
          <w:bCs/>
          <w:sz w:val="26"/>
          <w:szCs w:val="26"/>
          <w:lang w:eastAsia="en-US"/>
        </w:rPr>
        <w:t>15</w:t>
      </w:r>
      <w:r w:rsidR="00473782">
        <w:rPr>
          <w:rFonts w:ascii="Calibri" w:eastAsia="Calibri" w:hAnsi="Calibri" w:cs="Calibri"/>
          <w:b/>
          <w:bCs/>
          <w:sz w:val="26"/>
          <w:szCs w:val="26"/>
          <w:lang w:eastAsia="en-US"/>
        </w:rPr>
        <w:t> </w:t>
      </w:r>
      <w:r w:rsidRPr="0017713A">
        <w:rPr>
          <w:rFonts w:ascii="Calibri" w:eastAsia="Calibri" w:hAnsi="Calibri" w:cs="Calibri"/>
          <w:b/>
          <w:bCs/>
          <w:sz w:val="26"/>
          <w:szCs w:val="26"/>
          <w:lang w:eastAsia="en-US"/>
        </w:rPr>
        <w:t>376</w:t>
      </w:r>
      <w:r w:rsidR="00473782">
        <w:rPr>
          <w:rFonts w:ascii="Calibri" w:eastAsia="Calibri" w:hAnsi="Calibri" w:cs="Calibri"/>
          <w:b/>
          <w:bCs/>
          <w:sz w:val="26"/>
          <w:szCs w:val="26"/>
          <w:lang w:eastAsia="en-US"/>
        </w:rPr>
        <w:t> </w:t>
      </w:r>
      <w:r w:rsidRPr="0017713A">
        <w:rPr>
          <w:rFonts w:ascii="Calibri" w:eastAsia="Calibri" w:hAnsi="Calibri" w:cs="Calibri"/>
          <w:b/>
          <w:bCs/>
          <w:sz w:val="26"/>
          <w:szCs w:val="26"/>
          <w:lang w:eastAsia="en-US"/>
        </w:rPr>
        <w:t>Kč</w:t>
      </w:r>
      <w:r w:rsidRPr="0017713A">
        <w:rPr>
          <w:rFonts w:ascii="Calibri" w:eastAsia="Calibri" w:hAnsi="Calibri" w:cs="Calibri"/>
          <w:sz w:val="26"/>
          <w:szCs w:val="26"/>
          <w:lang w:eastAsia="en-US"/>
        </w:rPr>
        <w:t xml:space="preserve"> (nárůst o</w:t>
      </w:r>
      <w:r w:rsidR="00473782">
        <w:rPr>
          <w:rFonts w:ascii="Calibri" w:eastAsia="Calibri" w:hAnsi="Calibri" w:cs="Calibri"/>
          <w:sz w:val="26"/>
          <w:szCs w:val="26"/>
          <w:lang w:eastAsia="en-US"/>
        </w:rPr>
        <w:t> </w:t>
      </w:r>
      <w:r w:rsidRPr="0017713A">
        <w:rPr>
          <w:rFonts w:ascii="Calibri" w:eastAsia="Calibri" w:hAnsi="Calibri" w:cs="Calibri"/>
          <w:sz w:val="26"/>
          <w:szCs w:val="26"/>
          <w:lang w:eastAsia="en-US"/>
        </w:rPr>
        <w:t>1</w:t>
      </w:r>
      <w:r w:rsidR="00473782">
        <w:rPr>
          <w:rFonts w:ascii="Calibri" w:eastAsia="Calibri" w:hAnsi="Calibri" w:cs="Calibri"/>
          <w:sz w:val="26"/>
          <w:szCs w:val="26"/>
          <w:lang w:eastAsia="en-US"/>
        </w:rPr>
        <w:t> </w:t>
      </w:r>
      <w:r w:rsidRPr="0017713A">
        <w:rPr>
          <w:rFonts w:ascii="Calibri" w:eastAsia="Calibri" w:hAnsi="Calibri" w:cs="Calibri"/>
          <w:sz w:val="26"/>
          <w:szCs w:val="26"/>
          <w:lang w:eastAsia="en-US"/>
        </w:rPr>
        <w:t>045</w:t>
      </w:r>
      <w:r w:rsidR="00473782">
        <w:rPr>
          <w:rFonts w:ascii="Calibri" w:eastAsia="Calibri" w:hAnsi="Calibri" w:cs="Calibri"/>
          <w:sz w:val="26"/>
          <w:szCs w:val="26"/>
          <w:lang w:eastAsia="en-US"/>
        </w:rPr>
        <w:t> </w:t>
      </w:r>
      <w:r w:rsidRPr="0017713A">
        <w:rPr>
          <w:rFonts w:ascii="Calibri" w:eastAsia="Calibri" w:hAnsi="Calibri" w:cs="Calibri"/>
          <w:sz w:val="26"/>
          <w:szCs w:val="26"/>
          <w:lang w:eastAsia="en-US"/>
        </w:rPr>
        <w:t xml:space="preserve">Kč), </w:t>
      </w:r>
      <w:r w:rsidRPr="0017713A">
        <w:rPr>
          <w:rFonts w:ascii="Calibri" w:eastAsia="Calibri" w:hAnsi="Calibri" w:cs="Calibri"/>
          <w:b/>
          <w:bCs/>
          <w:sz w:val="26"/>
          <w:szCs w:val="26"/>
          <w:lang w:eastAsia="en-US"/>
        </w:rPr>
        <w:t xml:space="preserve">nejnižší v Karlovarském kraji </w:t>
      </w:r>
      <w:r w:rsidRPr="0017713A">
        <w:rPr>
          <w:rFonts w:ascii="Calibri" w:eastAsia="Calibri" w:hAnsi="Calibri" w:cs="Calibri"/>
          <w:bCs/>
          <w:sz w:val="26"/>
          <w:szCs w:val="26"/>
          <w:lang w:eastAsia="en-US"/>
        </w:rPr>
        <w:t>–</w:t>
      </w:r>
      <w:r w:rsidRPr="0017713A">
        <w:rPr>
          <w:rFonts w:ascii="Calibri" w:eastAsia="Calibri" w:hAnsi="Calibri" w:cs="Calibri"/>
          <w:b/>
          <w:bCs/>
          <w:sz w:val="26"/>
          <w:szCs w:val="26"/>
          <w:lang w:eastAsia="en-US"/>
        </w:rPr>
        <w:t xml:space="preserve"> 13</w:t>
      </w:r>
      <w:r w:rsidR="00473782">
        <w:rPr>
          <w:rFonts w:ascii="Calibri" w:eastAsia="Calibri" w:hAnsi="Calibri" w:cs="Calibri"/>
          <w:b/>
          <w:bCs/>
          <w:sz w:val="26"/>
          <w:szCs w:val="26"/>
          <w:lang w:eastAsia="en-US"/>
        </w:rPr>
        <w:t> </w:t>
      </w:r>
      <w:r w:rsidRPr="0017713A">
        <w:rPr>
          <w:rFonts w:ascii="Calibri" w:eastAsia="Calibri" w:hAnsi="Calibri" w:cs="Calibri"/>
          <w:b/>
          <w:bCs/>
          <w:sz w:val="26"/>
          <w:szCs w:val="26"/>
          <w:lang w:eastAsia="en-US"/>
        </w:rPr>
        <w:t>996</w:t>
      </w:r>
      <w:r w:rsidR="00473782">
        <w:rPr>
          <w:rFonts w:ascii="Calibri" w:eastAsia="Calibri" w:hAnsi="Calibri" w:cs="Calibri"/>
          <w:b/>
          <w:bCs/>
          <w:sz w:val="26"/>
          <w:szCs w:val="26"/>
          <w:lang w:eastAsia="en-US"/>
        </w:rPr>
        <w:t> </w:t>
      </w:r>
      <w:r w:rsidRPr="0017713A">
        <w:rPr>
          <w:rFonts w:ascii="Calibri" w:eastAsia="Calibri" w:hAnsi="Calibri" w:cs="Calibri"/>
          <w:b/>
          <w:bCs/>
          <w:sz w:val="26"/>
          <w:szCs w:val="26"/>
          <w:lang w:eastAsia="en-US"/>
        </w:rPr>
        <w:t>Kč</w:t>
      </w:r>
      <w:r w:rsidRPr="0017713A">
        <w:rPr>
          <w:rFonts w:ascii="Calibri" w:eastAsia="Calibri" w:hAnsi="Calibri" w:cs="Calibri"/>
          <w:sz w:val="26"/>
          <w:szCs w:val="26"/>
          <w:lang w:eastAsia="en-US"/>
        </w:rPr>
        <w:t xml:space="preserve"> (nárůst o</w:t>
      </w:r>
      <w:r w:rsidR="00473782">
        <w:rPr>
          <w:rFonts w:ascii="Calibri" w:eastAsia="Calibri" w:hAnsi="Calibri" w:cs="Calibri"/>
          <w:sz w:val="26"/>
          <w:szCs w:val="26"/>
          <w:lang w:eastAsia="en-US"/>
        </w:rPr>
        <w:t> </w:t>
      </w:r>
      <w:r w:rsidRPr="0017713A">
        <w:rPr>
          <w:rFonts w:ascii="Calibri" w:eastAsia="Calibri" w:hAnsi="Calibri" w:cs="Calibri"/>
          <w:sz w:val="26"/>
          <w:szCs w:val="26"/>
          <w:lang w:eastAsia="en-US"/>
        </w:rPr>
        <w:t>958</w:t>
      </w:r>
      <w:r w:rsidR="00473782">
        <w:rPr>
          <w:rFonts w:ascii="Calibri" w:eastAsia="Calibri" w:hAnsi="Calibri" w:cs="Calibri"/>
          <w:sz w:val="26"/>
          <w:szCs w:val="26"/>
          <w:lang w:eastAsia="en-US"/>
        </w:rPr>
        <w:t> </w:t>
      </w:r>
      <w:r w:rsidRPr="0017713A">
        <w:rPr>
          <w:rFonts w:ascii="Calibri" w:eastAsia="Calibri" w:hAnsi="Calibri" w:cs="Calibri"/>
          <w:sz w:val="26"/>
          <w:szCs w:val="26"/>
          <w:lang w:eastAsia="en-US"/>
        </w:rPr>
        <w:t>Kč) – viz graf č. 4 v příloze,</w:t>
      </w:r>
    </w:p>
    <w:p w14:paraId="0C5F6DC5" w14:textId="176AFD1B" w:rsidR="0017713A" w:rsidRPr="0017713A" w:rsidRDefault="0017713A" w:rsidP="00970B2A">
      <w:pPr>
        <w:numPr>
          <w:ilvl w:val="0"/>
          <w:numId w:val="12"/>
        </w:numPr>
        <w:spacing w:after="480" w:line="259" w:lineRule="auto"/>
        <w:ind w:left="357" w:hanging="357"/>
        <w:jc w:val="both"/>
        <w:rPr>
          <w:rFonts w:ascii="Calibri" w:eastAsia="Calibri" w:hAnsi="Calibri" w:cs="Calibri"/>
          <w:sz w:val="26"/>
          <w:szCs w:val="26"/>
          <w:lang w:eastAsia="en-US"/>
        </w:rPr>
      </w:pPr>
      <w:r w:rsidRPr="0017713A">
        <w:rPr>
          <w:rFonts w:ascii="Calibri" w:eastAsia="Calibri" w:hAnsi="Calibri" w:cs="Calibri"/>
          <w:b/>
          <w:sz w:val="26"/>
          <w:szCs w:val="26"/>
          <w:lang w:eastAsia="en-US"/>
        </w:rPr>
        <w:t>pobíralo</w:t>
      </w:r>
      <w:r w:rsidRPr="0017713A">
        <w:rPr>
          <w:rFonts w:ascii="Calibri" w:eastAsia="Calibri" w:hAnsi="Calibri" w:cs="Calibri"/>
          <w:sz w:val="26"/>
          <w:szCs w:val="26"/>
          <w:lang w:eastAsia="en-US"/>
        </w:rPr>
        <w:t xml:space="preserve"> samostatně vyplácený starobní </w:t>
      </w:r>
      <w:r w:rsidRPr="0017713A">
        <w:rPr>
          <w:rFonts w:ascii="Calibri" w:eastAsia="Calibri" w:hAnsi="Calibri" w:cs="Calibri"/>
          <w:b/>
          <w:sz w:val="26"/>
          <w:szCs w:val="26"/>
          <w:lang w:eastAsia="en-US"/>
        </w:rPr>
        <w:t>důchod do 10 999 Kč</w:t>
      </w:r>
      <w:r w:rsidRPr="0017713A">
        <w:rPr>
          <w:rFonts w:ascii="Calibri" w:eastAsia="Calibri" w:hAnsi="Calibri" w:cs="Calibri"/>
          <w:sz w:val="26"/>
          <w:szCs w:val="26"/>
          <w:lang w:eastAsia="en-US"/>
        </w:rPr>
        <w:t xml:space="preserve"> měsíčně </w:t>
      </w:r>
      <w:r w:rsidRPr="0017713A">
        <w:rPr>
          <w:rFonts w:ascii="Calibri" w:eastAsia="Calibri" w:hAnsi="Calibri" w:cs="Calibri"/>
          <w:b/>
          <w:sz w:val="26"/>
          <w:szCs w:val="26"/>
          <w:lang w:eastAsia="en-US"/>
        </w:rPr>
        <w:t>11,2 %</w:t>
      </w:r>
      <w:r w:rsidRPr="0017713A">
        <w:rPr>
          <w:rFonts w:ascii="Calibri" w:eastAsia="Calibri" w:hAnsi="Calibri" w:cs="Calibri"/>
          <w:sz w:val="26"/>
          <w:szCs w:val="26"/>
          <w:lang w:eastAsia="en-US"/>
        </w:rPr>
        <w:t xml:space="preserve"> osob, ve výši </w:t>
      </w:r>
      <w:r w:rsidRPr="0017713A">
        <w:rPr>
          <w:rFonts w:ascii="Calibri" w:eastAsia="Calibri" w:hAnsi="Calibri" w:cs="Calibri"/>
          <w:b/>
          <w:sz w:val="26"/>
          <w:szCs w:val="26"/>
          <w:lang w:eastAsia="en-US"/>
        </w:rPr>
        <w:t>11 000 – 13 999 Kč</w:t>
      </w:r>
      <w:r w:rsidRPr="0017713A">
        <w:rPr>
          <w:rFonts w:ascii="Calibri" w:eastAsia="Calibri" w:hAnsi="Calibri" w:cs="Calibri"/>
          <w:sz w:val="26"/>
          <w:szCs w:val="26"/>
          <w:lang w:eastAsia="en-US"/>
        </w:rPr>
        <w:t xml:space="preserve"> měsíčně </w:t>
      </w:r>
      <w:r w:rsidRPr="0017713A">
        <w:rPr>
          <w:rFonts w:ascii="Calibri" w:eastAsia="Calibri" w:hAnsi="Calibri" w:cs="Calibri"/>
          <w:b/>
          <w:sz w:val="26"/>
          <w:szCs w:val="26"/>
          <w:lang w:eastAsia="en-US"/>
        </w:rPr>
        <w:t>33,7 %</w:t>
      </w:r>
      <w:r w:rsidRPr="0017713A">
        <w:rPr>
          <w:rFonts w:ascii="Calibri" w:eastAsia="Calibri" w:hAnsi="Calibri" w:cs="Calibri"/>
          <w:sz w:val="26"/>
          <w:szCs w:val="26"/>
          <w:lang w:eastAsia="en-US"/>
        </w:rPr>
        <w:t xml:space="preserve"> osob, ve výši </w:t>
      </w:r>
      <w:r w:rsidRPr="0017713A">
        <w:rPr>
          <w:rFonts w:ascii="Calibri" w:eastAsia="Calibri" w:hAnsi="Calibri" w:cs="Calibri"/>
          <w:b/>
          <w:sz w:val="26"/>
          <w:szCs w:val="26"/>
          <w:lang w:eastAsia="en-US"/>
        </w:rPr>
        <w:t>14 000 – 17 999 Kč</w:t>
      </w:r>
      <w:r w:rsidRPr="0017713A">
        <w:rPr>
          <w:rFonts w:ascii="Calibri" w:eastAsia="Calibri" w:hAnsi="Calibri" w:cs="Calibri"/>
          <w:sz w:val="26"/>
          <w:szCs w:val="26"/>
          <w:lang w:eastAsia="en-US"/>
        </w:rPr>
        <w:t xml:space="preserve"> měsíčně </w:t>
      </w:r>
      <w:r w:rsidRPr="0017713A">
        <w:rPr>
          <w:rFonts w:ascii="Calibri" w:eastAsia="Calibri" w:hAnsi="Calibri" w:cs="Calibri"/>
          <w:b/>
          <w:sz w:val="26"/>
          <w:szCs w:val="26"/>
          <w:lang w:eastAsia="en-US"/>
        </w:rPr>
        <w:t>43,9</w:t>
      </w:r>
      <w:r w:rsidR="00473782">
        <w:rPr>
          <w:rFonts w:ascii="Calibri" w:eastAsia="Calibri" w:hAnsi="Calibri" w:cs="Calibri"/>
          <w:b/>
          <w:sz w:val="26"/>
          <w:szCs w:val="26"/>
          <w:lang w:eastAsia="en-US"/>
        </w:rPr>
        <w:t> </w:t>
      </w:r>
      <w:r w:rsidRPr="0017713A">
        <w:rPr>
          <w:rFonts w:ascii="Calibri" w:eastAsia="Calibri" w:hAnsi="Calibri" w:cs="Calibri"/>
          <w:b/>
          <w:sz w:val="26"/>
          <w:szCs w:val="26"/>
          <w:lang w:eastAsia="en-US"/>
        </w:rPr>
        <w:t>%</w:t>
      </w:r>
      <w:r w:rsidRPr="0017713A">
        <w:rPr>
          <w:rFonts w:ascii="Calibri" w:eastAsia="Calibri" w:hAnsi="Calibri" w:cs="Calibri"/>
          <w:sz w:val="26"/>
          <w:szCs w:val="26"/>
          <w:lang w:eastAsia="en-US"/>
        </w:rPr>
        <w:t xml:space="preserve"> osob, ve výši</w:t>
      </w:r>
      <w:r w:rsidRPr="0017713A">
        <w:rPr>
          <w:rFonts w:ascii="Calibri" w:eastAsia="Calibri" w:hAnsi="Calibri" w:cs="Calibri"/>
          <w:b/>
          <w:sz w:val="26"/>
          <w:szCs w:val="26"/>
          <w:lang w:eastAsia="en-US"/>
        </w:rPr>
        <w:t xml:space="preserve"> 18 000 – 21</w:t>
      </w:r>
      <w:r w:rsidR="00473782">
        <w:rPr>
          <w:rFonts w:ascii="Calibri" w:eastAsia="Calibri" w:hAnsi="Calibri" w:cs="Calibri"/>
          <w:b/>
          <w:sz w:val="26"/>
          <w:szCs w:val="26"/>
          <w:lang w:eastAsia="en-US"/>
        </w:rPr>
        <w:t> </w:t>
      </w:r>
      <w:r w:rsidRPr="0017713A">
        <w:rPr>
          <w:rFonts w:ascii="Calibri" w:eastAsia="Calibri" w:hAnsi="Calibri" w:cs="Calibri"/>
          <w:b/>
          <w:sz w:val="26"/>
          <w:szCs w:val="26"/>
          <w:lang w:eastAsia="en-US"/>
        </w:rPr>
        <w:t>999</w:t>
      </w:r>
      <w:r w:rsidR="00473782">
        <w:rPr>
          <w:rFonts w:ascii="Calibri" w:eastAsia="Calibri" w:hAnsi="Calibri" w:cs="Calibri"/>
          <w:b/>
          <w:sz w:val="26"/>
          <w:szCs w:val="26"/>
          <w:lang w:eastAsia="en-US"/>
        </w:rPr>
        <w:t> </w:t>
      </w:r>
      <w:r w:rsidRPr="0017713A">
        <w:rPr>
          <w:rFonts w:ascii="Calibri" w:eastAsia="Calibri" w:hAnsi="Calibri" w:cs="Calibri"/>
          <w:b/>
          <w:sz w:val="26"/>
          <w:szCs w:val="26"/>
          <w:lang w:eastAsia="en-US"/>
        </w:rPr>
        <w:t>Kč</w:t>
      </w:r>
      <w:r w:rsidRPr="0017713A">
        <w:rPr>
          <w:rFonts w:ascii="Calibri" w:eastAsia="Calibri" w:hAnsi="Calibri" w:cs="Calibri"/>
          <w:sz w:val="26"/>
          <w:szCs w:val="26"/>
          <w:lang w:eastAsia="en-US"/>
        </w:rPr>
        <w:t xml:space="preserve"> měsíčně </w:t>
      </w:r>
      <w:r w:rsidRPr="0017713A">
        <w:rPr>
          <w:rFonts w:ascii="Calibri" w:eastAsia="Calibri" w:hAnsi="Calibri" w:cs="Calibri"/>
          <w:b/>
          <w:sz w:val="26"/>
          <w:szCs w:val="26"/>
          <w:lang w:eastAsia="en-US"/>
        </w:rPr>
        <w:t>9,0</w:t>
      </w:r>
      <w:r w:rsidR="00473782">
        <w:rPr>
          <w:rFonts w:ascii="Calibri" w:eastAsia="Calibri" w:hAnsi="Calibri" w:cs="Calibri"/>
          <w:b/>
          <w:sz w:val="26"/>
          <w:szCs w:val="26"/>
          <w:lang w:eastAsia="en-US"/>
        </w:rPr>
        <w:t> </w:t>
      </w:r>
      <w:r w:rsidRPr="0017713A">
        <w:rPr>
          <w:rFonts w:ascii="Calibri" w:eastAsia="Calibri" w:hAnsi="Calibri" w:cs="Calibri"/>
          <w:b/>
          <w:sz w:val="26"/>
          <w:szCs w:val="26"/>
          <w:lang w:eastAsia="en-US"/>
        </w:rPr>
        <w:t xml:space="preserve">% </w:t>
      </w:r>
      <w:r w:rsidRPr="0017713A">
        <w:rPr>
          <w:rFonts w:ascii="Calibri" w:eastAsia="Calibri" w:hAnsi="Calibri" w:cs="Calibri"/>
          <w:sz w:val="26"/>
          <w:szCs w:val="26"/>
          <w:lang w:eastAsia="en-US"/>
        </w:rPr>
        <w:t xml:space="preserve">osob a </w:t>
      </w:r>
      <w:r w:rsidRPr="0017713A">
        <w:rPr>
          <w:rFonts w:ascii="Calibri" w:eastAsia="Calibri" w:hAnsi="Calibri" w:cs="Calibri"/>
          <w:b/>
          <w:sz w:val="26"/>
          <w:szCs w:val="26"/>
          <w:lang w:eastAsia="en-US"/>
        </w:rPr>
        <w:t>22 000 Kč</w:t>
      </w:r>
      <w:r w:rsidRPr="0017713A">
        <w:rPr>
          <w:rFonts w:ascii="Calibri" w:eastAsia="Calibri" w:hAnsi="Calibri" w:cs="Calibri"/>
          <w:sz w:val="26"/>
          <w:szCs w:val="26"/>
          <w:lang w:eastAsia="en-US"/>
        </w:rPr>
        <w:t xml:space="preserve"> </w:t>
      </w:r>
      <w:r w:rsidRPr="0017713A">
        <w:rPr>
          <w:rFonts w:ascii="Calibri" w:eastAsia="Calibri" w:hAnsi="Calibri" w:cs="Calibri"/>
          <w:b/>
          <w:sz w:val="26"/>
          <w:szCs w:val="26"/>
          <w:lang w:eastAsia="en-US"/>
        </w:rPr>
        <w:t>a</w:t>
      </w:r>
      <w:r w:rsidR="00B33B21">
        <w:rPr>
          <w:rFonts w:ascii="Calibri" w:eastAsia="Calibri" w:hAnsi="Calibri" w:cs="Calibri"/>
          <w:b/>
          <w:sz w:val="26"/>
          <w:szCs w:val="26"/>
          <w:lang w:eastAsia="en-US"/>
        </w:rPr>
        <w:t> </w:t>
      </w:r>
      <w:r w:rsidRPr="0017713A">
        <w:rPr>
          <w:rFonts w:ascii="Calibri" w:eastAsia="Calibri" w:hAnsi="Calibri" w:cs="Calibri"/>
          <w:b/>
          <w:sz w:val="26"/>
          <w:szCs w:val="26"/>
          <w:lang w:eastAsia="en-US"/>
        </w:rPr>
        <w:t>více</w:t>
      </w:r>
      <w:r w:rsidRPr="0017713A">
        <w:rPr>
          <w:rFonts w:ascii="Calibri" w:eastAsia="Calibri" w:hAnsi="Calibri" w:cs="Calibri"/>
          <w:sz w:val="26"/>
          <w:szCs w:val="26"/>
          <w:lang w:eastAsia="en-US"/>
        </w:rPr>
        <w:t xml:space="preserve"> pobíralo </w:t>
      </w:r>
      <w:r w:rsidRPr="0017713A">
        <w:rPr>
          <w:rFonts w:ascii="Calibri" w:eastAsia="Calibri" w:hAnsi="Calibri" w:cs="Calibri"/>
          <w:b/>
          <w:sz w:val="26"/>
          <w:szCs w:val="26"/>
          <w:lang w:eastAsia="en-US"/>
        </w:rPr>
        <w:t>2,2</w:t>
      </w:r>
      <w:r w:rsidR="00473782">
        <w:rPr>
          <w:rFonts w:ascii="Calibri" w:eastAsia="Calibri" w:hAnsi="Calibri" w:cs="Calibri"/>
          <w:b/>
          <w:sz w:val="26"/>
          <w:szCs w:val="26"/>
          <w:lang w:eastAsia="en-US"/>
        </w:rPr>
        <w:t> </w:t>
      </w:r>
      <w:r w:rsidRPr="0017713A">
        <w:rPr>
          <w:rFonts w:ascii="Calibri" w:eastAsia="Calibri" w:hAnsi="Calibri" w:cs="Calibri"/>
          <w:b/>
          <w:sz w:val="26"/>
          <w:szCs w:val="26"/>
          <w:lang w:eastAsia="en-US"/>
        </w:rPr>
        <w:t>%</w:t>
      </w:r>
      <w:r w:rsidRPr="0017713A">
        <w:rPr>
          <w:rFonts w:ascii="Calibri" w:eastAsia="Calibri" w:hAnsi="Calibri" w:cs="Calibri"/>
          <w:sz w:val="26"/>
          <w:szCs w:val="26"/>
          <w:lang w:eastAsia="en-US"/>
        </w:rPr>
        <w:t xml:space="preserve"> důchodců. Rozložení důchodů v jednotlivých pásmech ukazuje následující graf,</w:t>
      </w:r>
    </w:p>
    <w:p w14:paraId="3B5200E5" w14:textId="77777777" w:rsidR="0017713A" w:rsidRPr="0017713A" w:rsidRDefault="0017713A" w:rsidP="0017713A">
      <w:pPr>
        <w:spacing w:line="360" w:lineRule="auto"/>
        <w:jc w:val="both"/>
        <w:rPr>
          <w:rFonts w:ascii="Calibri" w:eastAsia="Calibri" w:hAnsi="Calibri" w:cs="Calibri"/>
          <w:color w:val="0070C0"/>
          <w:sz w:val="26"/>
          <w:szCs w:val="26"/>
          <w:lang w:eastAsia="en-US"/>
        </w:rPr>
      </w:pPr>
      <w:r w:rsidRPr="0017713A">
        <w:rPr>
          <w:rFonts w:ascii="Calibri" w:eastAsia="Calibri" w:hAnsi="Calibri"/>
          <w:noProof/>
          <w:sz w:val="22"/>
          <w:szCs w:val="22"/>
        </w:rPr>
        <w:drawing>
          <wp:inline distT="0" distB="0" distL="0" distR="0" wp14:anchorId="63250FD3" wp14:editId="1FDCF605">
            <wp:extent cx="5760720" cy="3425495"/>
            <wp:effectExtent l="0" t="0" r="0" b="381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3425495"/>
                    </a:xfrm>
                    <a:prstGeom prst="rect">
                      <a:avLst/>
                    </a:prstGeom>
                    <a:noFill/>
                  </pic:spPr>
                </pic:pic>
              </a:graphicData>
            </a:graphic>
          </wp:inline>
        </w:drawing>
      </w:r>
    </w:p>
    <w:p w14:paraId="53F911DB" w14:textId="77777777" w:rsidR="0017713A" w:rsidRPr="0017713A" w:rsidRDefault="0017713A" w:rsidP="00970B2A">
      <w:pPr>
        <w:spacing w:after="360" w:line="360" w:lineRule="auto"/>
        <w:jc w:val="both"/>
        <w:rPr>
          <w:rFonts w:ascii="Calibri" w:eastAsia="Calibri" w:hAnsi="Calibri" w:cs="Calibri"/>
          <w:sz w:val="22"/>
          <w:szCs w:val="22"/>
          <w:lang w:eastAsia="en-US"/>
        </w:rPr>
      </w:pPr>
      <w:r w:rsidRPr="0017713A">
        <w:rPr>
          <w:rFonts w:ascii="Calibri" w:eastAsia="Calibri" w:hAnsi="Calibri" w:cs="Calibri"/>
          <w:sz w:val="22"/>
          <w:szCs w:val="22"/>
          <w:lang w:eastAsia="en-US"/>
        </w:rPr>
        <w:t>Zpracováno z dat MPSV</w:t>
      </w:r>
    </w:p>
    <w:p w14:paraId="152ECF09" w14:textId="004D140C" w:rsidR="0017713A" w:rsidRPr="0017713A" w:rsidRDefault="0017713A" w:rsidP="0017713A">
      <w:pPr>
        <w:numPr>
          <w:ilvl w:val="0"/>
          <w:numId w:val="14"/>
        </w:numPr>
        <w:spacing w:before="240" w:after="160" w:line="259" w:lineRule="auto"/>
        <w:contextualSpacing/>
        <w:jc w:val="both"/>
        <w:rPr>
          <w:rFonts w:ascii="Calibri" w:eastAsia="Calibri" w:hAnsi="Calibri" w:cs="Calibri"/>
          <w:sz w:val="26"/>
          <w:szCs w:val="26"/>
          <w:lang w:eastAsia="en-US"/>
        </w:rPr>
      </w:pPr>
      <w:r w:rsidRPr="0017713A">
        <w:rPr>
          <w:rFonts w:ascii="Calibri" w:eastAsia="Calibri" w:hAnsi="Calibri" w:cs="Calibri"/>
          <w:sz w:val="26"/>
          <w:szCs w:val="26"/>
          <w:lang w:eastAsia="en-US"/>
        </w:rPr>
        <w:t>relativní rozložení všech druhů samostatně vyplácených důchodů dle pohlaví zobrazuje graf na následující straně (z 2,9</w:t>
      </w:r>
      <w:r w:rsidR="00473782">
        <w:rPr>
          <w:rFonts w:ascii="Calibri" w:eastAsia="Calibri" w:hAnsi="Calibri" w:cs="Calibri"/>
          <w:sz w:val="26"/>
          <w:szCs w:val="26"/>
          <w:lang w:eastAsia="en-US"/>
        </w:rPr>
        <w:t> </w:t>
      </w:r>
      <w:r w:rsidRPr="0017713A">
        <w:rPr>
          <w:rFonts w:ascii="Calibri" w:eastAsia="Calibri" w:hAnsi="Calibri" w:cs="Calibri"/>
          <w:sz w:val="26"/>
          <w:szCs w:val="26"/>
          <w:lang w:eastAsia="en-US"/>
        </w:rPr>
        <w:t>mil. důchodců bylo 1,2</w:t>
      </w:r>
      <w:r w:rsidR="00473782">
        <w:rPr>
          <w:rFonts w:ascii="Calibri" w:eastAsia="Calibri" w:hAnsi="Calibri" w:cs="Calibri"/>
          <w:sz w:val="26"/>
          <w:szCs w:val="26"/>
          <w:lang w:eastAsia="en-US"/>
        </w:rPr>
        <w:t> </w:t>
      </w:r>
      <w:r w:rsidRPr="0017713A">
        <w:rPr>
          <w:rFonts w:ascii="Calibri" w:eastAsia="Calibri" w:hAnsi="Calibri" w:cs="Calibri"/>
          <w:sz w:val="26"/>
          <w:szCs w:val="26"/>
          <w:lang w:eastAsia="en-US"/>
        </w:rPr>
        <w:t>mil. mužů a 1,7 mil. žen); ve skupinách s důchodem nižším než 15</w:t>
      </w:r>
      <w:r w:rsidR="00473782">
        <w:rPr>
          <w:rFonts w:ascii="Calibri" w:eastAsia="Calibri" w:hAnsi="Calibri" w:cs="Calibri"/>
          <w:sz w:val="26"/>
          <w:szCs w:val="26"/>
          <w:lang w:eastAsia="en-US"/>
        </w:rPr>
        <w:t> </w:t>
      </w:r>
      <w:r w:rsidRPr="0017713A">
        <w:rPr>
          <w:rFonts w:ascii="Calibri" w:eastAsia="Calibri" w:hAnsi="Calibri" w:cs="Calibri"/>
          <w:sz w:val="26"/>
          <w:szCs w:val="26"/>
          <w:lang w:eastAsia="en-US"/>
        </w:rPr>
        <w:t>000</w:t>
      </w:r>
      <w:r w:rsidR="00473782">
        <w:rPr>
          <w:rFonts w:ascii="Calibri" w:eastAsia="Calibri" w:hAnsi="Calibri" w:cs="Calibri"/>
          <w:sz w:val="26"/>
          <w:szCs w:val="26"/>
          <w:lang w:eastAsia="en-US"/>
        </w:rPr>
        <w:t> </w:t>
      </w:r>
      <w:r w:rsidRPr="0017713A">
        <w:rPr>
          <w:rFonts w:ascii="Calibri" w:eastAsia="Calibri" w:hAnsi="Calibri" w:cs="Calibri"/>
          <w:sz w:val="26"/>
          <w:szCs w:val="26"/>
          <w:lang w:eastAsia="en-US"/>
        </w:rPr>
        <w:t>Kč převládaly výrazně ženy, ve skupinách nad 15</w:t>
      </w:r>
      <w:r w:rsidR="00473782">
        <w:rPr>
          <w:rFonts w:ascii="Calibri" w:eastAsia="Calibri" w:hAnsi="Calibri" w:cs="Calibri"/>
          <w:sz w:val="26"/>
          <w:szCs w:val="26"/>
          <w:lang w:eastAsia="en-US"/>
        </w:rPr>
        <w:t> </w:t>
      </w:r>
      <w:r w:rsidRPr="0017713A">
        <w:rPr>
          <w:rFonts w:ascii="Calibri" w:eastAsia="Calibri" w:hAnsi="Calibri" w:cs="Calibri"/>
          <w:sz w:val="26"/>
          <w:szCs w:val="26"/>
          <w:lang w:eastAsia="en-US"/>
        </w:rPr>
        <w:t>000</w:t>
      </w:r>
      <w:r w:rsidR="00473782">
        <w:rPr>
          <w:rFonts w:ascii="Calibri" w:eastAsia="Calibri" w:hAnsi="Calibri" w:cs="Calibri"/>
          <w:sz w:val="26"/>
          <w:szCs w:val="26"/>
          <w:lang w:eastAsia="en-US"/>
        </w:rPr>
        <w:t> </w:t>
      </w:r>
      <w:r w:rsidRPr="0017713A">
        <w:rPr>
          <w:rFonts w:ascii="Calibri" w:eastAsia="Calibri" w:hAnsi="Calibri" w:cs="Calibri"/>
          <w:sz w:val="26"/>
          <w:szCs w:val="26"/>
          <w:lang w:eastAsia="en-US"/>
        </w:rPr>
        <w:t>Kč muži.</w:t>
      </w:r>
    </w:p>
    <w:p w14:paraId="3FC942E5" w14:textId="77777777" w:rsidR="0017713A" w:rsidRPr="0017713A" w:rsidRDefault="0017713A" w:rsidP="0017713A">
      <w:pPr>
        <w:spacing w:line="360" w:lineRule="auto"/>
        <w:jc w:val="both"/>
        <w:rPr>
          <w:rFonts w:ascii="Calibri" w:eastAsia="Calibri" w:hAnsi="Calibri" w:cs="Calibri"/>
          <w:color w:val="0070C0"/>
          <w:sz w:val="26"/>
          <w:szCs w:val="26"/>
          <w:lang w:eastAsia="en-US"/>
        </w:rPr>
      </w:pPr>
      <w:r w:rsidRPr="0017713A">
        <w:rPr>
          <w:rFonts w:ascii="Calibri" w:eastAsia="Calibri" w:hAnsi="Calibri"/>
          <w:noProof/>
          <w:sz w:val="22"/>
          <w:szCs w:val="22"/>
        </w:rPr>
        <w:lastRenderedPageBreak/>
        <w:drawing>
          <wp:inline distT="0" distB="0" distL="0" distR="0" wp14:anchorId="7AD6F03C" wp14:editId="22CB2682">
            <wp:extent cx="5760720" cy="3688608"/>
            <wp:effectExtent l="0" t="0" r="0" b="762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3688608"/>
                    </a:xfrm>
                    <a:prstGeom prst="rect">
                      <a:avLst/>
                    </a:prstGeom>
                    <a:noFill/>
                  </pic:spPr>
                </pic:pic>
              </a:graphicData>
            </a:graphic>
          </wp:inline>
        </w:drawing>
      </w:r>
    </w:p>
    <w:p w14:paraId="27180EA1" w14:textId="77777777" w:rsidR="0017713A" w:rsidRPr="0017713A" w:rsidRDefault="0017713A" w:rsidP="00B33B21">
      <w:pPr>
        <w:spacing w:line="360" w:lineRule="auto"/>
        <w:jc w:val="both"/>
        <w:rPr>
          <w:rFonts w:ascii="Calibri" w:eastAsia="Calibri" w:hAnsi="Calibri" w:cs="Calibri"/>
          <w:sz w:val="22"/>
          <w:szCs w:val="22"/>
          <w:lang w:eastAsia="en-US"/>
        </w:rPr>
      </w:pPr>
      <w:r w:rsidRPr="0017713A">
        <w:rPr>
          <w:rFonts w:ascii="Calibri" w:eastAsia="Calibri" w:hAnsi="Calibri" w:cs="Calibri"/>
          <w:sz w:val="22"/>
          <w:szCs w:val="22"/>
          <w:lang w:eastAsia="en-US"/>
        </w:rPr>
        <w:t>Zpracováno z dat MPSV</w:t>
      </w:r>
    </w:p>
    <w:p w14:paraId="31635729" w14:textId="77777777" w:rsidR="00B33B21" w:rsidRDefault="00B33B21" w:rsidP="00970B2A">
      <w:pPr>
        <w:spacing w:line="360" w:lineRule="auto"/>
        <w:jc w:val="both"/>
        <w:rPr>
          <w:rFonts w:ascii="Calibri" w:eastAsia="Calibri" w:hAnsi="Calibri" w:cs="Calibri"/>
          <w:sz w:val="26"/>
          <w:szCs w:val="26"/>
          <w:lang w:eastAsia="en-US"/>
        </w:rPr>
      </w:pPr>
    </w:p>
    <w:p w14:paraId="60F5FC3F" w14:textId="2CCF8D10" w:rsidR="0017713A" w:rsidRPr="00735201" w:rsidRDefault="0017713A" w:rsidP="00970B2A">
      <w:pPr>
        <w:spacing w:after="220" w:line="360" w:lineRule="auto"/>
        <w:jc w:val="both"/>
        <w:rPr>
          <w:rFonts w:ascii="Calibri" w:eastAsia="Calibri" w:hAnsi="Calibri" w:cs="Calibri"/>
          <w:sz w:val="26"/>
          <w:szCs w:val="26"/>
          <w:lang w:eastAsia="en-US"/>
        </w:rPr>
      </w:pPr>
      <w:r w:rsidRPr="0017713A">
        <w:rPr>
          <w:rFonts w:ascii="Calibri" w:eastAsia="Calibri" w:hAnsi="Calibri" w:cs="Calibri"/>
          <w:sz w:val="26"/>
          <w:szCs w:val="26"/>
          <w:lang w:eastAsia="en-US"/>
        </w:rPr>
        <w:tab/>
        <w:t xml:space="preserve">V pořadí </w:t>
      </w:r>
      <w:r w:rsidRPr="0017713A">
        <w:rPr>
          <w:rFonts w:ascii="Calibri" w:eastAsia="Calibri" w:hAnsi="Calibri" w:cs="Calibri"/>
          <w:b/>
          <w:sz w:val="26"/>
          <w:szCs w:val="26"/>
          <w:lang w:eastAsia="en-US"/>
        </w:rPr>
        <w:t>druhou</w:t>
      </w:r>
      <w:r w:rsidRPr="0017713A">
        <w:rPr>
          <w:rFonts w:ascii="Calibri" w:eastAsia="Calibri" w:hAnsi="Calibri" w:cs="Calibri"/>
          <w:sz w:val="26"/>
          <w:szCs w:val="26"/>
          <w:lang w:eastAsia="en-US"/>
        </w:rPr>
        <w:t xml:space="preserve"> objemově </w:t>
      </w:r>
      <w:r w:rsidRPr="0017713A">
        <w:rPr>
          <w:rFonts w:ascii="Calibri" w:eastAsia="Calibri" w:hAnsi="Calibri" w:cs="Calibri"/>
          <w:b/>
          <w:sz w:val="26"/>
          <w:szCs w:val="26"/>
          <w:lang w:eastAsia="en-US"/>
        </w:rPr>
        <w:t>největší položku</w:t>
      </w:r>
      <w:r w:rsidRPr="0017713A">
        <w:rPr>
          <w:rFonts w:ascii="Calibri" w:eastAsia="Calibri" w:hAnsi="Calibri" w:cs="Calibri"/>
          <w:sz w:val="26"/>
          <w:szCs w:val="26"/>
          <w:lang w:eastAsia="en-US"/>
        </w:rPr>
        <w:t xml:space="preserve"> sociálních příjmů domácností tvořily </w:t>
      </w:r>
      <w:r w:rsidRPr="0017713A">
        <w:rPr>
          <w:rFonts w:ascii="Calibri" w:eastAsia="Calibri" w:hAnsi="Calibri" w:cs="Calibri"/>
          <w:b/>
          <w:sz w:val="26"/>
          <w:szCs w:val="26"/>
          <w:u w:val="single"/>
          <w:lang w:eastAsia="en-US"/>
        </w:rPr>
        <w:t>dávky nemocenského pojištění</w:t>
      </w:r>
      <w:r w:rsidRPr="0017713A">
        <w:rPr>
          <w:rFonts w:ascii="Calibri" w:eastAsia="Calibri" w:hAnsi="Calibri" w:cs="Calibri"/>
          <w:sz w:val="26"/>
          <w:szCs w:val="26"/>
          <w:lang w:eastAsia="en-US"/>
        </w:rPr>
        <w:t xml:space="preserve"> (s podílem 8,3</w:t>
      </w:r>
      <w:r w:rsidR="00473782">
        <w:rPr>
          <w:rFonts w:ascii="Calibri" w:eastAsia="Calibri" w:hAnsi="Calibri" w:cs="Calibri"/>
          <w:sz w:val="26"/>
          <w:szCs w:val="26"/>
          <w:lang w:eastAsia="en-US"/>
        </w:rPr>
        <w:t> </w:t>
      </w:r>
      <w:r w:rsidRPr="0017713A">
        <w:rPr>
          <w:rFonts w:ascii="Calibri" w:eastAsia="Calibri" w:hAnsi="Calibri" w:cs="Calibri"/>
          <w:sz w:val="26"/>
          <w:szCs w:val="26"/>
          <w:lang w:eastAsia="en-US"/>
        </w:rPr>
        <w:t xml:space="preserve">% na celkových sociálních příjmech obyvatel). Touto formou bylo v roce 2020 poskytnuto </w:t>
      </w:r>
      <w:r w:rsidRPr="0017713A">
        <w:rPr>
          <w:rFonts w:ascii="Calibri" w:eastAsia="Calibri" w:hAnsi="Calibri" w:cs="Calibri"/>
          <w:b/>
          <w:sz w:val="26"/>
          <w:szCs w:val="26"/>
          <w:lang w:eastAsia="en-US"/>
        </w:rPr>
        <w:t>55,1</w:t>
      </w:r>
      <w:r w:rsidR="00473782">
        <w:rPr>
          <w:rFonts w:ascii="Calibri" w:eastAsia="Calibri" w:hAnsi="Calibri" w:cs="Calibri"/>
          <w:b/>
          <w:sz w:val="26"/>
          <w:szCs w:val="26"/>
          <w:lang w:eastAsia="en-US"/>
        </w:rPr>
        <w:t> </w:t>
      </w:r>
      <w:r w:rsidRPr="0017713A">
        <w:rPr>
          <w:rFonts w:ascii="Calibri" w:eastAsia="Calibri" w:hAnsi="Calibri" w:cs="Calibri"/>
          <w:b/>
          <w:sz w:val="26"/>
          <w:szCs w:val="26"/>
          <w:lang w:eastAsia="en-US"/>
        </w:rPr>
        <w:t>mld.</w:t>
      </w:r>
      <w:r w:rsidR="00473782">
        <w:rPr>
          <w:rFonts w:ascii="Calibri" w:eastAsia="Calibri" w:hAnsi="Calibri" w:cs="Calibri"/>
          <w:b/>
          <w:sz w:val="26"/>
          <w:szCs w:val="26"/>
          <w:lang w:eastAsia="en-US"/>
        </w:rPr>
        <w:t> </w:t>
      </w:r>
      <w:r w:rsidRPr="0017713A">
        <w:rPr>
          <w:rFonts w:ascii="Calibri" w:eastAsia="Calibri" w:hAnsi="Calibri" w:cs="Calibri"/>
          <w:b/>
          <w:sz w:val="26"/>
          <w:szCs w:val="26"/>
          <w:lang w:eastAsia="en-US"/>
        </w:rPr>
        <w:t>Kč</w:t>
      </w:r>
      <w:r w:rsidRPr="0017713A">
        <w:rPr>
          <w:rFonts w:ascii="Calibri" w:eastAsia="Calibri" w:hAnsi="Calibri" w:cs="Calibri"/>
          <w:sz w:val="26"/>
          <w:szCs w:val="26"/>
          <w:lang w:eastAsia="en-US"/>
        </w:rPr>
        <w:t>, což bylo o 16,3</w:t>
      </w:r>
      <w:r w:rsidR="00473782">
        <w:rPr>
          <w:rFonts w:ascii="Calibri" w:eastAsia="Calibri" w:hAnsi="Calibri" w:cs="Calibri"/>
          <w:sz w:val="26"/>
          <w:szCs w:val="26"/>
          <w:lang w:eastAsia="en-US"/>
        </w:rPr>
        <w:t> </w:t>
      </w:r>
      <w:r w:rsidRPr="0017713A">
        <w:rPr>
          <w:rFonts w:ascii="Calibri" w:eastAsia="Calibri" w:hAnsi="Calibri" w:cs="Calibri"/>
          <w:sz w:val="26"/>
          <w:szCs w:val="26"/>
          <w:lang w:eastAsia="en-US"/>
        </w:rPr>
        <w:t>mld.</w:t>
      </w:r>
      <w:r w:rsidR="00473782">
        <w:rPr>
          <w:rFonts w:ascii="Calibri" w:eastAsia="Calibri" w:hAnsi="Calibri" w:cs="Calibri"/>
          <w:sz w:val="26"/>
          <w:szCs w:val="26"/>
          <w:lang w:eastAsia="en-US"/>
        </w:rPr>
        <w:t> </w:t>
      </w:r>
      <w:r w:rsidRPr="0017713A">
        <w:rPr>
          <w:rFonts w:ascii="Calibri" w:eastAsia="Calibri" w:hAnsi="Calibri" w:cs="Calibri"/>
          <w:sz w:val="26"/>
          <w:szCs w:val="26"/>
          <w:lang w:eastAsia="en-US"/>
        </w:rPr>
        <w:t>Kč (</w:t>
      </w:r>
      <w:r w:rsidRPr="0017713A">
        <w:rPr>
          <w:rFonts w:ascii="Calibri" w:eastAsia="Calibri" w:hAnsi="Calibri" w:cs="Calibri"/>
          <w:b/>
          <w:sz w:val="26"/>
          <w:szCs w:val="26"/>
          <w:lang w:eastAsia="en-US"/>
        </w:rPr>
        <w:t>o</w:t>
      </w:r>
      <w:r w:rsidR="00473782">
        <w:rPr>
          <w:rFonts w:ascii="Calibri" w:eastAsia="Calibri" w:hAnsi="Calibri" w:cs="Calibri"/>
          <w:b/>
          <w:sz w:val="26"/>
          <w:szCs w:val="26"/>
          <w:lang w:eastAsia="en-US"/>
        </w:rPr>
        <w:t> </w:t>
      </w:r>
      <w:r w:rsidRPr="0017713A">
        <w:rPr>
          <w:rFonts w:ascii="Calibri" w:eastAsia="Calibri" w:hAnsi="Calibri" w:cs="Calibri"/>
          <w:b/>
          <w:sz w:val="26"/>
          <w:szCs w:val="26"/>
          <w:lang w:eastAsia="en-US"/>
        </w:rPr>
        <w:t>42,0</w:t>
      </w:r>
      <w:r w:rsidR="00473782">
        <w:rPr>
          <w:rFonts w:ascii="Calibri" w:eastAsia="Calibri" w:hAnsi="Calibri" w:cs="Calibri"/>
          <w:b/>
          <w:sz w:val="26"/>
          <w:szCs w:val="26"/>
          <w:lang w:eastAsia="en-US"/>
        </w:rPr>
        <w:t> </w:t>
      </w:r>
      <w:r w:rsidRPr="0017713A">
        <w:rPr>
          <w:rFonts w:ascii="Calibri" w:eastAsia="Calibri" w:hAnsi="Calibri" w:cs="Calibri"/>
          <w:b/>
          <w:sz w:val="26"/>
          <w:szCs w:val="26"/>
          <w:lang w:eastAsia="en-US"/>
        </w:rPr>
        <w:t>%</w:t>
      </w:r>
      <w:r w:rsidRPr="0017713A">
        <w:rPr>
          <w:rFonts w:ascii="Calibri" w:eastAsia="Calibri" w:hAnsi="Calibri" w:cs="Calibri"/>
          <w:sz w:val="26"/>
          <w:szCs w:val="26"/>
          <w:lang w:eastAsia="en-US"/>
        </w:rPr>
        <w:t xml:space="preserve">) </w:t>
      </w:r>
      <w:r w:rsidRPr="0017713A">
        <w:rPr>
          <w:rFonts w:ascii="Calibri" w:eastAsia="Calibri" w:hAnsi="Calibri" w:cs="Calibri"/>
          <w:b/>
          <w:sz w:val="26"/>
          <w:szCs w:val="26"/>
          <w:lang w:eastAsia="en-US"/>
        </w:rPr>
        <w:t>více</w:t>
      </w:r>
      <w:r w:rsidRPr="0017713A">
        <w:rPr>
          <w:rFonts w:ascii="Calibri" w:eastAsia="Calibri" w:hAnsi="Calibri" w:cs="Calibri"/>
          <w:sz w:val="26"/>
          <w:szCs w:val="26"/>
          <w:lang w:eastAsia="en-US"/>
        </w:rPr>
        <w:t xml:space="preserve"> než ve srovnatelném období předchozího roku – viz tabulku č.</w:t>
      </w:r>
      <w:r w:rsidR="00473782">
        <w:rPr>
          <w:rFonts w:ascii="Calibri" w:eastAsia="Calibri" w:hAnsi="Calibri" w:cs="Calibri"/>
          <w:sz w:val="26"/>
          <w:szCs w:val="26"/>
          <w:lang w:eastAsia="en-US"/>
        </w:rPr>
        <w:t> </w:t>
      </w:r>
      <w:r w:rsidRPr="0017713A">
        <w:rPr>
          <w:rFonts w:ascii="Calibri" w:eastAsia="Calibri" w:hAnsi="Calibri" w:cs="Calibri"/>
          <w:sz w:val="26"/>
          <w:szCs w:val="26"/>
          <w:lang w:eastAsia="en-US"/>
        </w:rPr>
        <w:t>8 v příloze. Uvedený výrazný nárůst byl způsoben zejména přijatými sociálními opatřeními vlády v souvislosti s </w:t>
      </w:r>
      <w:r w:rsidRPr="00735201">
        <w:rPr>
          <w:rFonts w:ascii="Calibri" w:eastAsia="Calibri" w:hAnsi="Calibri" w:cs="Calibri"/>
          <w:sz w:val="26"/>
          <w:szCs w:val="26"/>
          <w:lang w:eastAsia="en-US"/>
        </w:rPr>
        <w:t xml:space="preserve">pandemií </w:t>
      </w:r>
      <w:r w:rsidR="00473782" w:rsidRPr="00735201">
        <w:rPr>
          <w:rFonts w:ascii="Calibri" w:eastAsia="Calibri" w:hAnsi="Calibri" w:cs="Calibri"/>
          <w:sz w:val="26"/>
          <w:szCs w:val="26"/>
          <w:lang w:eastAsia="en-US"/>
        </w:rPr>
        <w:t>viru SARS-CoV-2</w:t>
      </w:r>
      <w:r w:rsidRPr="00735201">
        <w:rPr>
          <w:rFonts w:ascii="Calibri" w:eastAsia="Calibri" w:hAnsi="Calibri" w:cs="Calibri"/>
          <w:sz w:val="26"/>
          <w:szCs w:val="26"/>
          <w:lang w:eastAsia="en-US"/>
        </w:rPr>
        <w:t>.</w:t>
      </w:r>
    </w:p>
    <w:p w14:paraId="57DADAD8" w14:textId="6113BCE8" w:rsidR="0017713A" w:rsidRPr="0017713A" w:rsidRDefault="0017713A" w:rsidP="00970B2A">
      <w:pPr>
        <w:spacing w:after="220" w:line="360" w:lineRule="auto"/>
        <w:jc w:val="both"/>
        <w:rPr>
          <w:rFonts w:ascii="Calibri" w:eastAsia="Calibri" w:hAnsi="Calibri" w:cs="Calibri"/>
          <w:sz w:val="26"/>
          <w:szCs w:val="26"/>
          <w:lang w:eastAsia="en-US"/>
        </w:rPr>
      </w:pPr>
      <w:r w:rsidRPr="0017713A">
        <w:rPr>
          <w:rFonts w:ascii="Calibri" w:eastAsia="Calibri" w:hAnsi="Calibri" w:cs="Calibri"/>
          <w:sz w:val="26"/>
          <w:szCs w:val="26"/>
          <w:lang w:eastAsia="en-US"/>
        </w:rPr>
        <w:tab/>
        <w:t xml:space="preserve">Rozhodující dávkou bylo </w:t>
      </w:r>
      <w:r w:rsidRPr="0017713A">
        <w:rPr>
          <w:rFonts w:ascii="Calibri" w:eastAsia="Calibri" w:hAnsi="Calibri" w:cs="Calibri"/>
          <w:b/>
          <w:sz w:val="26"/>
          <w:szCs w:val="26"/>
          <w:lang w:eastAsia="en-US"/>
        </w:rPr>
        <w:t>nemocenské</w:t>
      </w:r>
      <w:r w:rsidRPr="0017713A">
        <w:rPr>
          <w:rFonts w:ascii="Calibri" w:eastAsia="Calibri" w:hAnsi="Calibri" w:cs="Calibri"/>
          <w:sz w:val="26"/>
          <w:szCs w:val="26"/>
          <w:lang w:eastAsia="en-US"/>
        </w:rPr>
        <w:t>, jehož podíl na dávkách nemocenského pojištění se snížil o</w:t>
      </w:r>
      <w:r w:rsidR="00473782" w:rsidRPr="000F7D3E">
        <w:rPr>
          <w:rFonts w:ascii="Calibri" w:eastAsia="Calibri" w:hAnsi="Calibri" w:cs="Calibri"/>
          <w:sz w:val="26"/>
          <w:szCs w:val="26"/>
          <w:lang w:eastAsia="en-US"/>
        </w:rPr>
        <w:t> </w:t>
      </w:r>
      <w:r w:rsidRPr="0017713A">
        <w:rPr>
          <w:rFonts w:ascii="Calibri" w:eastAsia="Calibri" w:hAnsi="Calibri" w:cs="Calibri"/>
          <w:sz w:val="26"/>
          <w:szCs w:val="26"/>
          <w:lang w:eastAsia="en-US"/>
        </w:rPr>
        <w:t>9,2</w:t>
      </w:r>
      <w:r w:rsidR="00473782" w:rsidRPr="000F7D3E">
        <w:rPr>
          <w:rFonts w:ascii="Calibri" w:eastAsia="Calibri" w:hAnsi="Calibri" w:cs="Calibri"/>
          <w:sz w:val="26"/>
          <w:szCs w:val="26"/>
          <w:lang w:eastAsia="en-US"/>
        </w:rPr>
        <w:t> </w:t>
      </w:r>
      <w:r w:rsidRPr="0017713A">
        <w:rPr>
          <w:rFonts w:ascii="Calibri" w:eastAsia="Calibri" w:hAnsi="Calibri" w:cs="Calibri"/>
          <w:sz w:val="26"/>
          <w:szCs w:val="26"/>
          <w:lang w:eastAsia="en-US"/>
        </w:rPr>
        <w:t>p.</w:t>
      </w:r>
      <w:r w:rsidR="00473782" w:rsidRPr="000F7D3E">
        <w:rPr>
          <w:rFonts w:ascii="Calibri" w:eastAsia="Calibri" w:hAnsi="Calibri" w:cs="Calibri"/>
          <w:sz w:val="26"/>
          <w:szCs w:val="26"/>
          <w:lang w:eastAsia="en-US"/>
        </w:rPr>
        <w:t> </w:t>
      </w:r>
      <w:r w:rsidRPr="0017713A">
        <w:rPr>
          <w:rFonts w:ascii="Calibri" w:eastAsia="Calibri" w:hAnsi="Calibri" w:cs="Calibri"/>
          <w:sz w:val="26"/>
          <w:szCs w:val="26"/>
          <w:lang w:eastAsia="en-US"/>
        </w:rPr>
        <w:t>b. na 59,4</w:t>
      </w:r>
      <w:r w:rsidR="00473782" w:rsidRPr="000F7D3E">
        <w:rPr>
          <w:rFonts w:ascii="Calibri" w:eastAsia="Calibri" w:hAnsi="Calibri" w:cs="Calibri"/>
          <w:sz w:val="26"/>
          <w:szCs w:val="26"/>
          <w:lang w:eastAsia="en-US"/>
        </w:rPr>
        <w:t> </w:t>
      </w:r>
      <w:r w:rsidRPr="0017713A">
        <w:rPr>
          <w:rFonts w:ascii="Calibri" w:eastAsia="Calibri" w:hAnsi="Calibri" w:cs="Calibri"/>
          <w:sz w:val="26"/>
          <w:szCs w:val="26"/>
          <w:lang w:eastAsia="en-US"/>
        </w:rPr>
        <w:t xml:space="preserve">% a </w:t>
      </w:r>
      <w:r w:rsidRPr="0017713A">
        <w:rPr>
          <w:rFonts w:ascii="Calibri" w:eastAsia="Calibri" w:hAnsi="Calibri" w:cs="Calibri"/>
          <w:b/>
          <w:sz w:val="26"/>
          <w:szCs w:val="26"/>
          <w:lang w:eastAsia="en-US"/>
        </w:rPr>
        <w:t xml:space="preserve">objem </w:t>
      </w:r>
      <w:r w:rsidRPr="0017713A">
        <w:rPr>
          <w:rFonts w:ascii="Calibri" w:eastAsia="Calibri" w:hAnsi="Calibri" w:cs="Calibri"/>
          <w:sz w:val="26"/>
          <w:szCs w:val="26"/>
          <w:lang w:eastAsia="en-US"/>
        </w:rPr>
        <w:t xml:space="preserve">vynaložených finančních prostředků </w:t>
      </w:r>
      <w:r w:rsidRPr="0017713A">
        <w:rPr>
          <w:rFonts w:ascii="Calibri" w:eastAsia="Calibri" w:hAnsi="Calibri" w:cs="Calibri"/>
          <w:b/>
          <w:sz w:val="26"/>
          <w:szCs w:val="26"/>
          <w:lang w:eastAsia="en-US"/>
        </w:rPr>
        <w:t>vzrostl</w:t>
      </w:r>
      <w:r w:rsidRPr="0017713A">
        <w:rPr>
          <w:rFonts w:ascii="Calibri" w:eastAsia="Calibri" w:hAnsi="Calibri" w:cs="Calibri"/>
          <w:sz w:val="26"/>
          <w:szCs w:val="26"/>
          <w:lang w:eastAsia="en-US"/>
        </w:rPr>
        <w:t xml:space="preserve"> o</w:t>
      </w:r>
      <w:r w:rsidR="00473782" w:rsidRPr="000F7D3E">
        <w:rPr>
          <w:rFonts w:ascii="Calibri" w:eastAsia="Calibri" w:hAnsi="Calibri" w:cs="Calibri"/>
          <w:sz w:val="26"/>
          <w:szCs w:val="26"/>
          <w:lang w:eastAsia="en-US"/>
        </w:rPr>
        <w:t> </w:t>
      </w:r>
      <w:r w:rsidRPr="0017713A">
        <w:rPr>
          <w:rFonts w:ascii="Calibri" w:eastAsia="Calibri" w:hAnsi="Calibri" w:cs="Calibri"/>
          <w:sz w:val="26"/>
          <w:szCs w:val="26"/>
          <w:lang w:eastAsia="en-US"/>
        </w:rPr>
        <w:t>6,1</w:t>
      </w:r>
      <w:r w:rsidR="00473782" w:rsidRPr="000F7D3E">
        <w:rPr>
          <w:rFonts w:ascii="Calibri" w:eastAsia="Calibri" w:hAnsi="Calibri" w:cs="Calibri"/>
          <w:sz w:val="26"/>
          <w:szCs w:val="26"/>
          <w:lang w:eastAsia="en-US"/>
        </w:rPr>
        <w:t> </w:t>
      </w:r>
      <w:r w:rsidRPr="0017713A">
        <w:rPr>
          <w:rFonts w:ascii="Calibri" w:eastAsia="Calibri" w:hAnsi="Calibri" w:cs="Calibri"/>
          <w:sz w:val="26"/>
          <w:szCs w:val="26"/>
          <w:lang w:eastAsia="en-US"/>
        </w:rPr>
        <w:t>mld.</w:t>
      </w:r>
      <w:r w:rsidR="00473782" w:rsidRPr="000F7D3E">
        <w:rPr>
          <w:rFonts w:ascii="Calibri" w:eastAsia="Calibri" w:hAnsi="Calibri" w:cs="Calibri"/>
          <w:sz w:val="26"/>
          <w:szCs w:val="26"/>
          <w:lang w:eastAsia="en-US"/>
        </w:rPr>
        <w:t> </w:t>
      </w:r>
      <w:r w:rsidRPr="0017713A">
        <w:rPr>
          <w:rFonts w:ascii="Calibri" w:eastAsia="Calibri" w:hAnsi="Calibri" w:cs="Calibri"/>
          <w:sz w:val="26"/>
          <w:szCs w:val="26"/>
          <w:lang w:eastAsia="en-US"/>
        </w:rPr>
        <w:t>Kč (</w:t>
      </w:r>
      <w:r w:rsidRPr="0017713A">
        <w:rPr>
          <w:rFonts w:ascii="Calibri" w:eastAsia="Calibri" w:hAnsi="Calibri" w:cs="Calibri"/>
          <w:b/>
          <w:sz w:val="26"/>
          <w:szCs w:val="26"/>
          <w:lang w:eastAsia="en-US"/>
        </w:rPr>
        <w:t>o</w:t>
      </w:r>
      <w:r w:rsidR="00473782" w:rsidRPr="000F7D3E">
        <w:rPr>
          <w:rFonts w:ascii="Calibri" w:eastAsia="Calibri" w:hAnsi="Calibri" w:cs="Calibri"/>
          <w:b/>
          <w:sz w:val="26"/>
          <w:szCs w:val="26"/>
          <w:lang w:eastAsia="en-US"/>
        </w:rPr>
        <w:t> </w:t>
      </w:r>
      <w:r w:rsidRPr="0017713A">
        <w:rPr>
          <w:rFonts w:ascii="Calibri" w:eastAsia="Calibri" w:hAnsi="Calibri" w:cs="Calibri"/>
          <w:b/>
          <w:sz w:val="26"/>
          <w:szCs w:val="26"/>
          <w:lang w:eastAsia="en-US"/>
        </w:rPr>
        <w:t>22,9</w:t>
      </w:r>
      <w:r w:rsidR="00473782" w:rsidRPr="000F7D3E">
        <w:rPr>
          <w:rFonts w:ascii="Calibri" w:eastAsia="Calibri" w:hAnsi="Calibri" w:cs="Calibri"/>
          <w:b/>
          <w:sz w:val="26"/>
          <w:szCs w:val="26"/>
          <w:lang w:eastAsia="en-US"/>
        </w:rPr>
        <w:t> </w:t>
      </w:r>
      <w:r w:rsidRPr="0017713A">
        <w:rPr>
          <w:rFonts w:ascii="Calibri" w:eastAsia="Calibri" w:hAnsi="Calibri" w:cs="Calibri"/>
          <w:b/>
          <w:sz w:val="26"/>
          <w:szCs w:val="26"/>
          <w:lang w:eastAsia="en-US"/>
        </w:rPr>
        <w:t>%</w:t>
      </w:r>
      <w:r w:rsidRPr="0017713A">
        <w:rPr>
          <w:rFonts w:ascii="Calibri" w:eastAsia="Calibri" w:hAnsi="Calibri" w:cs="Calibri"/>
          <w:sz w:val="26"/>
          <w:szCs w:val="26"/>
          <w:lang w:eastAsia="en-US"/>
        </w:rPr>
        <w:t xml:space="preserve">) na </w:t>
      </w:r>
      <w:r w:rsidRPr="0017713A">
        <w:rPr>
          <w:rFonts w:ascii="Calibri" w:eastAsia="Calibri" w:hAnsi="Calibri" w:cs="Calibri"/>
          <w:b/>
          <w:sz w:val="26"/>
          <w:szCs w:val="26"/>
          <w:lang w:eastAsia="en-US"/>
        </w:rPr>
        <w:t>32,8</w:t>
      </w:r>
      <w:r w:rsidR="00473782" w:rsidRPr="000F7D3E">
        <w:rPr>
          <w:rFonts w:ascii="Calibri" w:eastAsia="Calibri" w:hAnsi="Calibri" w:cs="Calibri"/>
          <w:b/>
          <w:sz w:val="26"/>
          <w:szCs w:val="26"/>
          <w:lang w:eastAsia="en-US"/>
        </w:rPr>
        <w:t> </w:t>
      </w:r>
      <w:r w:rsidRPr="0017713A">
        <w:rPr>
          <w:rFonts w:ascii="Calibri" w:eastAsia="Calibri" w:hAnsi="Calibri" w:cs="Calibri"/>
          <w:b/>
          <w:sz w:val="26"/>
          <w:szCs w:val="26"/>
          <w:lang w:eastAsia="en-US"/>
        </w:rPr>
        <w:t>mld.</w:t>
      </w:r>
      <w:r w:rsidR="00473782" w:rsidRPr="000F7D3E">
        <w:rPr>
          <w:rFonts w:ascii="Calibri" w:eastAsia="Calibri" w:hAnsi="Calibri" w:cs="Calibri"/>
          <w:b/>
          <w:sz w:val="26"/>
          <w:szCs w:val="26"/>
          <w:lang w:eastAsia="en-US"/>
        </w:rPr>
        <w:t> </w:t>
      </w:r>
      <w:r w:rsidRPr="0017713A">
        <w:rPr>
          <w:rFonts w:ascii="Calibri" w:eastAsia="Calibri" w:hAnsi="Calibri" w:cs="Calibri"/>
          <w:b/>
          <w:sz w:val="26"/>
          <w:szCs w:val="26"/>
          <w:lang w:eastAsia="en-US"/>
        </w:rPr>
        <w:t>Kč</w:t>
      </w:r>
      <w:r w:rsidRPr="0017713A">
        <w:rPr>
          <w:rFonts w:ascii="Calibri" w:eastAsia="Calibri" w:hAnsi="Calibri" w:cs="Calibri"/>
          <w:sz w:val="26"/>
          <w:szCs w:val="26"/>
          <w:lang w:eastAsia="en-US"/>
        </w:rPr>
        <w:t>.</w:t>
      </w:r>
    </w:p>
    <w:p w14:paraId="020A8822" w14:textId="087F3827" w:rsidR="0017713A" w:rsidRPr="0017713A" w:rsidRDefault="0017713A" w:rsidP="00970B2A">
      <w:pPr>
        <w:spacing w:after="220" w:line="360" w:lineRule="auto"/>
        <w:jc w:val="both"/>
        <w:rPr>
          <w:rFonts w:ascii="Calibri" w:eastAsia="Calibri" w:hAnsi="Calibri" w:cs="Calibri"/>
          <w:sz w:val="26"/>
          <w:szCs w:val="26"/>
          <w:lang w:eastAsia="en-US"/>
        </w:rPr>
      </w:pPr>
      <w:r w:rsidRPr="0017713A">
        <w:rPr>
          <w:rFonts w:ascii="Calibri" w:eastAsia="Calibri" w:hAnsi="Calibri" w:cs="Calibri"/>
          <w:sz w:val="26"/>
          <w:szCs w:val="26"/>
          <w:lang w:eastAsia="en-US"/>
        </w:rPr>
        <w:tab/>
        <w:t xml:space="preserve">Výdaje na </w:t>
      </w:r>
      <w:r w:rsidRPr="0017713A">
        <w:rPr>
          <w:rFonts w:ascii="Calibri" w:eastAsia="Calibri" w:hAnsi="Calibri" w:cs="Calibri"/>
          <w:b/>
          <w:sz w:val="26"/>
          <w:szCs w:val="26"/>
          <w:lang w:eastAsia="en-US"/>
        </w:rPr>
        <w:t>ošetřovné</w:t>
      </w:r>
      <w:r w:rsidRPr="0017713A">
        <w:rPr>
          <w:rFonts w:ascii="Calibri" w:eastAsia="Calibri" w:hAnsi="Calibri" w:cs="Calibri"/>
          <w:sz w:val="26"/>
          <w:szCs w:val="26"/>
          <w:lang w:eastAsia="en-US"/>
        </w:rPr>
        <w:t xml:space="preserve"> se ve sledovaném období </w:t>
      </w:r>
      <w:r w:rsidRPr="0017713A">
        <w:rPr>
          <w:rFonts w:ascii="Calibri" w:eastAsia="Calibri" w:hAnsi="Calibri" w:cs="Calibri"/>
          <w:b/>
          <w:sz w:val="26"/>
          <w:szCs w:val="26"/>
          <w:lang w:eastAsia="en-US"/>
        </w:rPr>
        <w:t>zvýšily</w:t>
      </w:r>
      <w:r w:rsidRPr="0017713A">
        <w:rPr>
          <w:rFonts w:ascii="Calibri" w:eastAsia="Calibri" w:hAnsi="Calibri" w:cs="Calibri"/>
          <w:sz w:val="26"/>
          <w:szCs w:val="26"/>
          <w:lang w:eastAsia="en-US"/>
        </w:rPr>
        <w:t xml:space="preserve"> </w:t>
      </w:r>
      <w:r w:rsidRPr="0017713A">
        <w:rPr>
          <w:rFonts w:ascii="Calibri" w:eastAsia="Calibri" w:hAnsi="Calibri" w:cs="Calibri"/>
          <w:b/>
          <w:sz w:val="26"/>
          <w:szCs w:val="26"/>
          <w:lang w:eastAsia="en-US"/>
        </w:rPr>
        <w:t>o 562,8</w:t>
      </w:r>
      <w:r w:rsidR="00473782" w:rsidRPr="000F7D3E">
        <w:rPr>
          <w:rFonts w:ascii="Calibri" w:eastAsia="Calibri" w:hAnsi="Calibri" w:cs="Calibri"/>
          <w:b/>
          <w:sz w:val="26"/>
          <w:szCs w:val="26"/>
          <w:lang w:eastAsia="en-US"/>
        </w:rPr>
        <w:t> </w:t>
      </w:r>
      <w:r w:rsidRPr="0017713A">
        <w:rPr>
          <w:rFonts w:ascii="Calibri" w:eastAsia="Calibri" w:hAnsi="Calibri" w:cs="Calibri"/>
          <w:b/>
          <w:sz w:val="26"/>
          <w:szCs w:val="26"/>
          <w:lang w:eastAsia="en-US"/>
        </w:rPr>
        <w:t>%</w:t>
      </w:r>
      <w:r w:rsidRPr="0017713A">
        <w:rPr>
          <w:rFonts w:ascii="Calibri" w:eastAsia="Calibri" w:hAnsi="Calibri" w:cs="Calibri"/>
          <w:sz w:val="26"/>
          <w:szCs w:val="26"/>
          <w:lang w:eastAsia="en-US"/>
        </w:rPr>
        <w:t xml:space="preserve"> (o</w:t>
      </w:r>
      <w:r w:rsidR="00473782" w:rsidRPr="000F7D3E">
        <w:rPr>
          <w:rFonts w:ascii="Calibri" w:eastAsia="Calibri" w:hAnsi="Calibri" w:cs="Calibri"/>
          <w:sz w:val="26"/>
          <w:szCs w:val="26"/>
          <w:lang w:eastAsia="en-US"/>
        </w:rPr>
        <w:t> </w:t>
      </w:r>
      <w:r w:rsidRPr="0017713A">
        <w:rPr>
          <w:rFonts w:ascii="Calibri" w:eastAsia="Calibri" w:hAnsi="Calibri" w:cs="Calibri"/>
          <w:sz w:val="26"/>
          <w:szCs w:val="26"/>
          <w:lang w:eastAsia="en-US"/>
        </w:rPr>
        <w:t>9,7</w:t>
      </w:r>
      <w:r w:rsidR="000F7D3E" w:rsidRPr="000F7D3E">
        <w:rPr>
          <w:rFonts w:ascii="Calibri" w:eastAsia="Calibri" w:hAnsi="Calibri" w:cs="Calibri"/>
          <w:sz w:val="26"/>
          <w:szCs w:val="26"/>
          <w:lang w:eastAsia="en-US"/>
        </w:rPr>
        <w:t> </w:t>
      </w:r>
      <w:r w:rsidRPr="0017713A">
        <w:rPr>
          <w:rFonts w:ascii="Calibri" w:eastAsia="Calibri" w:hAnsi="Calibri" w:cs="Calibri"/>
          <w:sz w:val="26"/>
          <w:szCs w:val="26"/>
          <w:lang w:eastAsia="en-US"/>
        </w:rPr>
        <w:t>mld.</w:t>
      </w:r>
      <w:r w:rsidR="000F7D3E" w:rsidRPr="000F7D3E">
        <w:rPr>
          <w:rFonts w:ascii="Calibri" w:eastAsia="Calibri" w:hAnsi="Calibri" w:cs="Calibri"/>
          <w:sz w:val="26"/>
          <w:szCs w:val="26"/>
          <w:lang w:eastAsia="en-US"/>
        </w:rPr>
        <w:t> </w:t>
      </w:r>
      <w:r w:rsidRPr="0017713A">
        <w:rPr>
          <w:rFonts w:ascii="Calibri" w:eastAsia="Calibri" w:hAnsi="Calibri" w:cs="Calibri"/>
          <w:sz w:val="26"/>
          <w:szCs w:val="26"/>
          <w:lang w:eastAsia="en-US"/>
        </w:rPr>
        <w:t xml:space="preserve">Kč) na </w:t>
      </w:r>
      <w:r w:rsidRPr="0017713A">
        <w:rPr>
          <w:rFonts w:ascii="Calibri" w:eastAsia="Calibri" w:hAnsi="Calibri" w:cs="Calibri"/>
          <w:b/>
          <w:sz w:val="26"/>
          <w:szCs w:val="26"/>
          <w:lang w:eastAsia="en-US"/>
        </w:rPr>
        <w:t>11,4</w:t>
      </w:r>
      <w:r w:rsidR="000F7D3E" w:rsidRPr="000F7D3E">
        <w:rPr>
          <w:rFonts w:ascii="Calibri" w:eastAsia="Calibri" w:hAnsi="Calibri" w:cs="Calibri"/>
          <w:b/>
          <w:sz w:val="26"/>
          <w:szCs w:val="26"/>
          <w:lang w:eastAsia="en-US"/>
        </w:rPr>
        <w:t> </w:t>
      </w:r>
      <w:r w:rsidRPr="0017713A">
        <w:rPr>
          <w:rFonts w:ascii="Calibri" w:eastAsia="Calibri" w:hAnsi="Calibri" w:cs="Calibri"/>
          <w:b/>
          <w:sz w:val="26"/>
          <w:szCs w:val="26"/>
          <w:lang w:eastAsia="en-US"/>
        </w:rPr>
        <w:t>mld.</w:t>
      </w:r>
      <w:r w:rsidR="000F7D3E" w:rsidRPr="000F7D3E">
        <w:rPr>
          <w:rFonts w:ascii="Calibri" w:eastAsia="Calibri" w:hAnsi="Calibri" w:cs="Calibri"/>
          <w:b/>
          <w:sz w:val="26"/>
          <w:szCs w:val="26"/>
          <w:lang w:eastAsia="en-US"/>
        </w:rPr>
        <w:t> </w:t>
      </w:r>
      <w:r w:rsidRPr="0017713A">
        <w:rPr>
          <w:rFonts w:ascii="Calibri" w:eastAsia="Calibri" w:hAnsi="Calibri" w:cs="Calibri"/>
          <w:b/>
          <w:sz w:val="26"/>
          <w:szCs w:val="26"/>
          <w:lang w:eastAsia="en-US"/>
        </w:rPr>
        <w:t>Kč</w:t>
      </w:r>
      <w:r w:rsidRPr="0017713A">
        <w:rPr>
          <w:rFonts w:ascii="Calibri" w:eastAsia="Calibri" w:hAnsi="Calibri" w:cs="Calibri"/>
          <w:sz w:val="26"/>
          <w:szCs w:val="26"/>
          <w:lang w:eastAsia="en-US"/>
        </w:rPr>
        <w:t>.</w:t>
      </w:r>
    </w:p>
    <w:p w14:paraId="691536E6" w14:textId="6951CBBA" w:rsidR="0017713A" w:rsidRPr="0017713A" w:rsidRDefault="0017713A" w:rsidP="00970B2A">
      <w:pPr>
        <w:spacing w:after="240" w:line="360" w:lineRule="auto"/>
        <w:jc w:val="both"/>
        <w:rPr>
          <w:rFonts w:ascii="Calibri" w:eastAsia="Calibri" w:hAnsi="Calibri" w:cs="Calibri"/>
          <w:sz w:val="26"/>
          <w:szCs w:val="26"/>
          <w:lang w:eastAsia="en-US"/>
        </w:rPr>
      </w:pPr>
      <w:r w:rsidRPr="0017713A">
        <w:rPr>
          <w:rFonts w:ascii="Calibri" w:eastAsia="Calibri" w:hAnsi="Calibri" w:cs="Calibri"/>
          <w:sz w:val="26"/>
          <w:szCs w:val="26"/>
          <w:lang w:eastAsia="en-US"/>
        </w:rPr>
        <w:tab/>
        <w:t xml:space="preserve">Na </w:t>
      </w:r>
      <w:r w:rsidRPr="0017713A">
        <w:rPr>
          <w:rFonts w:ascii="Calibri" w:eastAsia="Calibri" w:hAnsi="Calibri" w:cs="Calibri"/>
          <w:b/>
          <w:sz w:val="26"/>
          <w:szCs w:val="26"/>
          <w:lang w:eastAsia="en-US"/>
        </w:rPr>
        <w:t>peněžitou pomoc v mateřství</w:t>
      </w:r>
      <w:r w:rsidRPr="0017713A">
        <w:rPr>
          <w:rFonts w:ascii="Calibri" w:eastAsia="Calibri" w:hAnsi="Calibri" w:cs="Calibri"/>
          <w:sz w:val="26"/>
          <w:szCs w:val="26"/>
          <w:lang w:eastAsia="en-US"/>
        </w:rPr>
        <w:t xml:space="preserve"> bylo za leden až prosinec 2020 vyplaceno </w:t>
      </w:r>
      <w:r w:rsidRPr="0017713A">
        <w:rPr>
          <w:rFonts w:ascii="Calibri" w:eastAsia="Calibri" w:hAnsi="Calibri" w:cs="Calibri"/>
          <w:b/>
          <w:sz w:val="26"/>
          <w:szCs w:val="26"/>
          <w:lang w:eastAsia="en-US"/>
        </w:rPr>
        <w:t>10,6 mld.</w:t>
      </w:r>
      <w:r w:rsidR="000F7D3E">
        <w:rPr>
          <w:rFonts w:ascii="Calibri" w:eastAsia="Calibri" w:hAnsi="Calibri" w:cs="Calibri"/>
          <w:b/>
          <w:sz w:val="26"/>
          <w:szCs w:val="26"/>
          <w:lang w:eastAsia="en-US"/>
        </w:rPr>
        <w:t> </w:t>
      </w:r>
      <w:r w:rsidRPr="0017713A">
        <w:rPr>
          <w:rFonts w:ascii="Calibri" w:eastAsia="Calibri" w:hAnsi="Calibri" w:cs="Calibri"/>
          <w:b/>
          <w:sz w:val="26"/>
          <w:szCs w:val="26"/>
          <w:lang w:eastAsia="en-US"/>
        </w:rPr>
        <w:t>Kč</w:t>
      </w:r>
      <w:r w:rsidRPr="0017713A">
        <w:rPr>
          <w:rFonts w:ascii="Calibri" w:eastAsia="Calibri" w:hAnsi="Calibri" w:cs="Calibri"/>
          <w:sz w:val="26"/>
          <w:szCs w:val="26"/>
          <w:lang w:eastAsia="en-US"/>
        </w:rPr>
        <w:t>, tedy o</w:t>
      </w:r>
      <w:r w:rsidR="000F7D3E">
        <w:rPr>
          <w:rFonts w:ascii="Calibri" w:eastAsia="Calibri" w:hAnsi="Calibri" w:cs="Calibri"/>
          <w:sz w:val="26"/>
          <w:szCs w:val="26"/>
          <w:lang w:eastAsia="en-US"/>
        </w:rPr>
        <w:t> </w:t>
      </w:r>
      <w:r w:rsidRPr="0017713A">
        <w:rPr>
          <w:rFonts w:ascii="Calibri" w:eastAsia="Calibri" w:hAnsi="Calibri" w:cs="Calibri"/>
          <w:sz w:val="26"/>
          <w:szCs w:val="26"/>
          <w:lang w:eastAsia="en-US"/>
        </w:rPr>
        <w:t>0,5</w:t>
      </w:r>
      <w:r w:rsidR="000F7D3E">
        <w:rPr>
          <w:rFonts w:ascii="Calibri" w:eastAsia="Calibri" w:hAnsi="Calibri" w:cs="Calibri"/>
          <w:sz w:val="26"/>
          <w:szCs w:val="26"/>
          <w:lang w:eastAsia="en-US"/>
        </w:rPr>
        <w:t> </w:t>
      </w:r>
      <w:r w:rsidRPr="0017713A">
        <w:rPr>
          <w:rFonts w:ascii="Calibri" w:eastAsia="Calibri" w:hAnsi="Calibri" w:cs="Calibri"/>
          <w:sz w:val="26"/>
          <w:szCs w:val="26"/>
          <w:lang w:eastAsia="en-US"/>
        </w:rPr>
        <w:t>mld.</w:t>
      </w:r>
      <w:r w:rsidR="000F7D3E">
        <w:rPr>
          <w:rFonts w:ascii="Calibri" w:eastAsia="Calibri" w:hAnsi="Calibri" w:cs="Calibri"/>
          <w:sz w:val="26"/>
          <w:szCs w:val="26"/>
          <w:lang w:eastAsia="en-US"/>
        </w:rPr>
        <w:t> </w:t>
      </w:r>
      <w:r w:rsidRPr="0017713A">
        <w:rPr>
          <w:rFonts w:ascii="Calibri" w:eastAsia="Calibri" w:hAnsi="Calibri" w:cs="Calibri"/>
          <w:sz w:val="26"/>
          <w:szCs w:val="26"/>
          <w:lang w:eastAsia="en-US"/>
        </w:rPr>
        <w:t>Kč (</w:t>
      </w:r>
      <w:r w:rsidRPr="0017713A">
        <w:rPr>
          <w:rFonts w:ascii="Calibri" w:eastAsia="Calibri" w:hAnsi="Calibri" w:cs="Calibri"/>
          <w:b/>
          <w:sz w:val="26"/>
          <w:szCs w:val="26"/>
          <w:lang w:eastAsia="en-US"/>
        </w:rPr>
        <w:t>o</w:t>
      </w:r>
      <w:r w:rsidR="000F7D3E">
        <w:rPr>
          <w:rFonts w:ascii="Calibri" w:eastAsia="Calibri" w:hAnsi="Calibri" w:cs="Calibri"/>
          <w:b/>
          <w:sz w:val="26"/>
          <w:szCs w:val="26"/>
          <w:lang w:eastAsia="en-US"/>
        </w:rPr>
        <w:t> </w:t>
      </w:r>
      <w:r w:rsidRPr="0017713A">
        <w:rPr>
          <w:rFonts w:ascii="Calibri" w:eastAsia="Calibri" w:hAnsi="Calibri" w:cs="Calibri"/>
          <w:b/>
          <w:sz w:val="26"/>
          <w:szCs w:val="26"/>
          <w:lang w:eastAsia="en-US"/>
        </w:rPr>
        <w:t>4,8</w:t>
      </w:r>
      <w:r w:rsidR="000F7D3E">
        <w:rPr>
          <w:rFonts w:ascii="Calibri" w:eastAsia="Calibri" w:hAnsi="Calibri" w:cs="Calibri"/>
          <w:b/>
          <w:sz w:val="26"/>
          <w:szCs w:val="26"/>
          <w:lang w:eastAsia="en-US"/>
        </w:rPr>
        <w:t> </w:t>
      </w:r>
      <w:r w:rsidRPr="0017713A">
        <w:rPr>
          <w:rFonts w:ascii="Calibri" w:eastAsia="Calibri" w:hAnsi="Calibri" w:cs="Calibri"/>
          <w:b/>
          <w:sz w:val="26"/>
          <w:szCs w:val="26"/>
          <w:lang w:eastAsia="en-US"/>
        </w:rPr>
        <w:t>%</w:t>
      </w:r>
      <w:r w:rsidRPr="0017713A">
        <w:rPr>
          <w:rFonts w:ascii="Calibri" w:eastAsia="Calibri" w:hAnsi="Calibri" w:cs="Calibri"/>
          <w:sz w:val="26"/>
          <w:szCs w:val="26"/>
          <w:lang w:eastAsia="en-US"/>
        </w:rPr>
        <w:t xml:space="preserve">) meziročně </w:t>
      </w:r>
      <w:r w:rsidRPr="0017713A">
        <w:rPr>
          <w:rFonts w:ascii="Calibri" w:eastAsia="Calibri" w:hAnsi="Calibri" w:cs="Calibri"/>
          <w:b/>
          <w:sz w:val="26"/>
          <w:szCs w:val="26"/>
          <w:lang w:eastAsia="en-US"/>
        </w:rPr>
        <w:t>více</w:t>
      </w:r>
      <w:r w:rsidRPr="0017713A">
        <w:rPr>
          <w:rFonts w:ascii="Calibri" w:eastAsia="Calibri" w:hAnsi="Calibri" w:cs="Calibri"/>
          <w:sz w:val="26"/>
          <w:szCs w:val="26"/>
          <w:lang w:eastAsia="en-US"/>
        </w:rPr>
        <w:t>. Její podíl na dávkách nemocenského pojištění se však snížil o 6,8 p. b. na 19,2 %.</w:t>
      </w:r>
    </w:p>
    <w:p w14:paraId="6DE7F863" w14:textId="33529449" w:rsidR="0017713A" w:rsidRPr="0017713A" w:rsidRDefault="0017713A" w:rsidP="00970B2A">
      <w:pPr>
        <w:spacing w:after="240" w:line="360" w:lineRule="auto"/>
        <w:jc w:val="both"/>
        <w:rPr>
          <w:rFonts w:ascii="Calibri" w:eastAsia="Calibri" w:hAnsi="Calibri" w:cs="Calibri"/>
          <w:sz w:val="26"/>
          <w:szCs w:val="26"/>
          <w:lang w:eastAsia="en-US"/>
        </w:rPr>
      </w:pPr>
      <w:r w:rsidRPr="0017713A">
        <w:rPr>
          <w:rFonts w:ascii="Calibri" w:eastAsia="Calibri" w:hAnsi="Calibri" w:cs="Calibri"/>
          <w:sz w:val="26"/>
          <w:szCs w:val="26"/>
          <w:lang w:eastAsia="en-US"/>
        </w:rPr>
        <w:lastRenderedPageBreak/>
        <w:tab/>
        <w:t xml:space="preserve">Výdaje na </w:t>
      </w:r>
      <w:r w:rsidRPr="0017713A">
        <w:rPr>
          <w:rFonts w:ascii="Calibri" w:eastAsia="Calibri" w:hAnsi="Calibri" w:cs="Calibri"/>
          <w:b/>
          <w:sz w:val="26"/>
          <w:szCs w:val="26"/>
          <w:lang w:eastAsia="en-US"/>
        </w:rPr>
        <w:t>otcovskou poporodní péči</w:t>
      </w:r>
      <w:r w:rsidRPr="0017713A">
        <w:rPr>
          <w:rFonts w:ascii="Calibri" w:eastAsia="Calibri" w:hAnsi="Calibri" w:cs="Calibri"/>
          <w:sz w:val="26"/>
          <w:szCs w:val="26"/>
          <w:lang w:eastAsia="en-US"/>
        </w:rPr>
        <w:t xml:space="preserve"> činily </w:t>
      </w:r>
      <w:r w:rsidRPr="0017713A">
        <w:rPr>
          <w:rFonts w:ascii="Calibri" w:eastAsia="Calibri" w:hAnsi="Calibri" w:cs="Calibri"/>
          <w:b/>
          <w:sz w:val="26"/>
          <w:szCs w:val="26"/>
          <w:lang w:eastAsia="en-US"/>
        </w:rPr>
        <w:t>269,2</w:t>
      </w:r>
      <w:r w:rsidR="000F7D3E">
        <w:rPr>
          <w:rFonts w:ascii="Calibri" w:eastAsia="Calibri" w:hAnsi="Calibri" w:cs="Calibri"/>
          <w:b/>
          <w:sz w:val="26"/>
          <w:szCs w:val="26"/>
          <w:lang w:eastAsia="en-US"/>
        </w:rPr>
        <w:t> </w:t>
      </w:r>
      <w:r w:rsidRPr="0017713A">
        <w:rPr>
          <w:rFonts w:ascii="Calibri" w:eastAsia="Calibri" w:hAnsi="Calibri" w:cs="Calibri"/>
          <w:b/>
          <w:sz w:val="26"/>
          <w:szCs w:val="26"/>
          <w:lang w:eastAsia="en-US"/>
        </w:rPr>
        <w:t>mil.</w:t>
      </w:r>
      <w:r w:rsidR="000F7D3E">
        <w:rPr>
          <w:rFonts w:ascii="Calibri" w:eastAsia="Calibri" w:hAnsi="Calibri" w:cs="Calibri"/>
          <w:b/>
          <w:sz w:val="26"/>
          <w:szCs w:val="26"/>
          <w:lang w:eastAsia="en-US"/>
        </w:rPr>
        <w:t> </w:t>
      </w:r>
      <w:r w:rsidRPr="0017713A">
        <w:rPr>
          <w:rFonts w:ascii="Calibri" w:eastAsia="Calibri" w:hAnsi="Calibri" w:cs="Calibri"/>
          <w:b/>
          <w:sz w:val="26"/>
          <w:szCs w:val="26"/>
          <w:lang w:eastAsia="en-US"/>
        </w:rPr>
        <w:t>Kč</w:t>
      </w:r>
      <w:r w:rsidRPr="0017713A">
        <w:rPr>
          <w:rFonts w:ascii="Calibri" w:eastAsia="Calibri" w:hAnsi="Calibri" w:cs="Calibri"/>
          <w:sz w:val="26"/>
          <w:szCs w:val="26"/>
          <w:lang w:eastAsia="en-US"/>
        </w:rPr>
        <w:t>, což bylo o 4,1 mil. Kč méně než v roce 2019.</w:t>
      </w:r>
    </w:p>
    <w:p w14:paraId="7730CED8" w14:textId="43DB64C5" w:rsidR="0017713A" w:rsidRDefault="0017713A" w:rsidP="00970B2A">
      <w:pPr>
        <w:spacing w:after="240" w:line="360" w:lineRule="auto"/>
        <w:jc w:val="both"/>
        <w:rPr>
          <w:rFonts w:ascii="Calibri" w:eastAsia="Calibri" w:hAnsi="Calibri" w:cs="Calibri"/>
          <w:sz w:val="26"/>
          <w:szCs w:val="26"/>
          <w:lang w:eastAsia="en-US"/>
        </w:rPr>
      </w:pPr>
      <w:r w:rsidRPr="0017713A">
        <w:rPr>
          <w:rFonts w:ascii="Calibri" w:eastAsia="Calibri" w:hAnsi="Calibri" w:cs="Calibri"/>
          <w:sz w:val="26"/>
          <w:szCs w:val="26"/>
          <w:lang w:eastAsia="en-US"/>
        </w:rPr>
        <w:tab/>
        <w:t xml:space="preserve">Na </w:t>
      </w:r>
      <w:r w:rsidRPr="0017713A">
        <w:rPr>
          <w:rFonts w:ascii="Calibri" w:eastAsia="Calibri" w:hAnsi="Calibri" w:cs="Calibri"/>
          <w:b/>
          <w:sz w:val="26"/>
          <w:szCs w:val="26"/>
          <w:lang w:eastAsia="en-US"/>
        </w:rPr>
        <w:t>dlouhodobé ošetřovné</w:t>
      </w:r>
      <w:r w:rsidRPr="0017713A">
        <w:rPr>
          <w:rFonts w:ascii="Calibri" w:eastAsia="Calibri" w:hAnsi="Calibri" w:cs="Calibri"/>
          <w:sz w:val="26"/>
          <w:szCs w:val="26"/>
          <w:lang w:eastAsia="en-US"/>
        </w:rPr>
        <w:t xml:space="preserve"> bylo vyplaceno </w:t>
      </w:r>
      <w:r w:rsidRPr="0017713A">
        <w:rPr>
          <w:rFonts w:ascii="Calibri" w:eastAsia="Calibri" w:hAnsi="Calibri" w:cs="Calibri"/>
          <w:b/>
          <w:sz w:val="26"/>
          <w:szCs w:val="26"/>
          <w:lang w:eastAsia="en-US"/>
        </w:rPr>
        <w:t>137,7</w:t>
      </w:r>
      <w:r w:rsidR="000F7D3E">
        <w:rPr>
          <w:rFonts w:ascii="Calibri" w:eastAsia="Calibri" w:hAnsi="Calibri" w:cs="Calibri"/>
          <w:b/>
          <w:sz w:val="26"/>
          <w:szCs w:val="26"/>
          <w:lang w:eastAsia="en-US"/>
        </w:rPr>
        <w:t> </w:t>
      </w:r>
      <w:r w:rsidRPr="0017713A">
        <w:rPr>
          <w:rFonts w:ascii="Calibri" w:eastAsia="Calibri" w:hAnsi="Calibri" w:cs="Calibri"/>
          <w:b/>
          <w:sz w:val="26"/>
          <w:szCs w:val="26"/>
          <w:lang w:eastAsia="en-US"/>
        </w:rPr>
        <w:t>mil.</w:t>
      </w:r>
      <w:r w:rsidR="000F7D3E">
        <w:rPr>
          <w:rFonts w:ascii="Calibri" w:eastAsia="Calibri" w:hAnsi="Calibri" w:cs="Calibri"/>
          <w:b/>
          <w:sz w:val="26"/>
          <w:szCs w:val="26"/>
          <w:lang w:eastAsia="en-US"/>
        </w:rPr>
        <w:t> </w:t>
      </w:r>
      <w:r w:rsidRPr="0017713A">
        <w:rPr>
          <w:rFonts w:ascii="Calibri" w:eastAsia="Calibri" w:hAnsi="Calibri" w:cs="Calibri"/>
          <w:b/>
          <w:sz w:val="26"/>
          <w:szCs w:val="26"/>
          <w:lang w:eastAsia="en-US"/>
        </w:rPr>
        <w:t xml:space="preserve">Kč </w:t>
      </w:r>
      <w:r w:rsidRPr="0017713A">
        <w:rPr>
          <w:rFonts w:ascii="Calibri" w:eastAsia="Calibri" w:hAnsi="Calibri" w:cs="Calibri"/>
          <w:sz w:val="26"/>
          <w:szCs w:val="26"/>
          <w:lang w:eastAsia="en-US"/>
        </w:rPr>
        <w:t>(meziroční nárůst o 27,7 mil. Kč, tj. o 25,2 %).</w:t>
      </w:r>
    </w:p>
    <w:p w14:paraId="267C2F6E" w14:textId="7201320C" w:rsidR="0017713A" w:rsidRDefault="000F7D3E" w:rsidP="00970B2A">
      <w:pPr>
        <w:spacing w:after="240" w:line="360" w:lineRule="auto"/>
        <w:jc w:val="both"/>
        <w:rPr>
          <w:rFonts w:ascii="Calibri" w:eastAsia="Calibri" w:hAnsi="Calibri" w:cs="Calibri"/>
          <w:sz w:val="26"/>
          <w:szCs w:val="26"/>
          <w:lang w:eastAsia="en-US"/>
        </w:rPr>
      </w:pPr>
      <w:r>
        <w:rPr>
          <w:rFonts w:ascii="Calibri" w:eastAsia="Calibri" w:hAnsi="Calibri" w:cs="Calibri"/>
          <w:sz w:val="26"/>
          <w:szCs w:val="26"/>
          <w:lang w:eastAsia="en-US"/>
        </w:rPr>
        <w:tab/>
      </w:r>
      <w:r w:rsidR="0017713A" w:rsidRPr="0017713A">
        <w:rPr>
          <w:rFonts w:ascii="Calibri" w:eastAsia="Calibri" w:hAnsi="Calibri" w:cs="Calibri"/>
          <w:sz w:val="26"/>
          <w:szCs w:val="26"/>
          <w:lang w:eastAsia="en-US"/>
        </w:rPr>
        <w:t xml:space="preserve">Na </w:t>
      </w:r>
      <w:r w:rsidR="0017713A" w:rsidRPr="0017713A">
        <w:rPr>
          <w:rFonts w:ascii="Calibri" w:eastAsia="Calibri" w:hAnsi="Calibri" w:cs="Calibri"/>
          <w:b/>
          <w:sz w:val="26"/>
          <w:szCs w:val="26"/>
          <w:lang w:eastAsia="en-US"/>
        </w:rPr>
        <w:t>vyrovnávací příspěvek v těhotenství a mateřství</w:t>
      </w:r>
      <w:r w:rsidR="0017713A" w:rsidRPr="0017713A">
        <w:rPr>
          <w:rFonts w:ascii="Calibri" w:eastAsia="Calibri" w:hAnsi="Calibri" w:cs="Calibri"/>
          <w:sz w:val="26"/>
          <w:szCs w:val="26"/>
          <w:lang w:eastAsia="en-US"/>
        </w:rPr>
        <w:t xml:space="preserve"> bylo vyplaceno </w:t>
      </w:r>
      <w:r w:rsidR="0017713A" w:rsidRPr="0017713A">
        <w:rPr>
          <w:rFonts w:ascii="Calibri" w:eastAsia="Calibri" w:hAnsi="Calibri" w:cs="Calibri"/>
          <w:b/>
          <w:sz w:val="26"/>
          <w:szCs w:val="26"/>
          <w:lang w:eastAsia="en-US"/>
        </w:rPr>
        <w:t>6,6 mil. Kč</w:t>
      </w:r>
      <w:r w:rsidR="0017713A" w:rsidRPr="0017713A">
        <w:rPr>
          <w:rFonts w:ascii="Calibri" w:eastAsia="Calibri" w:hAnsi="Calibri" w:cs="Calibri"/>
          <w:sz w:val="26"/>
          <w:szCs w:val="26"/>
          <w:lang w:eastAsia="en-US"/>
        </w:rPr>
        <w:t xml:space="preserve"> (o 29,8 % méně než v roce 2019) – viz tabulku č. 15 v příloze.</w:t>
      </w:r>
    </w:p>
    <w:p w14:paraId="32E9F31E" w14:textId="54208A02" w:rsidR="000F7D3E" w:rsidRDefault="000F7D3E" w:rsidP="00970B2A">
      <w:pPr>
        <w:spacing w:after="240" w:line="360" w:lineRule="auto"/>
        <w:jc w:val="both"/>
        <w:rPr>
          <w:rFonts w:ascii="Calibri" w:eastAsia="Calibri" w:hAnsi="Calibri" w:cs="Calibri"/>
          <w:sz w:val="26"/>
          <w:szCs w:val="26"/>
          <w:lang w:eastAsia="en-US"/>
        </w:rPr>
      </w:pPr>
    </w:p>
    <w:p w14:paraId="4152CF72" w14:textId="70EE0A14" w:rsidR="0017713A" w:rsidRPr="0017713A" w:rsidRDefault="000F7D3E" w:rsidP="00B33B21">
      <w:pPr>
        <w:spacing w:after="480" w:line="360" w:lineRule="auto"/>
        <w:jc w:val="both"/>
        <w:rPr>
          <w:rFonts w:ascii="Calibri" w:eastAsia="Calibri" w:hAnsi="Calibri" w:cs="Calibri"/>
          <w:sz w:val="26"/>
          <w:szCs w:val="26"/>
          <w:lang w:eastAsia="en-US"/>
        </w:rPr>
      </w:pPr>
      <w:r>
        <w:rPr>
          <w:rFonts w:ascii="Calibri" w:eastAsia="Calibri" w:hAnsi="Calibri" w:cs="Calibri"/>
          <w:sz w:val="26"/>
          <w:szCs w:val="26"/>
          <w:lang w:eastAsia="en-US"/>
        </w:rPr>
        <w:tab/>
      </w:r>
      <w:r w:rsidR="0017713A" w:rsidRPr="0017713A">
        <w:rPr>
          <w:rFonts w:ascii="Calibri" w:eastAsia="Calibri" w:hAnsi="Calibri" w:cs="Calibri"/>
          <w:sz w:val="26"/>
          <w:szCs w:val="26"/>
          <w:lang w:eastAsia="en-US"/>
        </w:rPr>
        <w:t xml:space="preserve">Na </w:t>
      </w:r>
      <w:r w:rsidR="0017713A" w:rsidRPr="0017713A">
        <w:rPr>
          <w:rFonts w:ascii="Calibri" w:eastAsia="Calibri" w:hAnsi="Calibri" w:cs="Calibri"/>
          <w:b/>
          <w:sz w:val="26"/>
          <w:szCs w:val="26"/>
          <w:u w:val="single"/>
          <w:lang w:eastAsia="en-US"/>
        </w:rPr>
        <w:t>dávkách státní sociální podpory a dávkách pěstounské péče</w:t>
      </w:r>
      <w:r w:rsidR="0017713A" w:rsidRPr="0017713A">
        <w:rPr>
          <w:rFonts w:ascii="Calibri" w:eastAsia="Calibri" w:hAnsi="Calibri" w:cs="Calibri"/>
          <w:sz w:val="26"/>
          <w:szCs w:val="26"/>
          <w:lang w:eastAsia="en-US"/>
        </w:rPr>
        <w:t xml:space="preserve"> bylo </w:t>
      </w:r>
      <w:r w:rsidR="0017713A" w:rsidRPr="0017713A">
        <w:rPr>
          <w:rFonts w:ascii="Calibri" w:eastAsia="Calibri" w:hAnsi="Calibri" w:cs="Calibri"/>
          <w:b/>
          <w:sz w:val="26"/>
          <w:szCs w:val="26"/>
          <w:lang w:eastAsia="en-US"/>
        </w:rPr>
        <w:t>vyplaceno 51,7 mld.</w:t>
      </w:r>
      <w:r>
        <w:rPr>
          <w:rFonts w:ascii="Calibri" w:eastAsia="Calibri" w:hAnsi="Calibri" w:cs="Calibri"/>
          <w:b/>
          <w:sz w:val="26"/>
          <w:szCs w:val="26"/>
          <w:lang w:eastAsia="en-US"/>
        </w:rPr>
        <w:t> </w:t>
      </w:r>
      <w:r w:rsidR="0017713A" w:rsidRPr="0017713A">
        <w:rPr>
          <w:rFonts w:ascii="Calibri" w:eastAsia="Calibri" w:hAnsi="Calibri" w:cs="Calibri"/>
          <w:b/>
          <w:sz w:val="26"/>
          <w:szCs w:val="26"/>
          <w:lang w:eastAsia="en-US"/>
        </w:rPr>
        <w:t>Kč</w:t>
      </w:r>
      <w:r w:rsidR="0017713A" w:rsidRPr="0017713A">
        <w:rPr>
          <w:rFonts w:ascii="Calibri" w:eastAsia="Calibri" w:hAnsi="Calibri" w:cs="Calibri"/>
          <w:sz w:val="26"/>
          <w:szCs w:val="26"/>
          <w:lang w:eastAsia="en-US"/>
        </w:rPr>
        <w:t xml:space="preserve"> a byly tak s podílem 7,8</w:t>
      </w:r>
      <w:r>
        <w:rPr>
          <w:rFonts w:ascii="Calibri" w:eastAsia="Calibri" w:hAnsi="Calibri" w:cs="Calibri"/>
          <w:sz w:val="26"/>
          <w:szCs w:val="26"/>
          <w:lang w:eastAsia="en-US"/>
        </w:rPr>
        <w:t> </w:t>
      </w:r>
      <w:r w:rsidR="0017713A" w:rsidRPr="0017713A">
        <w:rPr>
          <w:rFonts w:ascii="Calibri" w:eastAsia="Calibri" w:hAnsi="Calibri" w:cs="Calibri"/>
          <w:sz w:val="26"/>
          <w:szCs w:val="26"/>
          <w:lang w:eastAsia="en-US"/>
        </w:rPr>
        <w:t xml:space="preserve">% na celkových sociálních příjmech obyvatel </w:t>
      </w:r>
      <w:r w:rsidR="0017713A" w:rsidRPr="0017713A">
        <w:rPr>
          <w:rFonts w:ascii="Calibri" w:eastAsia="Calibri" w:hAnsi="Calibri" w:cs="Calibri"/>
          <w:b/>
          <w:sz w:val="26"/>
          <w:szCs w:val="26"/>
          <w:lang w:eastAsia="en-US"/>
        </w:rPr>
        <w:t>třetí</w:t>
      </w:r>
      <w:r w:rsidR="0017713A" w:rsidRPr="0017713A">
        <w:rPr>
          <w:rFonts w:ascii="Calibri" w:eastAsia="Calibri" w:hAnsi="Calibri" w:cs="Calibri"/>
          <w:sz w:val="26"/>
          <w:szCs w:val="26"/>
          <w:lang w:eastAsia="en-US"/>
        </w:rPr>
        <w:t xml:space="preserve"> nejvýznamnější složkou sociálních příjmů domácností. V hodnoceném období bylo touto formou vyplaceno meziročně </w:t>
      </w:r>
      <w:r w:rsidR="0017713A" w:rsidRPr="0017713A">
        <w:rPr>
          <w:rFonts w:ascii="Calibri" w:eastAsia="Calibri" w:hAnsi="Calibri" w:cs="Calibri"/>
          <w:b/>
          <w:sz w:val="26"/>
          <w:szCs w:val="26"/>
          <w:lang w:eastAsia="en-US"/>
        </w:rPr>
        <w:t>o</w:t>
      </w:r>
      <w:r>
        <w:rPr>
          <w:rFonts w:ascii="Calibri" w:eastAsia="Calibri" w:hAnsi="Calibri" w:cs="Calibri"/>
          <w:b/>
          <w:sz w:val="26"/>
          <w:szCs w:val="26"/>
          <w:lang w:eastAsia="en-US"/>
        </w:rPr>
        <w:t> </w:t>
      </w:r>
      <w:r w:rsidR="0017713A" w:rsidRPr="0017713A">
        <w:rPr>
          <w:rFonts w:ascii="Calibri" w:eastAsia="Calibri" w:hAnsi="Calibri" w:cs="Calibri"/>
          <w:b/>
          <w:sz w:val="26"/>
          <w:szCs w:val="26"/>
          <w:lang w:eastAsia="en-US"/>
        </w:rPr>
        <w:t>13,8</w:t>
      </w:r>
      <w:r>
        <w:rPr>
          <w:rFonts w:ascii="Calibri" w:eastAsia="Calibri" w:hAnsi="Calibri" w:cs="Calibri"/>
          <w:b/>
          <w:sz w:val="26"/>
          <w:szCs w:val="26"/>
          <w:lang w:eastAsia="en-US"/>
        </w:rPr>
        <w:t> </w:t>
      </w:r>
      <w:r w:rsidR="0017713A" w:rsidRPr="0017713A">
        <w:rPr>
          <w:rFonts w:ascii="Calibri" w:eastAsia="Calibri" w:hAnsi="Calibri" w:cs="Calibri"/>
          <w:b/>
          <w:sz w:val="26"/>
          <w:szCs w:val="26"/>
          <w:lang w:eastAsia="en-US"/>
        </w:rPr>
        <w:t>mld.</w:t>
      </w:r>
      <w:r>
        <w:rPr>
          <w:rFonts w:ascii="Calibri" w:eastAsia="Calibri" w:hAnsi="Calibri" w:cs="Calibri"/>
          <w:b/>
          <w:sz w:val="26"/>
          <w:szCs w:val="26"/>
          <w:lang w:eastAsia="en-US"/>
        </w:rPr>
        <w:t> </w:t>
      </w:r>
      <w:r w:rsidR="0017713A" w:rsidRPr="0017713A">
        <w:rPr>
          <w:rFonts w:ascii="Calibri" w:eastAsia="Calibri" w:hAnsi="Calibri" w:cs="Calibri"/>
          <w:b/>
          <w:sz w:val="26"/>
          <w:szCs w:val="26"/>
          <w:lang w:eastAsia="en-US"/>
        </w:rPr>
        <w:t>Kč více</w:t>
      </w:r>
      <w:r w:rsidR="0017713A" w:rsidRPr="0017713A">
        <w:rPr>
          <w:rFonts w:ascii="Calibri" w:eastAsia="Calibri" w:hAnsi="Calibri" w:cs="Calibri"/>
          <w:sz w:val="26"/>
          <w:szCs w:val="26"/>
          <w:lang w:eastAsia="en-US"/>
        </w:rPr>
        <w:t xml:space="preserve"> finančních prostředků (</w:t>
      </w:r>
      <w:r w:rsidR="0017713A" w:rsidRPr="0017713A">
        <w:rPr>
          <w:rFonts w:ascii="Calibri" w:eastAsia="Calibri" w:hAnsi="Calibri" w:cs="Calibri"/>
          <w:b/>
          <w:sz w:val="26"/>
          <w:szCs w:val="26"/>
          <w:lang w:eastAsia="en-US"/>
        </w:rPr>
        <w:t>o 36,5 %</w:t>
      </w:r>
      <w:r w:rsidR="0017713A" w:rsidRPr="0017713A">
        <w:rPr>
          <w:rFonts w:ascii="Calibri" w:eastAsia="Calibri" w:hAnsi="Calibri" w:cs="Calibri"/>
          <w:sz w:val="26"/>
          <w:szCs w:val="26"/>
          <w:lang w:eastAsia="en-US"/>
        </w:rPr>
        <w:t>) než ve stejném období předchozího roku – viz tabulky č. 8 a 10 v příloze.</w:t>
      </w:r>
    </w:p>
    <w:p w14:paraId="20ED1EA9" w14:textId="77777777" w:rsidR="0017713A" w:rsidRPr="0017713A" w:rsidRDefault="0017713A" w:rsidP="0017713A">
      <w:pPr>
        <w:spacing w:line="360" w:lineRule="auto"/>
        <w:jc w:val="both"/>
        <w:rPr>
          <w:rFonts w:ascii="Calibri" w:eastAsia="Calibri" w:hAnsi="Calibri" w:cs="Calibri"/>
          <w:sz w:val="26"/>
          <w:szCs w:val="26"/>
          <w:lang w:eastAsia="en-US"/>
        </w:rPr>
      </w:pPr>
      <w:r w:rsidRPr="0017713A">
        <w:rPr>
          <w:rFonts w:ascii="Calibri" w:eastAsia="Calibri" w:hAnsi="Calibri"/>
          <w:noProof/>
          <w:sz w:val="22"/>
          <w:szCs w:val="22"/>
        </w:rPr>
        <w:drawing>
          <wp:inline distT="0" distB="0" distL="0" distR="0" wp14:anchorId="669114AD" wp14:editId="66D32DAD">
            <wp:extent cx="5760720" cy="3584684"/>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3584684"/>
                    </a:xfrm>
                    <a:prstGeom prst="rect">
                      <a:avLst/>
                    </a:prstGeom>
                    <a:noFill/>
                  </pic:spPr>
                </pic:pic>
              </a:graphicData>
            </a:graphic>
          </wp:inline>
        </w:drawing>
      </w:r>
    </w:p>
    <w:p w14:paraId="43BDEF7E" w14:textId="77777777" w:rsidR="0017713A" w:rsidRPr="0017713A" w:rsidRDefault="0017713A" w:rsidP="0017713A">
      <w:pPr>
        <w:spacing w:line="360" w:lineRule="auto"/>
        <w:jc w:val="both"/>
        <w:rPr>
          <w:rFonts w:ascii="Calibri" w:eastAsia="Calibri" w:hAnsi="Calibri" w:cs="Calibri"/>
          <w:sz w:val="22"/>
          <w:szCs w:val="22"/>
          <w:lang w:eastAsia="en-US"/>
        </w:rPr>
      </w:pPr>
      <w:r w:rsidRPr="0017713A">
        <w:rPr>
          <w:rFonts w:ascii="Calibri" w:eastAsia="Calibri" w:hAnsi="Calibri" w:cs="Calibri"/>
          <w:sz w:val="22"/>
          <w:szCs w:val="22"/>
          <w:lang w:eastAsia="en-US"/>
        </w:rPr>
        <w:t>Zpracováno z dat MPSV</w:t>
      </w:r>
    </w:p>
    <w:p w14:paraId="68999428" w14:textId="77777777" w:rsidR="0017713A" w:rsidRPr="0017713A" w:rsidRDefault="0017713A" w:rsidP="0017713A">
      <w:pPr>
        <w:spacing w:after="160" w:line="360" w:lineRule="auto"/>
        <w:jc w:val="both"/>
        <w:rPr>
          <w:rFonts w:ascii="Calibri" w:eastAsia="Calibri" w:hAnsi="Calibri" w:cs="Calibri"/>
          <w:noProof/>
          <w:sz w:val="26"/>
          <w:szCs w:val="26"/>
        </w:rPr>
      </w:pPr>
    </w:p>
    <w:p w14:paraId="66D5A523" w14:textId="77777777" w:rsidR="0017713A" w:rsidRPr="0017713A" w:rsidRDefault="0017713A" w:rsidP="0017713A">
      <w:pPr>
        <w:spacing w:line="360" w:lineRule="auto"/>
        <w:jc w:val="both"/>
        <w:rPr>
          <w:rFonts w:ascii="Calibri" w:eastAsia="Calibri" w:hAnsi="Calibri" w:cs="Calibri"/>
          <w:noProof/>
          <w:sz w:val="26"/>
          <w:szCs w:val="26"/>
        </w:rPr>
      </w:pPr>
      <w:r w:rsidRPr="0017713A">
        <w:rPr>
          <w:rFonts w:ascii="Calibri" w:eastAsia="Calibri" w:hAnsi="Calibri"/>
          <w:noProof/>
          <w:sz w:val="22"/>
          <w:szCs w:val="22"/>
        </w:rPr>
        <w:lastRenderedPageBreak/>
        <w:drawing>
          <wp:inline distT="0" distB="0" distL="0" distR="0" wp14:anchorId="4E8C3737" wp14:editId="742F0C00">
            <wp:extent cx="5760720" cy="3715279"/>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3715279"/>
                    </a:xfrm>
                    <a:prstGeom prst="rect">
                      <a:avLst/>
                    </a:prstGeom>
                    <a:noFill/>
                  </pic:spPr>
                </pic:pic>
              </a:graphicData>
            </a:graphic>
          </wp:inline>
        </w:drawing>
      </w:r>
    </w:p>
    <w:p w14:paraId="2D2D0B0E" w14:textId="77777777" w:rsidR="0017713A" w:rsidRPr="0017713A" w:rsidRDefault="0017713A" w:rsidP="0017713A">
      <w:pPr>
        <w:spacing w:line="360" w:lineRule="auto"/>
        <w:jc w:val="both"/>
        <w:rPr>
          <w:rFonts w:ascii="Calibri" w:eastAsia="Calibri" w:hAnsi="Calibri" w:cs="Calibri"/>
          <w:sz w:val="22"/>
          <w:szCs w:val="22"/>
          <w:lang w:eastAsia="en-US"/>
        </w:rPr>
      </w:pPr>
      <w:r w:rsidRPr="0017713A">
        <w:rPr>
          <w:rFonts w:ascii="Calibri" w:eastAsia="Calibri" w:hAnsi="Calibri" w:cs="Calibri"/>
          <w:sz w:val="22"/>
          <w:szCs w:val="22"/>
          <w:lang w:eastAsia="en-US"/>
        </w:rPr>
        <w:t>Zpracováno z dat MPSV</w:t>
      </w:r>
    </w:p>
    <w:p w14:paraId="340DDBAC" w14:textId="0FCAD4C7" w:rsidR="0017713A" w:rsidRDefault="000F7D3E" w:rsidP="00970B2A">
      <w:pPr>
        <w:spacing w:before="240" w:after="240" w:line="360" w:lineRule="auto"/>
        <w:jc w:val="both"/>
        <w:rPr>
          <w:rFonts w:ascii="Calibri" w:eastAsia="Calibri" w:hAnsi="Calibri" w:cs="Calibri"/>
          <w:sz w:val="26"/>
          <w:szCs w:val="26"/>
          <w:lang w:eastAsia="en-US"/>
        </w:rPr>
      </w:pPr>
      <w:r>
        <w:rPr>
          <w:rFonts w:ascii="Calibri" w:eastAsia="Calibri" w:hAnsi="Calibri" w:cs="Calibri"/>
          <w:sz w:val="26"/>
          <w:szCs w:val="26"/>
          <w:lang w:eastAsia="en-US"/>
        </w:rPr>
        <w:tab/>
      </w:r>
      <w:r w:rsidR="0017713A" w:rsidRPr="0017713A">
        <w:rPr>
          <w:rFonts w:ascii="Calibri" w:eastAsia="Calibri" w:hAnsi="Calibri" w:cs="Calibri"/>
          <w:b/>
          <w:sz w:val="26"/>
          <w:szCs w:val="26"/>
          <w:lang w:eastAsia="en-US"/>
        </w:rPr>
        <w:t>Výdaje na</w:t>
      </w:r>
      <w:r w:rsidR="0017713A" w:rsidRPr="0017713A">
        <w:rPr>
          <w:rFonts w:ascii="Calibri" w:eastAsia="Calibri" w:hAnsi="Calibri" w:cs="Calibri"/>
          <w:sz w:val="26"/>
          <w:szCs w:val="26"/>
          <w:lang w:eastAsia="en-US"/>
        </w:rPr>
        <w:t xml:space="preserve"> rozhodující dávku tohoto systému – </w:t>
      </w:r>
      <w:r w:rsidR="0017713A" w:rsidRPr="0017713A">
        <w:rPr>
          <w:rFonts w:ascii="Calibri" w:eastAsia="Calibri" w:hAnsi="Calibri" w:cs="Calibri"/>
          <w:b/>
          <w:sz w:val="26"/>
          <w:szCs w:val="26"/>
          <w:lang w:eastAsia="en-US"/>
        </w:rPr>
        <w:t>rodičovský příspěvek</w:t>
      </w:r>
      <w:r w:rsidR="0017713A" w:rsidRPr="0017713A">
        <w:rPr>
          <w:rFonts w:ascii="Calibri" w:eastAsia="Calibri" w:hAnsi="Calibri" w:cs="Calibri"/>
          <w:sz w:val="26"/>
          <w:szCs w:val="26"/>
          <w:lang w:eastAsia="en-US"/>
        </w:rPr>
        <w:t xml:space="preserve"> (s podílem 74,5</w:t>
      </w:r>
      <w:r>
        <w:rPr>
          <w:rFonts w:ascii="Calibri" w:eastAsia="Calibri" w:hAnsi="Calibri" w:cs="Calibri"/>
          <w:sz w:val="26"/>
          <w:szCs w:val="26"/>
          <w:lang w:eastAsia="en-US"/>
        </w:rPr>
        <w:t> </w:t>
      </w:r>
      <w:r w:rsidR="0017713A" w:rsidRPr="0017713A">
        <w:rPr>
          <w:rFonts w:ascii="Calibri" w:eastAsia="Calibri" w:hAnsi="Calibri" w:cs="Calibri"/>
          <w:sz w:val="26"/>
          <w:szCs w:val="26"/>
          <w:lang w:eastAsia="en-US"/>
        </w:rPr>
        <w:t xml:space="preserve">% na celkovém objemu těchto dávek) </w:t>
      </w:r>
      <w:r w:rsidR="0017713A" w:rsidRPr="0017713A">
        <w:rPr>
          <w:rFonts w:ascii="Calibri" w:eastAsia="Calibri" w:hAnsi="Calibri" w:cs="Calibri"/>
          <w:b/>
          <w:sz w:val="26"/>
          <w:szCs w:val="26"/>
          <w:lang w:eastAsia="en-US"/>
        </w:rPr>
        <w:t>se zvýšily</w:t>
      </w:r>
      <w:r w:rsidR="0017713A" w:rsidRPr="0017713A">
        <w:rPr>
          <w:rFonts w:ascii="Calibri" w:eastAsia="Calibri" w:hAnsi="Calibri" w:cs="Calibri"/>
          <w:sz w:val="26"/>
          <w:szCs w:val="26"/>
          <w:lang w:eastAsia="en-US"/>
        </w:rPr>
        <w:t xml:space="preserve"> o</w:t>
      </w:r>
      <w:r>
        <w:rPr>
          <w:rFonts w:ascii="Calibri" w:eastAsia="Calibri" w:hAnsi="Calibri" w:cs="Calibri"/>
          <w:sz w:val="26"/>
          <w:szCs w:val="26"/>
          <w:lang w:eastAsia="en-US"/>
        </w:rPr>
        <w:t> </w:t>
      </w:r>
      <w:r w:rsidR="0017713A" w:rsidRPr="0017713A">
        <w:rPr>
          <w:rFonts w:ascii="Calibri" w:eastAsia="Calibri" w:hAnsi="Calibri" w:cs="Calibri"/>
          <w:sz w:val="26"/>
          <w:szCs w:val="26"/>
          <w:lang w:eastAsia="en-US"/>
        </w:rPr>
        <w:t>14,1</w:t>
      </w:r>
      <w:r>
        <w:rPr>
          <w:rFonts w:ascii="Calibri" w:eastAsia="Calibri" w:hAnsi="Calibri" w:cs="Calibri"/>
          <w:sz w:val="26"/>
          <w:szCs w:val="26"/>
          <w:lang w:eastAsia="en-US"/>
        </w:rPr>
        <w:t> </w:t>
      </w:r>
      <w:r w:rsidR="0017713A" w:rsidRPr="0017713A">
        <w:rPr>
          <w:rFonts w:ascii="Calibri" w:eastAsia="Calibri" w:hAnsi="Calibri" w:cs="Calibri"/>
          <w:sz w:val="26"/>
          <w:szCs w:val="26"/>
          <w:lang w:eastAsia="en-US"/>
        </w:rPr>
        <w:t>mld.</w:t>
      </w:r>
      <w:r>
        <w:rPr>
          <w:rFonts w:ascii="Calibri" w:eastAsia="Calibri" w:hAnsi="Calibri" w:cs="Calibri"/>
          <w:sz w:val="26"/>
          <w:szCs w:val="26"/>
          <w:lang w:eastAsia="en-US"/>
        </w:rPr>
        <w:t> </w:t>
      </w:r>
      <w:r w:rsidR="0017713A" w:rsidRPr="0017713A">
        <w:rPr>
          <w:rFonts w:ascii="Calibri" w:eastAsia="Calibri" w:hAnsi="Calibri" w:cs="Calibri"/>
          <w:sz w:val="26"/>
          <w:szCs w:val="26"/>
          <w:lang w:eastAsia="en-US"/>
        </w:rPr>
        <w:t>Kč (o 57,5 %) na</w:t>
      </w:r>
      <w:r>
        <w:rPr>
          <w:rFonts w:ascii="Calibri" w:eastAsia="Calibri" w:hAnsi="Calibri" w:cs="Calibri"/>
          <w:sz w:val="26"/>
          <w:szCs w:val="26"/>
          <w:lang w:eastAsia="en-US"/>
        </w:rPr>
        <w:t> </w:t>
      </w:r>
      <w:r w:rsidR="0017713A" w:rsidRPr="0017713A">
        <w:rPr>
          <w:rFonts w:ascii="Calibri" w:eastAsia="Calibri" w:hAnsi="Calibri" w:cs="Calibri"/>
          <w:b/>
          <w:sz w:val="26"/>
          <w:szCs w:val="26"/>
          <w:lang w:eastAsia="en-US"/>
        </w:rPr>
        <w:t>38,5 mld.</w:t>
      </w:r>
      <w:r>
        <w:rPr>
          <w:rFonts w:ascii="Calibri" w:eastAsia="Calibri" w:hAnsi="Calibri" w:cs="Calibri"/>
          <w:b/>
          <w:sz w:val="26"/>
          <w:szCs w:val="26"/>
          <w:lang w:eastAsia="en-US"/>
        </w:rPr>
        <w:t> </w:t>
      </w:r>
      <w:r w:rsidR="0017713A" w:rsidRPr="0017713A">
        <w:rPr>
          <w:rFonts w:ascii="Calibri" w:eastAsia="Calibri" w:hAnsi="Calibri" w:cs="Calibri"/>
          <w:b/>
          <w:sz w:val="26"/>
          <w:szCs w:val="26"/>
          <w:lang w:eastAsia="en-US"/>
        </w:rPr>
        <w:t>Kč</w:t>
      </w:r>
      <w:r w:rsidR="0017713A" w:rsidRPr="0017713A">
        <w:rPr>
          <w:rFonts w:ascii="Calibri" w:eastAsia="Calibri" w:hAnsi="Calibri" w:cs="Calibri"/>
          <w:sz w:val="26"/>
          <w:szCs w:val="26"/>
          <w:lang w:eastAsia="en-US"/>
        </w:rPr>
        <w:t xml:space="preserve">. Průměrný počet měsíčně vyplácených dávek se zvýšil o 10,9 %, tj. o 30,8 tis. na 314,6 tis. – viz tabulky č. </w:t>
      </w:r>
      <w:proofErr w:type="gramStart"/>
      <w:r w:rsidR="0017713A" w:rsidRPr="0017713A">
        <w:rPr>
          <w:rFonts w:ascii="Calibri" w:eastAsia="Calibri" w:hAnsi="Calibri" w:cs="Calibri"/>
          <w:sz w:val="26"/>
          <w:szCs w:val="26"/>
          <w:lang w:eastAsia="en-US"/>
        </w:rPr>
        <w:t>10 – 12</w:t>
      </w:r>
      <w:proofErr w:type="gramEnd"/>
      <w:r w:rsidR="0017713A" w:rsidRPr="0017713A">
        <w:rPr>
          <w:rFonts w:ascii="Calibri" w:eastAsia="Calibri" w:hAnsi="Calibri" w:cs="Calibri"/>
          <w:sz w:val="26"/>
          <w:szCs w:val="26"/>
          <w:lang w:eastAsia="en-US"/>
        </w:rPr>
        <w:t xml:space="preserve"> v příloze.</w:t>
      </w:r>
    </w:p>
    <w:p w14:paraId="12B1292F" w14:textId="3631D682" w:rsidR="0017713A" w:rsidRPr="0017713A" w:rsidRDefault="000F7D3E" w:rsidP="00970B2A">
      <w:pPr>
        <w:spacing w:before="240" w:after="240" w:line="360" w:lineRule="auto"/>
        <w:jc w:val="both"/>
        <w:rPr>
          <w:rFonts w:ascii="Calibri" w:eastAsia="Calibri" w:hAnsi="Calibri" w:cs="Calibri"/>
          <w:sz w:val="26"/>
          <w:szCs w:val="26"/>
          <w:lang w:eastAsia="en-US"/>
        </w:rPr>
      </w:pPr>
      <w:r>
        <w:rPr>
          <w:rFonts w:ascii="Calibri" w:eastAsia="Calibri" w:hAnsi="Calibri" w:cs="Calibri"/>
          <w:sz w:val="26"/>
          <w:szCs w:val="26"/>
          <w:lang w:eastAsia="en-US"/>
        </w:rPr>
        <w:tab/>
      </w:r>
      <w:r w:rsidR="0017713A" w:rsidRPr="0017713A">
        <w:rPr>
          <w:rFonts w:ascii="Calibri" w:eastAsia="Calibri" w:hAnsi="Calibri" w:cs="Calibri"/>
          <w:b/>
          <w:sz w:val="26"/>
          <w:szCs w:val="26"/>
          <w:lang w:eastAsia="en-US"/>
        </w:rPr>
        <w:t>Snížily se výdaje na příspěvek na bydlení</w:t>
      </w:r>
      <w:r w:rsidR="0017713A" w:rsidRPr="0017713A">
        <w:rPr>
          <w:rFonts w:ascii="Calibri" w:eastAsia="Calibri" w:hAnsi="Calibri" w:cs="Calibri"/>
          <w:sz w:val="26"/>
          <w:szCs w:val="26"/>
          <w:lang w:eastAsia="en-US"/>
        </w:rPr>
        <w:t xml:space="preserve"> (jehož podíl na celkové výši výdajů na dávky státní sociální podpory činil ve sledovaném období 13,4</w:t>
      </w:r>
      <w:r>
        <w:rPr>
          <w:rFonts w:ascii="Calibri" w:eastAsia="Calibri" w:hAnsi="Calibri" w:cs="Calibri"/>
          <w:sz w:val="26"/>
          <w:szCs w:val="26"/>
          <w:lang w:eastAsia="en-US"/>
        </w:rPr>
        <w:t> </w:t>
      </w:r>
      <w:r w:rsidR="0017713A" w:rsidRPr="0017713A">
        <w:rPr>
          <w:rFonts w:ascii="Calibri" w:eastAsia="Calibri" w:hAnsi="Calibri" w:cs="Calibri"/>
          <w:sz w:val="26"/>
          <w:szCs w:val="26"/>
          <w:lang w:eastAsia="en-US"/>
        </w:rPr>
        <w:t xml:space="preserve">%). Bylo na něj vynaloženo </w:t>
      </w:r>
      <w:r w:rsidR="0017713A" w:rsidRPr="0017713A">
        <w:rPr>
          <w:rFonts w:ascii="Calibri" w:eastAsia="Calibri" w:hAnsi="Calibri" w:cs="Calibri"/>
          <w:b/>
          <w:sz w:val="26"/>
          <w:szCs w:val="26"/>
          <w:lang w:eastAsia="en-US"/>
        </w:rPr>
        <w:t>7,0</w:t>
      </w:r>
      <w:r>
        <w:rPr>
          <w:rFonts w:ascii="Calibri" w:eastAsia="Calibri" w:hAnsi="Calibri" w:cs="Calibri"/>
          <w:b/>
          <w:sz w:val="26"/>
          <w:szCs w:val="26"/>
          <w:lang w:eastAsia="en-US"/>
        </w:rPr>
        <w:t> </w:t>
      </w:r>
      <w:r w:rsidR="0017713A" w:rsidRPr="0017713A">
        <w:rPr>
          <w:rFonts w:ascii="Calibri" w:eastAsia="Calibri" w:hAnsi="Calibri" w:cs="Calibri"/>
          <w:b/>
          <w:sz w:val="26"/>
          <w:szCs w:val="26"/>
          <w:lang w:eastAsia="en-US"/>
        </w:rPr>
        <w:t>mld.</w:t>
      </w:r>
      <w:r>
        <w:rPr>
          <w:rFonts w:ascii="Calibri" w:eastAsia="Calibri" w:hAnsi="Calibri" w:cs="Calibri"/>
          <w:b/>
          <w:sz w:val="26"/>
          <w:szCs w:val="26"/>
          <w:lang w:eastAsia="en-US"/>
        </w:rPr>
        <w:t> </w:t>
      </w:r>
      <w:r w:rsidR="0017713A" w:rsidRPr="0017713A">
        <w:rPr>
          <w:rFonts w:ascii="Calibri" w:eastAsia="Calibri" w:hAnsi="Calibri" w:cs="Calibri"/>
          <w:b/>
          <w:sz w:val="26"/>
          <w:szCs w:val="26"/>
          <w:lang w:eastAsia="en-US"/>
        </w:rPr>
        <w:t>Kč</w:t>
      </w:r>
      <w:r w:rsidR="0017713A" w:rsidRPr="0017713A">
        <w:rPr>
          <w:rFonts w:ascii="Calibri" w:eastAsia="Calibri" w:hAnsi="Calibri" w:cs="Calibri"/>
          <w:sz w:val="26"/>
          <w:szCs w:val="26"/>
          <w:lang w:eastAsia="en-US"/>
        </w:rPr>
        <w:t xml:space="preserve">, tj. </w:t>
      </w:r>
      <w:r w:rsidR="0017713A" w:rsidRPr="0017713A">
        <w:rPr>
          <w:rFonts w:ascii="Calibri" w:eastAsia="Calibri" w:hAnsi="Calibri" w:cs="Calibri"/>
          <w:b/>
          <w:sz w:val="26"/>
          <w:szCs w:val="26"/>
          <w:lang w:eastAsia="en-US"/>
        </w:rPr>
        <w:t>o</w:t>
      </w:r>
      <w:r>
        <w:rPr>
          <w:rFonts w:ascii="Calibri" w:eastAsia="Calibri" w:hAnsi="Calibri" w:cs="Calibri"/>
          <w:b/>
          <w:sz w:val="26"/>
          <w:szCs w:val="26"/>
          <w:lang w:eastAsia="en-US"/>
        </w:rPr>
        <w:t> </w:t>
      </w:r>
      <w:r w:rsidR="0017713A" w:rsidRPr="0017713A">
        <w:rPr>
          <w:rFonts w:ascii="Calibri" w:eastAsia="Calibri" w:hAnsi="Calibri" w:cs="Calibri"/>
          <w:b/>
          <w:sz w:val="26"/>
          <w:szCs w:val="26"/>
          <w:lang w:eastAsia="en-US"/>
        </w:rPr>
        <w:t>1,8</w:t>
      </w:r>
      <w:r>
        <w:rPr>
          <w:rFonts w:ascii="Calibri" w:eastAsia="Calibri" w:hAnsi="Calibri" w:cs="Calibri"/>
          <w:b/>
          <w:sz w:val="26"/>
          <w:szCs w:val="26"/>
          <w:lang w:eastAsia="en-US"/>
        </w:rPr>
        <w:t> </w:t>
      </w:r>
      <w:r w:rsidR="0017713A" w:rsidRPr="0017713A">
        <w:rPr>
          <w:rFonts w:ascii="Calibri" w:eastAsia="Calibri" w:hAnsi="Calibri" w:cs="Calibri"/>
          <w:b/>
          <w:sz w:val="26"/>
          <w:szCs w:val="26"/>
          <w:lang w:eastAsia="en-US"/>
        </w:rPr>
        <w:t>%</w:t>
      </w:r>
      <w:r w:rsidR="0017713A" w:rsidRPr="0017713A">
        <w:rPr>
          <w:rFonts w:ascii="Calibri" w:eastAsia="Calibri" w:hAnsi="Calibri" w:cs="Calibri"/>
          <w:sz w:val="26"/>
          <w:szCs w:val="26"/>
          <w:lang w:eastAsia="en-US"/>
        </w:rPr>
        <w:t xml:space="preserve"> (o</w:t>
      </w:r>
      <w:r>
        <w:rPr>
          <w:rFonts w:ascii="Calibri" w:eastAsia="Calibri" w:hAnsi="Calibri" w:cs="Calibri"/>
          <w:sz w:val="26"/>
          <w:szCs w:val="26"/>
          <w:lang w:eastAsia="en-US"/>
        </w:rPr>
        <w:t> </w:t>
      </w:r>
      <w:r w:rsidR="0017713A" w:rsidRPr="0017713A">
        <w:rPr>
          <w:rFonts w:ascii="Calibri" w:eastAsia="Calibri" w:hAnsi="Calibri" w:cs="Calibri"/>
          <w:sz w:val="26"/>
          <w:szCs w:val="26"/>
          <w:lang w:eastAsia="en-US"/>
        </w:rPr>
        <w:t>0,1</w:t>
      </w:r>
      <w:r>
        <w:rPr>
          <w:rFonts w:ascii="Calibri" w:eastAsia="Calibri" w:hAnsi="Calibri" w:cs="Calibri"/>
          <w:sz w:val="26"/>
          <w:szCs w:val="26"/>
          <w:lang w:eastAsia="en-US"/>
        </w:rPr>
        <w:t> </w:t>
      </w:r>
      <w:r w:rsidR="0017713A" w:rsidRPr="0017713A">
        <w:rPr>
          <w:rFonts w:ascii="Calibri" w:eastAsia="Calibri" w:hAnsi="Calibri" w:cs="Calibri"/>
          <w:sz w:val="26"/>
          <w:szCs w:val="26"/>
          <w:lang w:eastAsia="en-US"/>
        </w:rPr>
        <w:t>mld.</w:t>
      </w:r>
      <w:r>
        <w:rPr>
          <w:rFonts w:ascii="Calibri" w:eastAsia="Calibri" w:hAnsi="Calibri" w:cs="Calibri"/>
          <w:sz w:val="26"/>
          <w:szCs w:val="26"/>
          <w:lang w:eastAsia="en-US"/>
        </w:rPr>
        <w:t> </w:t>
      </w:r>
      <w:r w:rsidR="0017713A" w:rsidRPr="0017713A">
        <w:rPr>
          <w:rFonts w:ascii="Calibri" w:eastAsia="Calibri" w:hAnsi="Calibri" w:cs="Calibri"/>
          <w:sz w:val="26"/>
          <w:szCs w:val="26"/>
          <w:lang w:eastAsia="en-US"/>
        </w:rPr>
        <w:t xml:space="preserve">Kč) </w:t>
      </w:r>
      <w:r w:rsidR="0017713A" w:rsidRPr="0017713A">
        <w:rPr>
          <w:rFonts w:ascii="Calibri" w:eastAsia="Calibri" w:hAnsi="Calibri" w:cs="Calibri"/>
          <w:b/>
          <w:sz w:val="26"/>
          <w:szCs w:val="26"/>
          <w:lang w:eastAsia="en-US"/>
        </w:rPr>
        <w:t>méně</w:t>
      </w:r>
      <w:r w:rsidR="0017713A" w:rsidRPr="0017713A">
        <w:rPr>
          <w:rFonts w:ascii="Calibri" w:eastAsia="Calibri" w:hAnsi="Calibri" w:cs="Calibri"/>
          <w:sz w:val="26"/>
          <w:szCs w:val="26"/>
          <w:lang w:eastAsia="en-US"/>
        </w:rPr>
        <w:t xml:space="preserve"> při sníženém počtu v průměru měsíčně vyplácených dávek (o</w:t>
      </w:r>
      <w:r>
        <w:rPr>
          <w:rFonts w:ascii="Calibri" w:eastAsia="Calibri" w:hAnsi="Calibri" w:cs="Calibri"/>
          <w:sz w:val="26"/>
          <w:szCs w:val="26"/>
          <w:lang w:eastAsia="en-US"/>
        </w:rPr>
        <w:t> </w:t>
      </w:r>
      <w:r w:rsidR="0017713A" w:rsidRPr="0017713A">
        <w:rPr>
          <w:rFonts w:ascii="Calibri" w:eastAsia="Calibri" w:hAnsi="Calibri" w:cs="Calibri"/>
          <w:sz w:val="26"/>
          <w:szCs w:val="26"/>
          <w:lang w:eastAsia="en-US"/>
        </w:rPr>
        <w:t>6,3</w:t>
      </w:r>
      <w:r>
        <w:rPr>
          <w:rFonts w:ascii="Calibri" w:eastAsia="Calibri" w:hAnsi="Calibri" w:cs="Calibri"/>
          <w:sz w:val="26"/>
          <w:szCs w:val="26"/>
          <w:lang w:eastAsia="en-US"/>
        </w:rPr>
        <w:t> </w:t>
      </w:r>
      <w:r w:rsidR="0017713A" w:rsidRPr="0017713A">
        <w:rPr>
          <w:rFonts w:ascii="Calibri" w:eastAsia="Calibri" w:hAnsi="Calibri" w:cs="Calibri"/>
          <w:sz w:val="26"/>
          <w:szCs w:val="26"/>
          <w:lang w:eastAsia="en-US"/>
        </w:rPr>
        <w:t>%, tj. o</w:t>
      </w:r>
      <w:r>
        <w:rPr>
          <w:rFonts w:ascii="Calibri" w:eastAsia="Calibri" w:hAnsi="Calibri" w:cs="Calibri"/>
          <w:sz w:val="26"/>
          <w:szCs w:val="26"/>
          <w:lang w:eastAsia="en-US"/>
        </w:rPr>
        <w:t> </w:t>
      </w:r>
      <w:r w:rsidR="0017713A" w:rsidRPr="0017713A">
        <w:rPr>
          <w:rFonts w:ascii="Calibri" w:eastAsia="Calibri" w:hAnsi="Calibri" w:cs="Calibri"/>
          <w:sz w:val="26"/>
          <w:szCs w:val="26"/>
          <w:lang w:eastAsia="en-US"/>
        </w:rPr>
        <w:t>10,4</w:t>
      </w:r>
      <w:r>
        <w:rPr>
          <w:rFonts w:ascii="Calibri" w:eastAsia="Calibri" w:hAnsi="Calibri" w:cs="Calibri"/>
          <w:sz w:val="26"/>
          <w:szCs w:val="26"/>
          <w:lang w:eastAsia="en-US"/>
        </w:rPr>
        <w:t> </w:t>
      </w:r>
      <w:r w:rsidR="0017713A" w:rsidRPr="0017713A">
        <w:rPr>
          <w:rFonts w:ascii="Calibri" w:eastAsia="Calibri" w:hAnsi="Calibri" w:cs="Calibri"/>
          <w:sz w:val="26"/>
          <w:szCs w:val="26"/>
          <w:lang w:eastAsia="en-US"/>
        </w:rPr>
        <w:t>tis.) na 155,6</w:t>
      </w:r>
      <w:r>
        <w:rPr>
          <w:rFonts w:ascii="Calibri" w:eastAsia="Calibri" w:hAnsi="Calibri" w:cs="Calibri"/>
          <w:sz w:val="26"/>
          <w:szCs w:val="26"/>
          <w:lang w:eastAsia="en-US"/>
        </w:rPr>
        <w:t> </w:t>
      </w:r>
      <w:r w:rsidR="0017713A" w:rsidRPr="0017713A">
        <w:rPr>
          <w:rFonts w:ascii="Calibri" w:eastAsia="Calibri" w:hAnsi="Calibri" w:cs="Calibri"/>
          <w:sz w:val="26"/>
          <w:szCs w:val="26"/>
          <w:lang w:eastAsia="en-US"/>
        </w:rPr>
        <w:t>tis., jejichž průměrná výše vzrostla z 3</w:t>
      </w:r>
      <w:r>
        <w:rPr>
          <w:rFonts w:ascii="Calibri" w:eastAsia="Calibri" w:hAnsi="Calibri" w:cs="Calibri"/>
          <w:sz w:val="26"/>
          <w:szCs w:val="26"/>
          <w:lang w:eastAsia="en-US"/>
        </w:rPr>
        <w:t> </w:t>
      </w:r>
      <w:r w:rsidR="0017713A" w:rsidRPr="0017713A">
        <w:rPr>
          <w:rFonts w:ascii="Calibri" w:eastAsia="Calibri" w:hAnsi="Calibri" w:cs="Calibri"/>
          <w:sz w:val="26"/>
          <w:szCs w:val="26"/>
          <w:lang w:eastAsia="en-US"/>
        </w:rPr>
        <w:t>574</w:t>
      </w:r>
      <w:r>
        <w:rPr>
          <w:rFonts w:ascii="Calibri" w:eastAsia="Calibri" w:hAnsi="Calibri" w:cs="Calibri"/>
          <w:sz w:val="26"/>
          <w:szCs w:val="26"/>
          <w:lang w:eastAsia="en-US"/>
        </w:rPr>
        <w:t> </w:t>
      </w:r>
      <w:r w:rsidR="0017713A" w:rsidRPr="0017713A">
        <w:rPr>
          <w:rFonts w:ascii="Calibri" w:eastAsia="Calibri" w:hAnsi="Calibri" w:cs="Calibri"/>
          <w:sz w:val="26"/>
          <w:szCs w:val="26"/>
          <w:lang w:eastAsia="en-US"/>
        </w:rPr>
        <w:t>Kč na 3</w:t>
      </w:r>
      <w:r>
        <w:rPr>
          <w:rFonts w:ascii="Calibri" w:eastAsia="Calibri" w:hAnsi="Calibri" w:cs="Calibri"/>
          <w:sz w:val="26"/>
          <w:szCs w:val="26"/>
          <w:lang w:eastAsia="en-US"/>
        </w:rPr>
        <w:t> </w:t>
      </w:r>
      <w:r w:rsidR="0017713A" w:rsidRPr="0017713A">
        <w:rPr>
          <w:rFonts w:ascii="Calibri" w:eastAsia="Calibri" w:hAnsi="Calibri" w:cs="Calibri"/>
          <w:sz w:val="26"/>
          <w:szCs w:val="26"/>
          <w:lang w:eastAsia="en-US"/>
        </w:rPr>
        <w:t>739</w:t>
      </w:r>
      <w:r>
        <w:rPr>
          <w:rFonts w:ascii="Calibri" w:eastAsia="Calibri" w:hAnsi="Calibri" w:cs="Calibri"/>
          <w:sz w:val="26"/>
          <w:szCs w:val="26"/>
          <w:lang w:eastAsia="en-US"/>
        </w:rPr>
        <w:t> </w:t>
      </w:r>
      <w:r w:rsidR="0017713A" w:rsidRPr="0017713A">
        <w:rPr>
          <w:rFonts w:ascii="Calibri" w:eastAsia="Calibri" w:hAnsi="Calibri" w:cs="Calibri"/>
          <w:sz w:val="26"/>
          <w:szCs w:val="26"/>
          <w:lang w:eastAsia="en-US"/>
        </w:rPr>
        <w:t>Kč (o</w:t>
      </w:r>
      <w:r>
        <w:rPr>
          <w:rFonts w:ascii="Calibri" w:eastAsia="Calibri" w:hAnsi="Calibri" w:cs="Calibri"/>
          <w:sz w:val="26"/>
          <w:szCs w:val="26"/>
          <w:lang w:eastAsia="en-US"/>
        </w:rPr>
        <w:t> </w:t>
      </w:r>
      <w:r w:rsidR="0017713A" w:rsidRPr="0017713A">
        <w:rPr>
          <w:rFonts w:ascii="Calibri" w:eastAsia="Calibri" w:hAnsi="Calibri" w:cs="Calibri"/>
          <w:sz w:val="26"/>
          <w:szCs w:val="26"/>
          <w:lang w:eastAsia="en-US"/>
        </w:rPr>
        <w:t>4,6</w:t>
      </w:r>
      <w:r>
        <w:rPr>
          <w:rFonts w:ascii="Calibri" w:eastAsia="Calibri" w:hAnsi="Calibri" w:cs="Calibri"/>
          <w:sz w:val="26"/>
          <w:szCs w:val="26"/>
          <w:lang w:eastAsia="en-US"/>
        </w:rPr>
        <w:t> </w:t>
      </w:r>
      <w:r w:rsidR="0017713A" w:rsidRPr="0017713A">
        <w:rPr>
          <w:rFonts w:ascii="Calibri" w:eastAsia="Calibri" w:hAnsi="Calibri" w:cs="Calibri"/>
          <w:sz w:val="26"/>
          <w:szCs w:val="26"/>
          <w:lang w:eastAsia="en-US"/>
        </w:rPr>
        <w:t>%); nejvyšší byla v hl. m. Praze (4</w:t>
      </w:r>
      <w:r>
        <w:rPr>
          <w:rFonts w:ascii="Calibri" w:eastAsia="Calibri" w:hAnsi="Calibri" w:cs="Calibri"/>
          <w:sz w:val="26"/>
          <w:szCs w:val="26"/>
          <w:lang w:eastAsia="en-US"/>
        </w:rPr>
        <w:t> </w:t>
      </w:r>
      <w:r w:rsidR="0017713A" w:rsidRPr="0017713A">
        <w:rPr>
          <w:rFonts w:ascii="Calibri" w:eastAsia="Calibri" w:hAnsi="Calibri" w:cs="Calibri"/>
          <w:sz w:val="26"/>
          <w:szCs w:val="26"/>
          <w:lang w:eastAsia="en-US"/>
        </w:rPr>
        <w:t>875 Kč), nejnižší ve Zlínském kraji (2</w:t>
      </w:r>
      <w:r>
        <w:rPr>
          <w:rFonts w:ascii="Calibri" w:eastAsia="Calibri" w:hAnsi="Calibri" w:cs="Calibri"/>
          <w:sz w:val="26"/>
          <w:szCs w:val="26"/>
          <w:lang w:eastAsia="en-US"/>
        </w:rPr>
        <w:t> </w:t>
      </w:r>
      <w:r w:rsidR="0017713A" w:rsidRPr="0017713A">
        <w:rPr>
          <w:rFonts w:ascii="Calibri" w:eastAsia="Calibri" w:hAnsi="Calibri" w:cs="Calibri"/>
          <w:sz w:val="26"/>
          <w:szCs w:val="26"/>
          <w:lang w:eastAsia="en-US"/>
        </w:rPr>
        <w:t>940</w:t>
      </w:r>
      <w:r>
        <w:rPr>
          <w:rFonts w:ascii="Calibri" w:eastAsia="Calibri" w:hAnsi="Calibri" w:cs="Calibri"/>
          <w:sz w:val="26"/>
          <w:szCs w:val="26"/>
          <w:lang w:eastAsia="en-US"/>
        </w:rPr>
        <w:t> </w:t>
      </w:r>
      <w:r w:rsidR="0017713A" w:rsidRPr="0017713A">
        <w:rPr>
          <w:rFonts w:ascii="Calibri" w:eastAsia="Calibri" w:hAnsi="Calibri" w:cs="Calibri"/>
          <w:sz w:val="26"/>
          <w:szCs w:val="26"/>
          <w:lang w:eastAsia="en-US"/>
        </w:rPr>
        <w:t>Kč) – viz tabulky č. </w:t>
      </w:r>
      <w:proofErr w:type="gramStart"/>
      <w:r w:rsidR="0017713A" w:rsidRPr="0017713A">
        <w:rPr>
          <w:rFonts w:ascii="Calibri" w:eastAsia="Calibri" w:hAnsi="Calibri" w:cs="Calibri"/>
          <w:sz w:val="26"/>
          <w:szCs w:val="26"/>
          <w:lang w:eastAsia="en-US"/>
        </w:rPr>
        <w:t>10 – 13</w:t>
      </w:r>
      <w:proofErr w:type="gramEnd"/>
      <w:r w:rsidR="0017713A" w:rsidRPr="0017713A">
        <w:rPr>
          <w:rFonts w:ascii="Calibri" w:eastAsia="Calibri" w:hAnsi="Calibri" w:cs="Calibri"/>
          <w:sz w:val="26"/>
          <w:szCs w:val="26"/>
          <w:lang w:eastAsia="en-US"/>
        </w:rPr>
        <w:t xml:space="preserve"> v příloze.</w:t>
      </w:r>
    </w:p>
    <w:p w14:paraId="31859F6E" w14:textId="68E3F256" w:rsidR="0017713A" w:rsidRPr="0017713A" w:rsidRDefault="000F7D3E" w:rsidP="000F7D3E">
      <w:pPr>
        <w:spacing w:after="160" w:line="360" w:lineRule="auto"/>
        <w:jc w:val="both"/>
        <w:rPr>
          <w:rFonts w:ascii="Calibri" w:eastAsia="Calibri" w:hAnsi="Calibri" w:cs="Calibri"/>
          <w:sz w:val="26"/>
          <w:szCs w:val="26"/>
          <w:lang w:eastAsia="en-US"/>
        </w:rPr>
      </w:pPr>
      <w:r>
        <w:rPr>
          <w:rFonts w:ascii="Calibri" w:eastAsia="Calibri" w:hAnsi="Calibri" w:cs="Calibri"/>
          <w:sz w:val="26"/>
          <w:szCs w:val="26"/>
          <w:lang w:eastAsia="en-US"/>
        </w:rPr>
        <w:tab/>
      </w:r>
      <w:r w:rsidR="0017713A" w:rsidRPr="0017713A">
        <w:rPr>
          <w:rFonts w:ascii="Calibri" w:eastAsia="Calibri" w:hAnsi="Calibri" w:cs="Calibri"/>
          <w:sz w:val="26"/>
          <w:szCs w:val="26"/>
          <w:lang w:eastAsia="en-US"/>
        </w:rPr>
        <w:t xml:space="preserve">Formou </w:t>
      </w:r>
      <w:r w:rsidR="0017713A" w:rsidRPr="0017713A">
        <w:rPr>
          <w:rFonts w:ascii="Calibri" w:eastAsia="Calibri" w:hAnsi="Calibri" w:cs="Calibri"/>
          <w:b/>
          <w:sz w:val="26"/>
          <w:szCs w:val="26"/>
          <w:lang w:eastAsia="en-US"/>
        </w:rPr>
        <w:t>přídavku na dítě</w:t>
      </w:r>
      <w:r w:rsidR="0017713A" w:rsidRPr="0017713A">
        <w:rPr>
          <w:rFonts w:ascii="Calibri" w:eastAsia="Calibri" w:hAnsi="Calibri" w:cs="Calibri"/>
          <w:sz w:val="26"/>
          <w:szCs w:val="26"/>
          <w:lang w:eastAsia="en-US"/>
        </w:rPr>
        <w:t xml:space="preserve"> (s podílem 4,1</w:t>
      </w:r>
      <w:r>
        <w:rPr>
          <w:rFonts w:ascii="Calibri" w:eastAsia="Calibri" w:hAnsi="Calibri" w:cs="Calibri"/>
          <w:sz w:val="26"/>
          <w:szCs w:val="26"/>
          <w:lang w:eastAsia="en-US"/>
        </w:rPr>
        <w:t> </w:t>
      </w:r>
      <w:r w:rsidR="0017713A" w:rsidRPr="0017713A">
        <w:rPr>
          <w:rFonts w:ascii="Calibri" w:eastAsia="Calibri" w:hAnsi="Calibri" w:cs="Calibri"/>
          <w:sz w:val="26"/>
          <w:szCs w:val="26"/>
          <w:lang w:eastAsia="en-US"/>
        </w:rPr>
        <w:t xml:space="preserve">% na celkovém objemu dávek státní sociální podpory) bylo vyplaceno </w:t>
      </w:r>
      <w:r w:rsidR="0017713A" w:rsidRPr="0017713A">
        <w:rPr>
          <w:rFonts w:ascii="Calibri" w:eastAsia="Calibri" w:hAnsi="Calibri" w:cs="Calibri"/>
          <w:b/>
          <w:sz w:val="26"/>
          <w:szCs w:val="26"/>
          <w:lang w:eastAsia="en-US"/>
        </w:rPr>
        <w:t>2,1</w:t>
      </w:r>
      <w:r>
        <w:rPr>
          <w:rFonts w:ascii="Calibri" w:eastAsia="Calibri" w:hAnsi="Calibri" w:cs="Calibri"/>
          <w:b/>
          <w:sz w:val="26"/>
          <w:szCs w:val="26"/>
          <w:lang w:eastAsia="en-US"/>
        </w:rPr>
        <w:t> </w:t>
      </w:r>
      <w:r w:rsidR="0017713A" w:rsidRPr="0017713A">
        <w:rPr>
          <w:rFonts w:ascii="Calibri" w:eastAsia="Calibri" w:hAnsi="Calibri" w:cs="Calibri"/>
          <w:b/>
          <w:sz w:val="26"/>
          <w:szCs w:val="26"/>
          <w:lang w:eastAsia="en-US"/>
        </w:rPr>
        <w:t>mld.</w:t>
      </w:r>
      <w:r>
        <w:rPr>
          <w:rFonts w:ascii="Calibri" w:eastAsia="Calibri" w:hAnsi="Calibri" w:cs="Calibri"/>
          <w:b/>
          <w:sz w:val="26"/>
          <w:szCs w:val="26"/>
          <w:lang w:eastAsia="en-US"/>
        </w:rPr>
        <w:t> </w:t>
      </w:r>
      <w:r w:rsidR="0017713A" w:rsidRPr="0017713A">
        <w:rPr>
          <w:rFonts w:ascii="Calibri" w:eastAsia="Calibri" w:hAnsi="Calibri" w:cs="Calibri"/>
          <w:b/>
          <w:sz w:val="26"/>
          <w:szCs w:val="26"/>
          <w:lang w:eastAsia="en-US"/>
        </w:rPr>
        <w:t>Kč</w:t>
      </w:r>
      <w:r w:rsidR="0017713A" w:rsidRPr="0017713A">
        <w:rPr>
          <w:rFonts w:ascii="Calibri" w:eastAsia="Calibri" w:hAnsi="Calibri" w:cs="Calibri"/>
          <w:sz w:val="26"/>
          <w:szCs w:val="26"/>
          <w:lang w:eastAsia="en-US"/>
        </w:rPr>
        <w:t xml:space="preserve">, tj. </w:t>
      </w:r>
      <w:r w:rsidR="0017713A" w:rsidRPr="0017713A">
        <w:rPr>
          <w:rFonts w:ascii="Calibri" w:eastAsia="Calibri" w:hAnsi="Calibri" w:cs="Calibri"/>
          <w:b/>
          <w:sz w:val="26"/>
          <w:szCs w:val="26"/>
          <w:lang w:eastAsia="en-US"/>
        </w:rPr>
        <w:t>o</w:t>
      </w:r>
      <w:r>
        <w:rPr>
          <w:rFonts w:ascii="Calibri" w:eastAsia="Calibri" w:hAnsi="Calibri" w:cs="Calibri"/>
          <w:b/>
          <w:sz w:val="26"/>
          <w:szCs w:val="26"/>
          <w:lang w:eastAsia="en-US"/>
        </w:rPr>
        <w:t> </w:t>
      </w:r>
      <w:r w:rsidR="0017713A" w:rsidRPr="0017713A">
        <w:rPr>
          <w:rFonts w:ascii="Calibri" w:eastAsia="Calibri" w:hAnsi="Calibri" w:cs="Calibri"/>
          <w:b/>
          <w:sz w:val="26"/>
          <w:szCs w:val="26"/>
          <w:lang w:eastAsia="en-US"/>
        </w:rPr>
        <w:t>6,2</w:t>
      </w:r>
      <w:r>
        <w:rPr>
          <w:rFonts w:ascii="Calibri" w:eastAsia="Calibri" w:hAnsi="Calibri" w:cs="Calibri"/>
          <w:b/>
          <w:sz w:val="26"/>
          <w:szCs w:val="26"/>
          <w:lang w:eastAsia="en-US"/>
        </w:rPr>
        <w:t> </w:t>
      </w:r>
      <w:r w:rsidR="0017713A" w:rsidRPr="0017713A">
        <w:rPr>
          <w:rFonts w:ascii="Calibri" w:eastAsia="Calibri" w:hAnsi="Calibri" w:cs="Calibri"/>
          <w:b/>
          <w:sz w:val="26"/>
          <w:szCs w:val="26"/>
          <w:lang w:eastAsia="en-US"/>
        </w:rPr>
        <w:t>% méně</w:t>
      </w:r>
      <w:r w:rsidR="0017713A" w:rsidRPr="0017713A">
        <w:rPr>
          <w:rFonts w:ascii="Calibri" w:eastAsia="Calibri" w:hAnsi="Calibri" w:cs="Calibri"/>
          <w:sz w:val="26"/>
          <w:szCs w:val="26"/>
          <w:lang w:eastAsia="en-US"/>
        </w:rPr>
        <w:t xml:space="preserve"> než ve stejném období předchozího roku. Průměrný měsíční počet vyplácených dávek ve sledovaném období meziročně klesl o 5,7</w:t>
      </w:r>
      <w:r>
        <w:rPr>
          <w:rFonts w:ascii="Calibri" w:eastAsia="Calibri" w:hAnsi="Calibri" w:cs="Calibri"/>
          <w:sz w:val="26"/>
          <w:szCs w:val="26"/>
          <w:lang w:eastAsia="en-US"/>
        </w:rPr>
        <w:t> </w:t>
      </w:r>
      <w:r w:rsidR="0017713A" w:rsidRPr="0017713A">
        <w:rPr>
          <w:rFonts w:ascii="Calibri" w:eastAsia="Calibri" w:hAnsi="Calibri" w:cs="Calibri"/>
          <w:sz w:val="26"/>
          <w:szCs w:val="26"/>
          <w:lang w:eastAsia="en-US"/>
        </w:rPr>
        <w:t xml:space="preserve">% – viz tabulky č. </w:t>
      </w:r>
      <w:proofErr w:type="gramStart"/>
      <w:r w:rsidR="0017713A" w:rsidRPr="0017713A">
        <w:rPr>
          <w:rFonts w:ascii="Calibri" w:eastAsia="Calibri" w:hAnsi="Calibri" w:cs="Calibri"/>
          <w:sz w:val="26"/>
          <w:szCs w:val="26"/>
          <w:lang w:eastAsia="en-US"/>
        </w:rPr>
        <w:t>10 – 12</w:t>
      </w:r>
      <w:proofErr w:type="gramEnd"/>
      <w:r w:rsidR="0017713A" w:rsidRPr="0017713A">
        <w:rPr>
          <w:rFonts w:ascii="Calibri" w:eastAsia="Calibri" w:hAnsi="Calibri" w:cs="Calibri"/>
          <w:sz w:val="26"/>
          <w:szCs w:val="26"/>
          <w:lang w:eastAsia="en-US"/>
        </w:rPr>
        <w:t xml:space="preserve"> v příloze.</w:t>
      </w:r>
    </w:p>
    <w:p w14:paraId="6E421101" w14:textId="4393308B" w:rsidR="0017713A" w:rsidRPr="0017713A" w:rsidRDefault="000F7D3E" w:rsidP="00970B2A">
      <w:pPr>
        <w:spacing w:after="240" w:line="360" w:lineRule="auto"/>
        <w:jc w:val="both"/>
        <w:rPr>
          <w:rFonts w:ascii="Calibri" w:eastAsia="Calibri" w:hAnsi="Calibri" w:cs="Calibri"/>
          <w:sz w:val="26"/>
          <w:szCs w:val="26"/>
          <w:lang w:eastAsia="en-US"/>
        </w:rPr>
      </w:pPr>
      <w:r>
        <w:rPr>
          <w:rFonts w:ascii="Calibri" w:eastAsia="Calibri" w:hAnsi="Calibri" w:cs="Calibri"/>
          <w:sz w:val="26"/>
          <w:szCs w:val="26"/>
          <w:lang w:eastAsia="en-US"/>
        </w:rPr>
        <w:lastRenderedPageBreak/>
        <w:tab/>
      </w:r>
      <w:r w:rsidR="0017713A" w:rsidRPr="0017713A">
        <w:rPr>
          <w:rFonts w:ascii="Calibri" w:eastAsia="Calibri" w:hAnsi="Calibri" w:cs="Calibri"/>
          <w:sz w:val="26"/>
          <w:szCs w:val="26"/>
          <w:lang w:eastAsia="en-US"/>
        </w:rPr>
        <w:t xml:space="preserve">U </w:t>
      </w:r>
      <w:r w:rsidR="0017713A" w:rsidRPr="0017713A">
        <w:rPr>
          <w:rFonts w:ascii="Calibri" w:eastAsia="Calibri" w:hAnsi="Calibri" w:cs="Calibri"/>
          <w:b/>
          <w:sz w:val="26"/>
          <w:szCs w:val="26"/>
          <w:lang w:eastAsia="en-US"/>
        </w:rPr>
        <w:t>porodného</w:t>
      </w:r>
      <w:r w:rsidR="0017713A" w:rsidRPr="0017713A">
        <w:rPr>
          <w:rFonts w:ascii="Calibri" w:eastAsia="Calibri" w:hAnsi="Calibri" w:cs="Calibri"/>
          <w:sz w:val="26"/>
          <w:szCs w:val="26"/>
          <w:lang w:eastAsia="en-US"/>
        </w:rPr>
        <w:t xml:space="preserve"> bylo vyčerpáno </w:t>
      </w:r>
      <w:r w:rsidR="0017713A" w:rsidRPr="0017713A">
        <w:rPr>
          <w:rFonts w:ascii="Calibri" w:eastAsia="Calibri" w:hAnsi="Calibri" w:cs="Calibri"/>
          <w:b/>
          <w:sz w:val="26"/>
          <w:szCs w:val="26"/>
          <w:lang w:eastAsia="en-US"/>
        </w:rPr>
        <w:t>105,4</w:t>
      </w:r>
      <w:r>
        <w:rPr>
          <w:rFonts w:ascii="Calibri" w:eastAsia="Calibri" w:hAnsi="Calibri" w:cs="Calibri"/>
          <w:b/>
          <w:sz w:val="26"/>
          <w:szCs w:val="26"/>
          <w:lang w:eastAsia="en-US"/>
        </w:rPr>
        <w:t> </w:t>
      </w:r>
      <w:r w:rsidR="0017713A" w:rsidRPr="0017713A">
        <w:rPr>
          <w:rFonts w:ascii="Calibri" w:eastAsia="Calibri" w:hAnsi="Calibri" w:cs="Calibri"/>
          <w:b/>
          <w:sz w:val="26"/>
          <w:szCs w:val="26"/>
          <w:lang w:eastAsia="en-US"/>
        </w:rPr>
        <w:t>mil.</w:t>
      </w:r>
      <w:r>
        <w:rPr>
          <w:rFonts w:ascii="Calibri" w:eastAsia="Calibri" w:hAnsi="Calibri" w:cs="Calibri"/>
          <w:b/>
          <w:sz w:val="26"/>
          <w:szCs w:val="26"/>
          <w:lang w:eastAsia="en-US"/>
        </w:rPr>
        <w:t> </w:t>
      </w:r>
      <w:r w:rsidR="0017713A" w:rsidRPr="0017713A">
        <w:rPr>
          <w:rFonts w:ascii="Calibri" w:eastAsia="Calibri" w:hAnsi="Calibri" w:cs="Calibri"/>
          <w:b/>
          <w:sz w:val="26"/>
          <w:szCs w:val="26"/>
          <w:lang w:eastAsia="en-US"/>
        </w:rPr>
        <w:t>Kč</w:t>
      </w:r>
      <w:r w:rsidR="0017713A" w:rsidRPr="0017713A">
        <w:rPr>
          <w:rFonts w:ascii="Calibri" w:eastAsia="Calibri" w:hAnsi="Calibri" w:cs="Calibri"/>
          <w:sz w:val="26"/>
          <w:szCs w:val="26"/>
          <w:lang w:eastAsia="en-US"/>
        </w:rPr>
        <w:t xml:space="preserve">, tj. </w:t>
      </w:r>
      <w:r w:rsidR="0017713A" w:rsidRPr="0017713A">
        <w:rPr>
          <w:rFonts w:ascii="Calibri" w:eastAsia="Calibri" w:hAnsi="Calibri" w:cs="Calibri"/>
          <w:b/>
          <w:sz w:val="26"/>
          <w:szCs w:val="26"/>
          <w:lang w:eastAsia="en-US"/>
        </w:rPr>
        <w:t>o</w:t>
      </w:r>
      <w:r>
        <w:rPr>
          <w:rFonts w:ascii="Calibri" w:eastAsia="Calibri" w:hAnsi="Calibri" w:cs="Calibri"/>
          <w:b/>
          <w:sz w:val="26"/>
          <w:szCs w:val="26"/>
          <w:lang w:eastAsia="en-US"/>
        </w:rPr>
        <w:t> </w:t>
      </w:r>
      <w:r w:rsidR="0017713A" w:rsidRPr="0017713A">
        <w:rPr>
          <w:rFonts w:ascii="Calibri" w:eastAsia="Calibri" w:hAnsi="Calibri" w:cs="Calibri"/>
          <w:b/>
          <w:sz w:val="26"/>
          <w:szCs w:val="26"/>
          <w:lang w:eastAsia="en-US"/>
        </w:rPr>
        <w:t>20,9</w:t>
      </w:r>
      <w:r>
        <w:rPr>
          <w:rFonts w:ascii="Calibri" w:eastAsia="Calibri" w:hAnsi="Calibri" w:cs="Calibri"/>
          <w:b/>
          <w:sz w:val="26"/>
          <w:szCs w:val="26"/>
          <w:lang w:eastAsia="en-US"/>
        </w:rPr>
        <w:t> </w:t>
      </w:r>
      <w:r w:rsidR="0017713A" w:rsidRPr="0017713A">
        <w:rPr>
          <w:rFonts w:ascii="Calibri" w:eastAsia="Calibri" w:hAnsi="Calibri" w:cs="Calibri"/>
          <w:b/>
          <w:sz w:val="26"/>
          <w:szCs w:val="26"/>
          <w:lang w:eastAsia="en-US"/>
        </w:rPr>
        <w:t>% méně</w:t>
      </w:r>
      <w:r w:rsidR="0017713A" w:rsidRPr="0017713A">
        <w:rPr>
          <w:rFonts w:ascii="Calibri" w:eastAsia="Calibri" w:hAnsi="Calibri" w:cs="Calibri"/>
          <w:sz w:val="26"/>
          <w:szCs w:val="26"/>
          <w:lang w:eastAsia="en-US"/>
        </w:rPr>
        <w:t xml:space="preserve"> než ve stejném období předchozího roku – viz tabulky č.</w:t>
      </w:r>
      <w:r w:rsidR="00666967">
        <w:rPr>
          <w:rFonts w:ascii="Calibri" w:eastAsia="Calibri" w:hAnsi="Calibri" w:cs="Calibri"/>
          <w:sz w:val="26"/>
          <w:szCs w:val="26"/>
          <w:lang w:eastAsia="en-US"/>
        </w:rPr>
        <w:t> </w:t>
      </w:r>
      <w:r w:rsidR="0017713A" w:rsidRPr="0017713A">
        <w:rPr>
          <w:rFonts w:ascii="Calibri" w:eastAsia="Calibri" w:hAnsi="Calibri" w:cs="Calibri"/>
          <w:sz w:val="26"/>
          <w:szCs w:val="26"/>
          <w:lang w:eastAsia="en-US"/>
        </w:rPr>
        <w:t>10 a 11 v příloze.</w:t>
      </w:r>
    </w:p>
    <w:p w14:paraId="77934F97" w14:textId="0066CCB1" w:rsidR="0017713A" w:rsidRPr="00666967" w:rsidRDefault="0017713A" w:rsidP="00970B2A">
      <w:pPr>
        <w:spacing w:after="240" w:line="360" w:lineRule="auto"/>
        <w:jc w:val="both"/>
        <w:rPr>
          <w:rFonts w:ascii="Calibri" w:eastAsia="Calibri" w:hAnsi="Calibri" w:cs="Calibri"/>
          <w:sz w:val="26"/>
          <w:szCs w:val="26"/>
          <w:lang w:eastAsia="en-US"/>
        </w:rPr>
      </w:pPr>
      <w:r w:rsidRPr="00666967">
        <w:rPr>
          <w:rFonts w:ascii="Calibri" w:eastAsia="Calibri" w:hAnsi="Calibri" w:cs="Calibri"/>
          <w:sz w:val="26"/>
          <w:szCs w:val="26"/>
          <w:lang w:eastAsia="en-US"/>
        </w:rPr>
        <w:tab/>
        <w:t xml:space="preserve">Podle územního členění připadla </w:t>
      </w:r>
      <w:r w:rsidRPr="00666967">
        <w:rPr>
          <w:rFonts w:ascii="Calibri" w:eastAsia="Calibri" w:hAnsi="Calibri" w:cs="Calibri"/>
          <w:b/>
          <w:sz w:val="26"/>
          <w:szCs w:val="26"/>
          <w:lang w:eastAsia="en-US"/>
        </w:rPr>
        <w:t>nejvyšší částka</w:t>
      </w:r>
      <w:r w:rsidRPr="00666967">
        <w:rPr>
          <w:rFonts w:ascii="Calibri" w:eastAsia="Calibri" w:hAnsi="Calibri" w:cs="Calibri"/>
          <w:sz w:val="26"/>
          <w:szCs w:val="26"/>
          <w:lang w:eastAsia="en-US"/>
        </w:rPr>
        <w:t xml:space="preserve"> poskytnutá prostřednictvím systému státní sociální podpory </w:t>
      </w:r>
      <w:r w:rsidRPr="00666967">
        <w:rPr>
          <w:rFonts w:ascii="Calibri" w:eastAsia="Calibri" w:hAnsi="Calibri" w:cs="Calibri"/>
          <w:b/>
          <w:sz w:val="26"/>
          <w:szCs w:val="26"/>
          <w:lang w:eastAsia="en-US"/>
        </w:rPr>
        <w:t>na 1 obyvatele v Moravskoslezském</w:t>
      </w:r>
      <w:r w:rsidRPr="00666967">
        <w:rPr>
          <w:rFonts w:ascii="Calibri" w:eastAsia="Calibri" w:hAnsi="Calibri" w:cs="Calibri"/>
          <w:sz w:val="26"/>
          <w:szCs w:val="26"/>
          <w:lang w:eastAsia="en-US"/>
        </w:rPr>
        <w:t xml:space="preserve"> a </w:t>
      </w:r>
      <w:r w:rsidRPr="00666967">
        <w:rPr>
          <w:rFonts w:ascii="Calibri" w:eastAsia="Calibri" w:hAnsi="Calibri" w:cs="Calibri"/>
          <w:b/>
          <w:sz w:val="26"/>
          <w:szCs w:val="26"/>
          <w:lang w:eastAsia="en-US"/>
        </w:rPr>
        <w:t>Ústeckém</w:t>
      </w:r>
      <w:r w:rsidRPr="00666967">
        <w:rPr>
          <w:rFonts w:ascii="Calibri" w:eastAsia="Calibri" w:hAnsi="Calibri" w:cs="Calibri"/>
          <w:sz w:val="26"/>
          <w:szCs w:val="26"/>
          <w:lang w:eastAsia="en-US"/>
        </w:rPr>
        <w:t xml:space="preserve"> </w:t>
      </w:r>
      <w:r w:rsidRPr="00666967">
        <w:rPr>
          <w:rFonts w:ascii="Calibri" w:eastAsia="Calibri" w:hAnsi="Calibri" w:cs="Calibri"/>
          <w:b/>
          <w:sz w:val="26"/>
          <w:szCs w:val="26"/>
          <w:lang w:eastAsia="en-US"/>
        </w:rPr>
        <w:t xml:space="preserve">kraji, nejnižší v Plzeňském </w:t>
      </w:r>
      <w:r w:rsidRPr="00666967">
        <w:rPr>
          <w:rFonts w:ascii="Calibri" w:eastAsia="Calibri" w:hAnsi="Calibri" w:cs="Calibri"/>
          <w:sz w:val="26"/>
          <w:szCs w:val="26"/>
          <w:lang w:eastAsia="en-US"/>
        </w:rPr>
        <w:t>a</w:t>
      </w:r>
      <w:r w:rsidRPr="00666967">
        <w:rPr>
          <w:rFonts w:ascii="Calibri" w:eastAsia="Calibri" w:hAnsi="Calibri" w:cs="Calibri"/>
          <w:b/>
          <w:sz w:val="26"/>
          <w:szCs w:val="26"/>
          <w:lang w:eastAsia="en-US"/>
        </w:rPr>
        <w:t xml:space="preserve"> Zlínském kraji</w:t>
      </w:r>
      <w:r w:rsidRPr="00666967">
        <w:rPr>
          <w:rFonts w:ascii="Calibri" w:eastAsia="Calibri" w:hAnsi="Calibri" w:cs="Calibri"/>
          <w:sz w:val="26"/>
          <w:szCs w:val="26"/>
          <w:lang w:eastAsia="en-US"/>
        </w:rPr>
        <w:t xml:space="preserve"> – viz tabulku č.</w:t>
      </w:r>
      <w:r w:rsidR="00666967">
        <w:rPr>
          <w:rFonts w:ascii="Calibri" w:eastAsia="Calibri" w:hAnsi="Calibri" w:cs="Calibri"/>
          <w:sz w:val="26"/>
          <w:szCs w:val="26"/>
          <w:lang w:eastAsia="en-US"/>
        </w:rPr>
        <w:t> </w:t>
      </w:r>
      <w:r w:rsidRPr="00666967">
        <w:rPr>
          <w:rFonts w:ascii="Calibri" w:eastAsia="Calibri" w:hAnsi="Calibri" w:cs="Calibri"/>
          <w:sz w:val="26"/>
          <w:szCs w:val="26"/>
          <w:lang w:eastAsia="en-US"/>
        </w:rPr>
        <w:t>14 v příloze.</w:t>
      </w:r>
    </w:p>
    <w:p w14:paraId="69615A59" w14:textId="4E376692" w:rsidR="0017713A" w:rsidRPr="00666967" w:rsidRDefault="0017713A" w:rsidP="00970B2A">
      <w:pPr>
        <w:spacing w:after="240" w:line="360" w:lineRule="auto"/>
        <w:jc w:val="both"/>
        <w:rPr>
          <w:rFonts w:ascii="Calibri" w:eastAsia="Calibri" w:hAnsi="Calibri" w:cs="Calibri"/>
          <w:sz w:val="26"/>
          <w:szCs w:val="26"/>
          <w:lang w:eastAsia="en-US"/>
        </w:rPr>
      </w:pPr>
      <w:r w:rsidRPr="00666967">
        <w:rPr>
          <w:rFonts w:ascii="Calibri" w:eastAsia="Calibri" w:hAnsi="Calibri" w:cs="Calibri"/>
          <w:sz w:val="26"/>
          <w:szCs w:val="26"/>
          <w:lang w:eastAsia="en-US"/>
        </w:rPr>
        <w:tab/>
        <w:t xml:space="preserve">Na </w:t>
      </w:r>
      <w:r w:rsidRPr="00666967">
        <w:rPr>
          <w:rFonts w:ascii="Calibri" w:eastAsia="Calibri" w:hAnsi="Calibri" w:cs="Calibri"/>
          <w:b/>
          <w:sz w:val="26"/>
          <w:szCs w:val="26"/>
          <w:lang w:eastAsia="en-US"/>
        </w:rPr>
        <w:t>dávky pěstounské péče</w:t>
      </w:r>
      <w:r w:rsidRPr="00666967">
        <w:rPr>
          <w:rFonts w:ascii="Calibri" w:eastAsia="Calibri" w:hAnsi="Calibri" w:cs="Calibri"/>
          <w:sz w:val="26"/>
          <w:szCs w:val="26"/>
          <w:lang w:eastAsia="en-US"/>
        </w:rPr>
        <w:t xml:space="preserve"> (podíl 7,7</w:t>
      </w:r>
      <w:r w:rsidR="00666967">
        <w:rPr>
          <w:rFonts w:ascii="Calibri" w:eastAsia="Calibri" w:hAnsi="Calibri" w:cs="Calibri"/>
          <w:sz w:val="26"/>
          <w:szCs w:val="26"/>
          <w:lang w:eastAsia="en-US"/>
        </w:rPr>
        <w:t> </w:t>
      </w:r>
      <w:r w:rsidRPr="00666967">
        <w:rPr>
          <w:rFonts w:ascii="Calibri" w:eastAsia="Calibri" w:hAnsi="Calibri" w:cs="Calibri"/>
          <w:sz w:val="26"/>
          <w:szCs w:val="26"/>
          <w:lang w:eastAsia="en-US"/>
        </w:rPr>
        <w:t xml:space="preserve">% na celkovém objemu dávek státní sociální podpory a pěstounské péče) bylo poskytnuto </w:t>
      </w:r>
      <w:r w:rsidRPr="00666967">
        <w:rPr>
          <w:rFonts w:ascii="Calibri" w:eastAsia="Calibri" w:hAnsi="Calibri" w:cs="Calibri"/>
          <w:b/>
          <w:sz w:val="26"/>
          <w:szCs w:val="26"/>
          <w:lang w:eastAsia="en-US"/>
        </w:rPr>
        <w:t>o</w:t>
      </w:r>
      <w:r w:rsidR="00666967">
        <w:rPr>
          <w:rFonts w:ascii="Calibri" w:eastAsia="Calibri" w:hAnsi="Calibri" w:cs="Calibri"/>
          <w:b/>
          <w:sz w:val="26"/>
          <w:szCs w:val="26"/>
          <w:lang w:eastAsia="en-US"/>
        </w:rPr>
        <w:t> </w:t>
      </w:r>
      <w:r w:rsidRPr="00666967">
        <w:rPr>
          <w:rFonts w:ascii="Calibri" w:eastAsia="Calibri" w:hAnsi="Calibri" w:cs="Calibri"/>
          <w:b/>
          <w:sz w:val="26"/>
          <w:szCs w:val="26"/>
          <w:lang w:eastAsia="en-US"/>
        </w:rPr>
        <w:t>1,4</w:t>
      </w:r>
      <w:r w:rsidR="00666967">
        <w:rPr>
          <w:rFonts w:ascii="Calibri" w:eastAsia="Calibri" w:hAnsi="Calibri" w:cs="Calibri"/>
          <w:b/>
          <w:sz w:val="26"/>
          <w:szCs w:val="26"/>
          <w:lang w:eastAsia="en-US"/>
        </w:rPr>
        <w:t> </w:t>
      </w:r>
      <w:r w:rsidRPr="00666967">
        <w:rPr>
          <w:rFonts w:ascii="Calibri" w:eastAsia="Calibri" w:hAnsi="Calibri" w:cs="Calibri"/>
          <w:b/>
          <w:sz w:val="26"/>
          <w:szCs w:val="26"/>
          <w:lang w:eastAsia="en-US"/>
        </w:rPr>
        <w:t>%</w:t>
      </w:r>
      <w:r w:rsidRPr="00666967">
        <w:rPr>
          <w:rFonts w:ascii="Calibri" w:eastAsia="Calibri" w:hAnsi="Calibri" w:cs="Calibri"/>
          <w:sz w:val="26"/>
          <w:szCs w:val="26"/>
          <w:lang w:eastAsia="en-US"/>
        </w:rPr>
        <w:t xml:space="preserve"> (o 56,8 mil. Kč) meziročně </w:t>
      </w:r>
      <w:r w:rsidRPr="00666967">
        <w:rPr>
          <w:rFonts w:ascii="Calibri" w:eastAsia="Calibri" w:hAnsi="Calibri" w:cs="Calibri"/>
          <w:b/>
          <w:sz w:val="26"/>
          <w:szCs w:val="26"/>
          <w:lang w:eastAsia="en-US"/>
        </w:rPr>
        <w:t>více</w:t>
      </w:r>
      <w:r w:rsidRPr="00666967">
        <w:rPr>
          <w:rFonts w:ascii="Calibri" w:eastAsia="Calibri" w:hAnsi="Calibri" w:cs="Calibri"/>
          <w:sz w:val="26"/>
          <w:szCs w:val="26"/>
          <w:lang w:eastAsia="en-US"/>
        </w:rPr>
        <w:t xml:space="preserve">, tedy </w:t>
      </w:r>
      <w:r w:rsidRPr="00666967">
        <w:rPr>
          <w:rFonts w:ascii="Calibri" w:eastAsia="Calibri" w:hAnsi="Calibri" w:cs="Calibri"/>
          <w:b/>
          <w:sz w:val="26"/>
          <w:szCs w:val="26"/>
          <w:lang w:eastAsia="en-US"/>
        </w:rPr>
        <w:t>4,0 mld. Kč</w:t>
      </w:r>
      <w:r w:rsidRPr="00666967">
        <w:rPr>
          <w:rFonts w:ascii="Calibri" w:eastAsia="Calibri" w:hAnsi="Calibri" w:cs="Calibri"/>
          <w:sz w:val="26"/>
          <w:szCs w:val="26"/>
          <w:lang w:eastAsia="en-US"/>
        </w:rPr>
        <w:t xml:space="preserve">. Průměrný počet vyplácených dávek se zvýšil o 1,0 % (na 30,9 tis.) – viz tabulky č. </w:t>
      </w:r>
      <w:proofErr w:type="gramStart"/>
      <w:r w:rsidRPr="00666967">
        <w:rPr>
          <w:rFonts w:ascii="Calibri" w:eastAsia="Calibri" w:hAnsi="Calibri" w:cs="Calibri"/>
          <w:sz w:val="26"/>
          <w:szCs w:val="26"/>
          <w:lang w:eastAsia="en-US"/>
        </w:rPr>
        <w:t>10 – 12</w:t>
      </w:r>
      <w:proofErr w:type="gramEnd"/>
      <w:r w:rsidRPr="00666967">
        <w:rPr>
          <w:rFonts w:ascii="Calibri" w:eastAsia="Calibri" w:hAnsi="Calibri" w:cs="Calibri"/>
          <w:sz w:val="26"/>
          <w:szCs w:val="26"/>
          <w:lang w:eastAsia="en-US"/>
        </w:rPr>
        <w:t xml:space="preserve"> v příloze.</w:t>
      </w:r>
    </w:p>
    <w:p w14:paraId="56D40A55" w14:textId="77777777" w:rsidR="0017713A" w:rsidRPr="00666967" w:rsidRDefault="0017713A" w:rsidP="00970B2A">
      <w:pPr>
        <w:spacing w:line="360" w:lineRule="auto"/>
        <w:jc w:val="both"/>
        <w:rPr>
          <w:rFonts w:ascii="Calibri" w:eastAsia="Calibri" w:hAnsi="Calibri" w:cs="Calibri"/>
          <w:sz w:val="26"/>
          <w:szCs w:val="26"/>
          <w:lang w:eastAsia="en-US"/>
        </w:rPr>
      </w:pPr>
    </w:p>
    <w:p w14:paraId="1F9D3E57" w14:textId="4449DF12" w:rsidR="0017713A" w:rsidRPr="00666967" w:rsidRDefault="0017713A" w:rsidP="00970B2A">
      <w:pPr>
        <w:spacing w:after="240" w:line="360" w:lineRule="auto"/>
        <w:jc w:val="both"/>
        <w:rPr>
          <w:rFonts w:ascii="Calibri" w:eastAsia="Calibri" w:hAnsi="Calibri" w:cs="Calibri"/>
          <w:sz w:val="26"/>
          <w:szCs w:val="26"/>
          <w:lang w:eastAsia="en-US"/>
        </w:rPr>
      </w:pPr>
      <w:r w:rsidRPr="00666967">
        <w:rPr>
          <w:rFonts w:ascii="Calibri" w:eastAsia="Calibri" w:hAnsi="Calibri" w:cs="Calibri"/>
          <w:sz w:val="26"/>
          <w:szCs w:val="26"/>
          <w:lang w:eastAsia="en-US"/>
        </w:rPr>
        <w:tab/>
        <w:t xml:space="preserve">Další významnou složkou sociálních příjmů domácností byl </w:t>
      </w:r>
      <w:r w:rsidRPr="00666967">
        <w:rPr>
          <w:rFonts w:ascii="Calibri" w:eastAsia="Calibri" w:hAnsi="Calibri" w:cs="Calibri"/>
          <w:b/>
          <w:sz w:val="26"/>
          <w:szCs w:val="26"/>
          <w:u w:val="single"/>
          <w:lang w:eastAsia="en-US"/>
        </w:rPr>
        <w:t>příspěvek na péči</w:t>
      </w:r>
      <w:r w:rsidRPr="00666967">
        <w:rPr>
          <w:rFonts w:ascii="Calibri" w:eastAsia="Calibri" w:hAnsi="Calibri" w:cs="Calibri"/>
          <w:sz w:val="26"/>
          <w:szCs w:val="26"/>
          <w:lang w:eastAsia="en-US"/>
        </w:rPr>
        <w:t xml:space="preserve"> s podílem 5,0 % na celkových sociálních příjmech obyvatel – viz tabulku č. 8 v příloze. V hodnoceném období bylo takto čerpáno </w:t>
      </w:r>
      <w:r w:rsidRPr="00666967">
        <w:rPr>
          <w:rFonts w:ascii="Calibri" w:eastAsia="Calibri" w:hAnsi="Calibri" w:cs="Calibri"/>
          <w:b/>
          <w:sz w:val="26"/>
          <w:szCs w:val="26"/>
          <w:lang w:eastAsia="en-US"/>
        </w:rPr>
        <w:t>33,1</w:t>
      </w:r>
      <w:r w:rsidR="00666967" w:rsidRPr="00666967">
        <w:rPr>
          <w:rFonts w:ascii="Calibri" w:eastAsia="Calibri" w:hAnsi="Calibri" w:cs="Calibri"/>
          <w:b/>
          <w:sz w:val="26"/>
          <w:szCs w:val="26"/>
          <w:lang w:eastAsia="en-US"/>
        </w:rPr>
        <w:t> </w:t>
      </w:r>
      <w:r w:rsidRPr="00666967">
        <w:rPr>
          <w:rFonts w:ascii="Calibri" w:eastAsia="Calibri" w:hAnsi="Calibri" w:cs="Calibri"/>
          <w:b/>
          <w:sz w:val="26"/>
          <w:szCs w:val="26"/>
          <w:lang w:eastAsia="en-US"/>
        </w:rPr>
        <w:t>mld.</w:t>
      </w:r>
      <w:r w:rsidR="00666967" w:rsidRPr="00666967">
        <w:rPr>
          <w:rFonts w:ascii="Calibri" w:eastAsia="Calibri" w:hAnsi="Calibri" w:cs="Calibri"/>
          <w:b/>
          <w:sz w:val="26"/>
          <w:szCs w:val="26"/>
          <w:lang w:eastAsia="en-US"/>
        </w:rPr>
        <w:t> </w:t>
      </w:r>
      <w:r w:rsidRPr="00666967">
        <w:rPr>
          <w:rFonts w:ascii="Calibri" w:eastAsia="Calibri" w:hAnsi="Calibri" w:cs="Calibri"/>
          <w:b/>
          <w:sz w:val="26"/>
          <w:szCs w:val="26"/>
          <w:lang w:eastAsia="en-US"/>
        </w:rPr>
        <w:t>Kč</w:t>
      </w:r>
      <w:r w:rsidRPr="00666967">
        <w:rPr>
          <w:rFonts w:ascii="Calibri" w:eastAsia="Calibri" w:hAnsi="Calibri" w:cs="Calibri"/>
          <w:sz w:val="26"/>
          <w:szCs w:val="26"/>
          <w:lang w:eastAsia="en-US"/>
        </w:rPr>
        <w:t xml:space="preserve">, což bylo </w:t>
      </w:r>
      <w:r w:rsidRPr="00666967">
        <w:rPr>
          <w:rFonts w:ascii="Calibri" w:eastAsia="Calibri" w:hAnsi="Calibri" w:cs="Calibri"/>
          <w:b/>
          <w:sz w:val="26"/>
          <w:szCs w:val="26"/>
          <w:lang w:eastAsia="en-US"/>
        </w:rPr>
        <w:t>o</w:t>
      </w:r>
      <w:r w:rsidR="00666967" w:rsidRPr="00666967">
        <w:rPr>
          <w:rFonts w:ascii="Calibri" w:eastAsia="Calibri" w:hAnsi="Calibri" w:cs="Calibri"/>
          <w:b/>
          <w:sz w:val="26"/>
          <w:szCs w:val="26"/>
          <w:lang w:eastAsia="en-US"/>
        </w:rPr>
        <w:t> </w:t>
      </w:r>
      <w:r w:rsidRPr="00666967">
        <w:rPr>
          <w:rFonts w:ascii="Calibri" w:eastAsia="Calibri" w:hAnsi="Calibri" w:cs="Calibri"/>
          <w:b/>
          <w:sz w:val="26"/>
          <w:szCs w:val="26"/>
          <w:lang w:eastAsia="en-US"/>
        </w:rPr>
        <w:t>11,2</w:t>
      </w:r>
      <w:r w:rsidR="00666967" w:rsidRPr="00666967">
        <w:rPr>
          <w:rFonts w:ascii="Calibri" w:eastAsia="Calibri" w:hAnsi="Calibri" w:cs="Calibri"/>
          <w:b/>
          <w:sz w:val="26"/>
          <w:szCs w:val="26"/>
          <w:lang w:eastAsia="en-US"/>
        </w:rPr>
        <w:t> </w:t>
      </w:r>
      <w:r w:rsidRPr="00666967">
        <w:rPr>
          <w:rFonts w:ascii="Calibri" w:eastAsia="Calibri" w:hAnsi="Calibri" w:cs="Calibri"/>
          <w:b/>
          <w:sz w:val="26"/>
          <w:szCs w:val="26"/>
          <w:lang w:eastAsia="en-US"/>
        </w:rPr>
        <w:t>%</w:t>
      </w:r>
      <w:r w:rsidRPr="00666967">
        <w:rPr>
          <w:rFonts w:ascii="Calibri" w:eastAsia="Calibri" w:hAnsi="Calibri" w:cs="Calibri"/>
          <w:sz w:val="26"/>
          <w:szCs w:val="26"/>
          <w:lang w:eastAsia="en-US"/>
        </w:rPr>
        <w:t xml:space="preserve"> (o 3,3 mld. Kč) meziročně </w:t>
      </w:r>
      <w:r w:rsidRPr="00666967">
        <w:rPr>
          <w:rFonts w:ascii="Calibri" w:eastAsia="Calibri" w:hAnsi="Calibri" w:cs="Calibri"/>
          <w:b/>
          <w:sz w:val="26"/>
          <w:szCs w:val="26"/>
          <w:lang w:eastAsia="en-US"/>
        </w:rPr>
        <w:t>více</w:t>
      </w:r>
      <w:r w:rsidRPr="00666967">
        <w:rPr>
          <w:rFonts w:ascii="Calibri" w:eastAsia="Calibri" w:hAnsi="Calibri" w:cs="Calibri"/>
          <w:sz w:val="26"/>
          <w:szCs w:val="26"/>
          <w:lang w:eastAsia="en-US"/>
        </w:rPr>
        <w:t xml:space="preserve">. Nejvyšší nárůst výdajů na příspěvek na péči byl zaznamenán ve Středočeském kraji (14,2 %), nejnižší v Pardubickém kraji (8,5 </w:t>
      </w:r>
      <w:proofErr w:type="gramStart"/>
      <w:r w:rsidRPr="00666967">
        <w:rPr>
          <w:rFonts w:ascii="Calibri" w:eastAsia="Calibri" w:hAnsi="Calibri" w:cs="Calibri"/>
          <w:sz w:val="26"/>
          <w:szCs w:val="26"/>
          <w:lang w:eastAsia="en-US"/>
        </w:rPr>
        <w:t>%)</w:t>
      </w:r>
      <w:r w:rsidR="00B33B21">
        <w:rPr>
          <w:rFonts w:ascii="Calibri" w:eastAsia="Calibri" w:hAnsi="Calibri" w:cs="Calibri"/>
          <w:sz w:val="26"/>
          <w:szCs w:val="26"/>
          <w:lang w:eastAsia="en-US"/>
        </w:rPr>
        <w:t xml:space="preserve">   </w:t>
      </w:r>
      <w:proofErr w:type="gramEnd"/>
      <w:r w:rsidR="00B33B21">
        <w:rPr>
          <w:rFonts w:ascii="Calibri" w:eastAsia="Calibri" w:hAnsi="Calibri" w:cs="Calibri"/>
          <w:sz w:val="26"/>
          <w:szCs w:val="26"/>
          <w:lang w:eastAsia="en-US"/>
        </w:rPr>
        <w:t xml:space="preserve">           </w:t>
      </w:r>
      <w:r w:rsidRPr="00666967">
        <w:rPr>
          <w:rFonts w:ascii="Calibri" w:eastAsia="Calibri" w:hAnsi="Calibri" w:cs="Calibri"/>
          <w:sz w:val="26"/>
          <w:szCs w:val="26"/>
          <w:lang w:eastAsia="en-US"/>
        </w:rPr>
        <w:t xml:space="preserve"> – viz</w:t>
      </w:r>
      <w:r w:rsidR="00B33B21">
        <w:rPr>
          <w:rFonts w:ascii="Calibri" w:eastAsia="Calibri" w:hAnsi="Calibri" w:cs="Calibri"/>
          <w:sz w:val="26"/>
          <w:szCs w:val="26"/>
          <w:lang w:eastAsia="en-US"/>
        </w:rPr>
        <w:t> </w:t>
      </w:r>
      <w:r w:rsidRPr="00666967">
        <w:rPr>
          <w:rFonts w:ascii="Calibri" w:eastAsia="Calibri" w:hAnsi="Calibri" w:cs="Calibri"/>
          <w:sz w:val="26"/>
          <w:szCs w:val="26"/>
          <w:lang w:eastAsia="en-US"/>
        </w:rPr>
        <w:t>tabulku č. 16 v příloze.</w:t>
      </w:r>
    </w:p>
    <w:p w14:paraId="6E6D52D0" w14:textId="45D35D6E" w:rsidR="0017713A" w:rsidRPr="00666967" w:rsidRDefault="0017713A" w:rsidP="00970B2A">
      <w:pPr>
        <w:spacing w:after="240" w:line="360" w:lineRule="auto"/>
        <w:jc w:val="both"/>
        <w:rPr>
          <w:rFonts w:ascii="Calibri" w:eastAsia="Calibri" w:hAnsi="Calibri" w:cs="Calibri"/>
          <w:sz w:val="26"/>
          <w:szCs w:val="26"/>
          <w:lang w:eastAsia="en-US"/>
        </w:rPr>
      </w:pPr>
      <w:r w:rsidRPr="00666967">
        <w:rPr>
          <w:rFonts w:ascii="Calibri" w:eastAsia="Calibri" w:hAnsi="Calibri" w:cs="Calibri"/>
          <w:sz w:val="26"/>
          <w:szCs w:val="26"/>
          <w:lang w:eastAsia="en-US"/>
        </w:rPr>
        <w:tab/>
      </w:r>
      <w:r w:rsidRPr="00666967">
        <w:rPr>
          <w:rFonts w:ascii="Calibri" w:eastAsia="Calibri" w:hAnsi="Calibri" w:cs="Calibri"/>
          <w:b/>
          <w:bCs/>
          <w:sz w:val="26"/>
          <w:szCs w:val="26"/>
          <w:lang w:eastAsia="en-US"/>
        </w:rPr>
        <w:t>Měsíčně</w:t>
      </w:r>
      <w:r w:rsidRPr="00666967">
        <w:rPr>
          <w:rFonts w:ascii="Calibri" w:eastAsia="Calibri" w:hAnsi="Calibri" w:cs="Calibri"/>
          <w:sz w:val="26"/>
          <w:szCs w:val="26"/>
          <w:lang w:eastAsia="en-US"/>
        </w:rPr>
        <w:t> bylo v průměru vyplaceno </w:t>
      </w:r>
      <w:r w:rsidRPr="00666967">
        <w:rPr>
          <w:rFonts w:ascii="Calibri" w:eastAsia="Calibri" w:hAnsi="Calibri" w:cs="Calibri"/>
          <w:b/>
          <w:bCs/>
          <w:sz w:val="26"/>
          <w:szCs w:val="26"/>
          <w:lang w:eastAsia="en-US"/>
        </w:rPr>
        <w:t>366,5 tis. dávek</w:t>
      </w:r>
      <w:r w:rsidRPr="00666967">
        <w:rPr>
          <w:rFonts w:ascii="Calibri" w:eastAsia="Calibri" w:hAnsi="Calibri" w:cs="Calibri"/>
          <w:sz w:val="26"/>
          <w:szCs w:val="26"/>
          <w:lang w:eastAsia="en-US"/>
        </w:rPr>
        <w:t xml:space="preserve">, tedy o 2,9 tis. (o 0,8 %) více než v roce 2019, z toho </w:t>
      </w:r>
      <w:r w:rsidRPr="0017713A">
        <w:rPr>
          <w:rFonts w:ascii="Calibri" w:eastAsia="Calibri" w:hAnsi="Calibri" w:cs="Calibri"/>
          <w:sz w:val="26"/>
          <w:szCs w:val="26"/>
          <w:lang w:eastAsia="en-US"/>
        </w:rPr>
        <w:t>31,4 tis. (8,6 %) dětem do 18 let a 335,1 tis. (91,4 %) osobám ve věku 18 let a starším. V I. stupni závislosti bylo čerpáno 103,9 tis. (28,4 %), ve</w:t>
      </w:r>
      <w:r w:rsidR="00B33B21">
        <w:rPr>
          <w:rFonts w:ascii="Calibri" w:eastAsia="Calibri" w:hAnsi="Calibri" w:cs="Calibri"/>
          <w:sz w:val="26"/>
          <w:szCs w:val="26"/>
          <w:lang w:eastAsia="en-US"/>
        </w:rPr>
        <w:t> </w:t>
      </w:r>
      <w:r w:rsidRPr="0017713A">
        <w:rPr>
          <w:rFonts w:ascii="Calibri" w:eastAsia="Calibri" w:hAnsi="Calibri" w:cs="Calibri"/>
          <w:sz w:val="26"/>
          <w:szCs w:val="26"/>
          <w:lang w:eastAsia="en-US"/>
        </w:rPr>
        <w:t>II. stupni 117,3 tis. (32</w:t>
      </w:r>
      <w:r w:rsidRPr="00666967">
        <w:rPr>
          <w:rFonts w:ascii="Calibri" w:eastAsia="Calibri" w:hAnsi="Calibri" w:cs="Calibri"/>
          <w:sz w:val="26"/>
          <w:szCs w:val="26"/>
          <w:lang w:eastAsia="en-US"/>
        </w:rPr>
        <w:t>,0 %), ve III. stupni 91,2 tis. (24,9 %) a ve IV. stupni 54,1 tis. dávek (14,8 %). Meziroční nárůst průměrného počtu vyplácených příspěvků byl zaznamenán ve III. a IV. stupni.</w:t>
      </w:r>
    </w:p>
    <w:p w14:paraId="730EF324" w14:textId="77777777" w:rsidR="0017713A" w:rsidRPr="00666967" w:rsidRDefault="0017713A" w:rsidP="00970B2A">
      <w:pPr>
        <w:spacing w:line="360" w:lineRule="auto"/>
        <w:jc w:val="both"/>
        <w:rPr>
          <w:rFonts w:ascii="Calibri" w:eastAsia="Calibri" w:hAnsi="Calibri" w:cs="Calibri"/>
          <w:sz w:val="26"/>
          <w:szCs w:val="26"/>
          <w:lang w:eastAsia="en-US"/>
        </w:rPr>
      </w:pPr>
    </w:p>
    <w:p w14:paraId="1F929667" w14:textId="77777777" w:rsidR="0017713A" w:rsidRPr="00666967" w:rsidRDefault="0017713A" w:rsidP="00970B2A">
      <w:pPr>
        <w:spacing w:after="240" w:line="360" w:lineRule="auto"/>
        <w:jc w:val="both"/>
        <w:rPr>
          <w:rFonts w:ascii="Calibri" w:eastAsia="Calibri" w:hAnsi="Calibri" w:cs="Calibri"/>
          <w:sz w:val="26"/>
          <w:szCs w:val="26"/>
          <w:lang w:eastAsia="en-US"/>
        </w:rPr>
      </w:pPr>
      <w:r w:rsidRPr="00666967">
        <w:rPr>
          <w:rFonts w:ascii="Calibri" w:eastAsia="Calibri" w:hAnsi="Calibri" w:cs="Calibri"/>
          <w:sz w:val="26"/>
          <w:szCs w:val="26"/>
          <w:lang w:eastAsia="en-US"/>
        </w:rPr>
        <w:tab/>
        <w:t xml:space="preserve">Prostředky vyplacené </w:t>
      </w:r>
      <w:r w:rsidRPr="0017713A">
        <w:rPr>
          <w:rFonts w:ascii="Calibri" w:eastAsia="Calibri" w:hAnsi="Calibri" w:cs="Calibri"/>
          <w:sz w:val="26"/>
          <w:szCs w:val="26"/>
          <w:lang w:eastAsia="en-US"/>
        </w:rPr>
        <w:t xml:space="preserve">formou </w:t>
      </w:r>
      <w:r w:rsidRPr="0017713A">
        <w:rPr>
          <w:rFonts w:ascii="Calibri" w:eastAsia="Calibri" w:hAnsi="Calibri" w:cs="Calibri"/>
          <w:b/>
          <w:sz w:val="26"/>
          <w:szCs w:val="26"/>
          <w:u w:val="single"/>
          <w:lang w:eastAsia="en-US"/>
        </w:rPr>
        <w:t>podpory v nezaměstnanosti</w:t>
      </w:r>
      <w:r w:rsidRPr="0017713A">
        <w:rPr>
          <w:rFonts w:ascii="Calibri" w:eastAsia="Calibri" w:hAnsi="Calibri" w:cs="Calibri"/>
          <w:sz w:val="26"/>
          <w:szCs w:val="26"/>
          <w:lang w:eastAsia="en-US"/>
        </w:rPr>
        <w:t xml:space="preserve"> se podílely na celkových </w:t>
      </w:r>
      <w:r w:rsidRPr="00666967">
        <w:rPr>
          <w:rFonts w:ascii="Calibri" w:eastAsia="Calibri" w:hAnsi="Calibri" w:cs="Calibri"/>
          <w:sz w:val="26"/>
          <w:szCs w:val="26"/>
          <w:lang w:eastAsia="en-US"/>
        </w:rPr>
        <w:t xml:space="preserve">sociálních příjmech domácností 1,6 %. V lednu – prosinci 2020 na ně bylo vyčerpáno </w:t>
      </w:r>
      <w:r w:rsidRPr="00666967">
        <w:rPr>
          <w:rFonts w:ascii="Calibri" w:eastAsia="Calibri" w:hAnsi="Calibri" w:cs="Calibri"/>
          <w:b/>
          <w:sz w:val="26"/>
          <w:szCs w:val="26"/>
          <w:lang w:eastAsia="en-US"/>
        </w:rPr>
        <w:t>10,5 mld. Kč</w:t>
      </w:r>
      <w:r w:rsidRPr="00666967">
        <w:rPr>
          <w:rFonts w:ascii="Calibri" w:eastAsia="Calibri" w:hAnsi="Calibri" w:cs="Calibri"/>
          <w:sz w:val="26"/>
          <w:szCs w:val="26"/>
          <w:lang w:eastAsia="en-US"/>
        </w:rPr>
        <w:t xml:space="preserve"> při meziročním </w:t>
      </w:r>
      <w:r w:rsidRPr="00666967">
        <w:rPr>
          <w:rFonts w:ascii="Calibri" w:eastAsia="Calibri" w:hAnsi="Calibri" w:cs="Calibri"/>
          <w:b/>
          <w:sz w:val="26"/>
          <w:szCs w:val="26"/>
          <w:lang w:eastAsia="en-US"/>
        </w:rPr>
        <w:t>nárůstu o 29,7 %</w:t>
      </w:r>
      <w:r w:rsidRPr="00666967">
        <w:rPr>
          <w:rFonts w:ascii="Calibri" w:eastAsia="Calibri" w:hAnsi="Calibri" w:cs="Calibri"/>
          <w:sz w:val="26"/>
          <w:szCs w:val="26"/>
          <w:lang w:eastAsia="en-US"/>
        </w:rPr>
        <w:t xml:space="preserve"> (</w:t>
      </w:r>
      <w:r w:rsidRPr="00666967">
        <w:rPr>
          <w:rFonts w:ascii="Calibri" w:eastAsia="Calibri" w:hAnsi="Calibri" w:cs="Calibri"/>
          <w:b/>
          <w:sz w:val="26"/>
          <w:szCs w:val="26"/>
          <w:lang w:eastAsia="en-US"/>
        </w:rPr>
        <w:t>o 2,4 mld. Kč</w:t>
      </w:r>
      <w:r w:rsidRPr="00666967">
        <w:rPr>
          <w:rFonts w:ascii="Calibri" w:eastAsia="Calibri" w:hAnsi="Calibri" w:cs="Calibri"/>
          <w:sz w:val="26"/>
          <w:szCs w:val="26"/>
          <w:lang w:eastAsia="en-US"/>
        </w:rPr>
        <w:t>) – viz tabulku č. 8 v příloze.</w:t>
      </w:r>
    </w:p>
    <w:p w14:paraId="55A0BDAA" w14:textId="55FC90A0" w:rsidR="0017713A" w:rsidRPr="00666967" w:rsidRDefault="00666967" w:rsidP="00970B2A">
      <w:pPr>
        <w:spacing w:after="240" w:line="360" w:lineRule="auto"/>
        <w:jc w:val="both"/>
        <w:rPr>
          <w:rFonts w:ascii="Calibri" w:eastAsia="Calibri" w:hAnsi="Calibri" w:cs="Calibri"/>
          <w:sz w:val="26"/>
          <w:szCs w:val="26"/>
          <w:lang w:eastAsia="en-US"/>
        </w:rPr>
      </w:pPr>
      <w:r>
        <w:rPr>
          <w:rFonts w:ascii="Calibri" w:eastAsia="Calibri" w:hAnsi="Calibri" w:cs="Calibri"/>
          <w:sz w:val="26"/>
          <w:szCs w:val="26"/>
          <w:lang w:eastAsia="en-US"/>
        </w:rPr>
        <w:lastRenderedPageBreak/>
        <w:tab/>
      </w:r>
      <w:r w:rsidR="0017713A" w:rsidRPr="0017713A">
        <w:rPr>
          <w:rFonts w:ascii="Calibri" w:eastAsia="Calibri" w:hAnsi="Calibri" w:cs="Calibri"/>
          <w:sz w:val="26"/>
          <w:szCs w:val="26"/>
          <w:lang w:eastAsia="en-US"/>
        </w:rPr>
        <w:t xml:space="preserve">Ve sledovaném období se </w:t>
      </w:r>
      <w:r w:rsidR="0017713A" w:rsidRPr="0017713A">
        <w:rPr>
          <w:rFonts w:ascii="Calibri" w:eastAsia="Calibri" w:hAnsi="Calibri" w:cs="Calibri"/>
          <w:b/>
          <w:sz w:val="26"/>
          <w:szCs w:val="26"/>
          <w:lang w:eastAsia="en-US"/>
        </w:rPr>
        <w:t>zvýšil průměrný podíl nezaměstnaných osob</w:t>
      </w:r>
      <w:r w:rsidR="0017713A" w:rsidRPr="0017713A">
        <w:rPr>
          <w:rFonts w:ascii="Calibri" w:eastAsia="Calibri" w:hAnsi="Calibri" w:cs="Calibri"/>
          <w:sz w:val="26"/>
          <w:szCs w:val="26"/>
          <w:lang w:eastAsia="en-US"/>
        </w:rPr>
        <w:t xml:space="preserve"> o 0,7 p. b. </w:t>
      </w:r>
      <w:r w:rsidR="0017713A" w:rsidRPr="0017713A">
        <w:rPr>
          <w:rFonts w:ascii="Calibri" w:eastAsia="Calibri" w:hAnsi="Calibri" w:cs="Calibri"/>
          <w:b/>
          <w:sz w:val="26"/>
          <w:szCs w:val="26"/>
          <w:lang w:eastAsia="en-US"/>
        </w:rPr>
        <w:t>na 3,5 %</w:t>
      </w:r>
      <w:r w:rsidR="0017713A" w:rsidRPr="0017713A">
        <w:rPr>
          <w:rFonts w:ascii="Calibri" w:eastAsia="Calibri" w:hAnsi="Calibri" w:cs="Calibri"/>
          <w:sz w:val="26"/>
          <w:szCs w:val="26"/>
          <w:lang w:eastAsia="en-US"/>
        </w:rPr>
        <w:t>. Průměrný počet evidovaných nezaměstnaných se zvýšil o 46,</w:t>
      </w:r>
      <w:r w:rsidR="00D13546">
        <w:rPr>
          <w:rFonts w:ascii="Calibri" w:eastAsia="Calibri" w:hAnsi="Calibri" w:cs="Calibri"/>
          <w:sz w:val="26"/>
          <w:szCs w:val="26"/>
          <w:lang w:eastAsia="en-US"/>
        </w:rPr>
        <w:t>7</w:t>
      </w:r>
      <w:r w:rsidR="0017713A" w:rsidRPr="0017713A">
        <w:rPr>
          <w:rFonts w:ascii="Calibri" w:eastAsia="Calibri" w:hAnsi="Calibri" w:cs="Calibri"/>
          <w:sz w:val="26"/>
          <w:szCs w:val="26"/>
          <w:lang w:eastAsia="en-US"/>
        </w:rPr>
        <w:t> tis. na 259,1 tis., rovněž došlo k nárůstu průměrného počtu evidovaných nezaměstnaných s nárokem na podporu o</w:t>
      </w:r>
      <w:r>
        <w:rPr>
          <w:rFonts w:ascii="Calibri" w:eastAsia="Calibri" w:hAnsi="Calibri" w:cs="Calibri"/>
          <w:sz w:val="26"/>
          <w:szCs w:val="26"/>
          <w:lang w:eastAsia="en-US"/>
        </w:rPr>
        <w:t> </w:t>
      </w:r>
      <w:r w:rsidR="0017713A" w:rsidRPr="0017713A">
        <w:rPr>
          <w:rFonts w:ascii="Calibri" w:eastAsia="Calibri" w:hAnsi="Calibri" w:cs="Calibri"/>
          <w:sz w:val="26"/>
          <w:szCs w:val="26"/>
          <w:lang w:eastAsia="en-US"/>
        </w:rPr>
        <w:t>13,6</w:t>
      </w:r>
      <w:r>
        <w:rPr>
          <w:rFonts w:ascii="Calibri" w:eastAsia="Calibri" w:hAnsi="Calibri" w:cs="Calibri"/>
          <w:sz w:val="26"/>
          <w:szCs w:val="26"/>
          <w:lang w:eastAsia="en-US"/>
        </w:rPr>
        <w:t> </w:t>
      </w:r>
      <w:r w:rsidR="0017713A" w:rsidRPr="0017713A">
        <w:rPr>
          <w:rFonts w:ascii="Calibri" w:eastAsia="Calibri" w:hAnsi="Calibri" w:cs="Calibri"/>
          <w:sz w:val="26"/>
          <w:szCs w:val="26"/>
          <w:lang w:eastAsia="en-US"/>
        </w:rPr>
        <w:t>tis. na 90,9</w:t>
      </w:r>
      <w:r>
        <w:rPr>
          <w:rFonts w:ascii="Calibri" w:eastAsia="Calibri" w:hAnsi="Calibri" w:cs="Calibri"/>
          <w:sz w:val="26"/>
          <w:szCs w:val="26"/>
          <w:lang w:eastAsia="en-US"/>
        </w:rPr>
        <w:t> </w:t>
      </w:r>
      <w:r w:rsidR="0017713A" w:rsidRPr="0017713A">
        <w:rPr>
          <w:rFonts w:ascii="Calibri" w:eastAsia="Calibri" w:hAnsi="Calibri" w:cs="Calibri"/>
          <w:sz w:val="26"/>
          <w:szCs w:val="26"/>
          <w:lang w:eastAsia="en-US"/>
        </w:rPr>
        <w:t xml:space="preserve">tis. Podíl žen pobírající podporu v nezaměstnanosti na </w:t>
      </w:r>
      <w:r w:rsidR="0017713A" w:rsidRPr="00666967">
        <w:rPr>
          <w:rFonts w:ascii="Calibri" w:eastAsia="Calibri" w:hAnsi="Calibri" w:cs="Calibri"/>
          <w:sz w:val="26"/>
          <w:szCs w:val="26"/>
          <w:lang w:eastAsia="en-US"/>
        </w:rPr>
        <w:t>celkovém počtu uchazečů s podporou činil 51,2</w:t>
      </w:r>
      <w:r w:rsidRPr="00666967">
        <w:rPr>
          <w:rFonts w:ascii="Calibri" w:eastAsia="Calibri" w:hAnsi="Calibri" w:cs="Calibri"/>
          <w:sz w:val="26"/>
          <w:szCs w:val="26"/>
          <w:lang w:eastAsia="en-US"/>
        </w:rPr>
        <w:t> </w:t>
      </w:r>
      <w:r w:rsidR="0017713A" w:rsidRPr="00666967">
        <w:rPr>
          <w:rFonts w:ascii="Calibri" w:eastAsia="Calibri" w:hAnsi="Calibri" w:cs="Calibri"/>
          <w:sz w:val="26"/>
          <w:szCs w:val="26"/>
          <w:lang w:eastAsia="en-US"/>
        </w:rPr>
        <w:t>% (o 2,9</w:t>
      </w:r>
      <w:r w:rsidRPr="00666967">
        <w:rPr>
          <w:rFonts w:ascii="Calibri" w:eastAsia="Calibri" w:hAnsi="Calibri" w:cs="Calibri"/>
          <w:sz w:val="26"/>
          <w:szCs w:val="26"/>
          <w:lang w:eastAsia="en-US"/>
        </w:rPr>
        <w:t> </w:t>
      </w:r>
      <w:r w:rsidR="0017713A" w:rsidRPr="00666967">
        <w:rPr>
          <w:rFonts w:ascii="Calibri" w:eastAsia="Calibri" w:hAnsi="Calibri" w:cs="Calibri"/>
          <w:sz w:val="26"/>
          <w:szCs w:val="26"/>
          <w:lang w:eastAsia="en-US"/>
        </w:rPr>
        <w:t>p.</w:t>
      </w:r>
      <w:r w:rsidRPr="00666967">
        <w:rPr>
          <w:rFonts w:ascii="Calibri" w:eastAsia="Calibri" w:hAnsi="Calibri" w:cs="Calibri"/>
          <w:sz w:val="26"/>
          <w:szCs w:val="26"/>
          <w:lang w:eastAsia="en-US"/>
        </w:rPr>
        <w:t> </w:t>
      </w:r>
      <w:r w:rsidR="0017713A" w:rsidRPr="00666967">
        <w:rPr>
          <w:rFonts w:ascii="Calibri" w:eastAsia="Calibri" w:hAnsi="Calibri" w:cs="Calibri"/>
          <w:sz w:val="26"/>
          <w:szCs w:val="26"/>
          <w:lang w:eastAsia="en-US"/>
        </w:rPr>
        <w:t>b. méně než v roce 2019). Na jedno volné pracovní místo připadalo 0,8 uchazeče (oproti 0,6 v roce 2019).</w:t>
      </w:r>
    </w:p>
    <w:p w14:paraId="12991135" w14:textId="77777777" w:rsidR="0017713A" w:rsidRPr="00666967" w:rsidRDefault="0017713A" w:rsidP="00970B2A">
      <w:pPr>
        <w:spacing w:after="240" w:line="360" w:lineRule="auto"/>
        <w:jc w:val="both"/>
        <w:rPr>
          <w:rFonts w:ascii="Calibri" w:eastAsia="Calibri" w:hAnsi="Calibri" w:cs="Calibri"/>
          <w:sz w:val="26"/>
          <w:szCs w:val="26"/>
          <w:lang w:eastAsia="en-US"/>
        </w:rPr>
      </w:pPr>
      <w:r w:rsidRPr="00666967">
        <w:rPr>
          <w:rFonts w:ascii="Calibri" w:eastAsia="Calibri" w:hAnsi="Calibri" w:cs="Calibri"/>
          <w:sz w:val="26"/>
          <w:szCs w:val="26"/>
          <w:lang w:eastAsia="en-US"/>
        </w:rPr>
        <w:tab/>
      </w:r>
      <w:r w:rsidRPr="00666967">
        <w:rPr>
          <w:rFonts w:ascii="Calibri" w:eastAsia="Calibri" w:hAnsi="Calibri" w:cs="Calibri"/>
          <w:b/>
          <w:sz w:val="26"/>
          <w:szCs w:val="26"/>
          <w:lang w:eastAsia="en-US"/>
        </w:rPr>
        <w:t>Průměrná výše podpory v nezaměstnanosti</w:t>
      </w:r>
      <w:r w:rsidRPr="00666967">
        <w:rPr>
          <w:rFonts w:ascii="Calibri" w:eastAsia="Calibri" w:hAnsi="Calibri" w:cs="Calibri"/>
          <w:sz w:val="26"/>
          <w:szCs w:val="26"/>
          <w:lang w:eastAsia="en-US"/>
        </w:rPr>
        <w:t xml:space="preserve"> se ve sledovaném období </w:t>
      </w:r>
      <w:r w:rsidRPr="00666967">
        <w:rPr>
          <w:rFonts w:ascii="Calibri" w:eastAsia="Calibri" w:hAnsi="Calibri" w:cs="Calibri"/>
          <w:b/>
          <w:sz w:val="26"/>
          <w:szCs w:val="26"/>
          <w:lang w:eastAsia="en-US"/>
        </w:rPr>
        <w:t>zvýšila</w:t>
      </w:r>
      <w:r w:rsidRPr="00666967">
        <w:rPr>
          <w:rFonts w:ascii="Calibri" w:eastAsia="Calibri" w:hAnsi="Calibri" w:cs="Calibri"/>
          <w:sz w:val="26"/>
          <w:szCs w:val="26"/>
          <w:lang w:eastAsia="en-US"/>
        </w:rPr>
        <w:t xml:space="preserve"> o 612 Kč na </w:t>
      </w:r>
      <w:r w:rsidRPr="00666967">
        <w:rPr>
          <w:rFonts w:ascii="Calibri" w:eastAsia="Calibri" w:hAnsi="Calibri" w:cs="Calibri"/>
          <w:b/>
          <w:sz w:val="26"/>
          <w:szCs w:val="26"/>
          <w:lang w:eastAsia="en-US"/>
        </w:rPr>
        <w:t>8 534 Kč</w:t>
      </w:r>
      <w:r w:rsidRPr="00666967">
        <w:rPr>
          <w:rFonts w:ascii="Calibri" w:eastAsia="Calibri" w:hAnsi="Calibri" w:cs="Calibri"/>
          <w:sz w:val="26"/>
          <w:szCs w:val="26"/>
          <w:lang w:eastAsia="en-US"/>
        </w:rPr>
        <w:t>, u mužů činila 9 337 Kč a u žen 7 771 Kč.</w:t>
      </w:r>
    </w:p>
    <w:p w14:paraId="1535C7B1" w14:textId="12107E54" w:rsidR="0017713A" w:rsidRDefault="0017713A" w:rsidP="0017713A">
      <w:pPr>
        <w:spacing w:line="360" w:lineRule="auto"/>
        <w:jc w:val="both"/>
        <w:rPr>
          <w:rFonts w:ascii="Calibri" w:eastAsia="Calibri" w:hAnsi="Calibri" w:cs="Calibri"/>
          <w:sz w:val="26"/>
          <w:szCs w:val="26"/>
          <w:lang w:eastAsia="en-US"/>
        </w:rPr>
      </w:pPr>
      <w:r w:rsidRPr="00666967">
        <w:rPr>
          <w:rFonts w:ascii="Calibri" w:eastAsia="Calibri" w:hAnsi="Calibri" w:cs="Calibri"/>
          <w:sz w:val="26"/>
          <w:szCs w:val="26"/>
          <w:lang w:eastAsia="en-US"/>
        </w:rPr>
        <w:tab/>
        <w:t>Meziroční nárůst průměrné měsíční výše podpory byl zaznamenán ve všech krajích ČR. Nejnižší průměrnou podporu vykázal Moravskoslezský (7</w:t>
      </w:r>
      <w:r w:rsidR="00666967">
        <w:rPr>
          <w:rFonts w:ascii="Calibri" w:eastAsia="Calibri" w:hAnsi="Calibri" w:cs="Calibri"/>
          <w:sz w:val="26"/>
          <w:szCs w:val="26"/>
          <w:lang w:eastAsia="en-US"/>
        </w:rPr>
        <w:t> </w:t>
      </w:r>
      <w:r w:rsidRPr="00666967">
        <w:rPr>
          <w:rFonts w:ascii="Calibri" w:eastAsia="Calibri" w:hAnsi="Calibri" w:cs="Calibri"/>
          <w:sz w:val="26"/>
          <w:szCs w:val="26"/>
          <w:lang w:eastAsia="en-US"/>
        </w:rPr>
        <w:t>901</w:t>
      </w:r>
      <w:r w:rsidR="00666967">
        <w:rPr>
          <w:rFonts w:ascii="Calibri" w:eastAsia="Calibri" w:hAnsi="Calibri" w:cs="Calibri"/>
          <w:sz w:val="26"/>
          <w:szCs w:val="26"/>
          <w:lang w:eastAsia="en-US"/>
        </w:rPr>
        <w:t> </w:t>
      </w:r>
      <w:r w:rsidRPr="00666967">
        <w:rPr>
          <w:rFonts w:ascii="Calibri" w:eastAsia="Calibri" w:hAnsi="Calibri" w:cs="Calibri"/>
          <w:sz w:val="26"/>
          <w:szCs w:val="26"/>
          <w:lang w:eastAsia="en-US"/>
        </w:rPr>
        <w:t>Kč), Olomoucký (7</w:t>
      </w:r>
      <w:r w:rsidR="00666967">
        <w:rPr>
          <w:rFonts w:ascii="Calibri" w:eastAsia="Calibri" w:hAnsi="Calibri" w:cs="Calibri"/>
          <w:sz w:val="26"/>
          <w:szCs w:val="26"/>
          <w:lang w:eastAsia="en-US"/>
        </w:rPr>
        <w:t> </w:t>
      </w:r>
      <w:r w:rsidRPr="00666967">
        <w:rPr>
          <w:rFonts w:ascii="Calibri" w:eastAsia="Calibri" w:hAnsi="Calibri" w:cs="Calibri"/>
          <w:sz w:val="26"/>
          <w:szCs w:val="26"/>
          <w:lang w:eastAsia="en-US"/>
        </w:rPr>
        <w:t>943</w:t>
      </w:r>
      <w:r w:rsidR="00666967">
        <w:rPr>
          <w:rFonts w:ascii="Calibri" w:eastAsia="Calibri" w:hAnsi="Calibri" w:cs="Calibri"/>
          <w:sz w:val="26"/>
          <w:szCs w:val="26"/>
          <w:lang w:eastAsia="en-US"/>
        </w:rPr>
        <w:t> </w:t>
      </w:r>
      <w:r w:rsidRPr="00666967">
        <w:rPr>
          <w:rFonts w:ascii="Calibri" w:eastAsia="Calibri" w:hAnsi="Calibri" w:cs="Calibri"/>
          <w:sz w:val="26"/>
          <w:szCs w:val="26"/>
          <w:lang w:eastAsia="en-US"/>
        </w:rPr>
        <w:t>Kč) a Ústecký kraj (7</w:t>
      </w:r>
      <w:r w:rsidR="00666967">
        <w:rPr>
          <w:rFonts w:ascii="Calibri" w:eastAsia="Calibri" w:hAnsi="Calibri" w:cs="Calibri"/>
          <w:sz w:val="26"/>
          <w:szCs w:val="26"/>
          <w:lang w:eastAsia="en-US"/>
        </w:rPr>
        <w:t> </w:t>
      </w:r>
      <w:r w:rsidRPr="00666967">
        <w:rPr>
          <w:rFonts w:ascii="Calibri" w:eastAsia="Calibri" w:hAnsi="Calibri" w:cs="Calibri"/>
          <w:sz w:val="26"/>
          <w:szCs w:val="26"/>
          <w:lang w:eastAsia="en-US"/>
        </w:rPr>
        <w:t>989</w:t>
      </w:r>
      <w:r w:rsidR="00666967">
        <w:rPr>
          <w:rFonts w:ascii="Calibri" w:eastAsia="Calibri" w:hAnsi="Calibri" w:cs="Calibri"/>
          <w:sz w:val="26"/>
          <w:szCs w:val="26"/>
          <w:lang w:eastAsia="en-US"/>
        </w:rPr>
        <w:t> </w:t>
      </w:r>
      <w:r w:rsidRPr="00666967">
        <w:rPr>
          <w:rFonts w:ascii="Calibri" w:eastAsia="Calibri" w:hAnsi="Calibri" w:cs="Calibri"/>
          <w:sz w:val="26"/>
          <w:szCs w:val="26"/>
          <w:lang w:eastAsia="en-US"/>
        </w:rPr>
        <w:t>Kč), nejvyšší hl. m. Praha (10</w:t>
      </w:r>
      <w:r w:rsidR="00666967">
        <w:rPr>
          <w:rFonts w:ascii="Calibri" w:eastAsia="Calibri" w:hAnsi="Calibri" w:cs="Calibri"/>
          <w:sz w:val="26"/>
          <w:szCs w:val="26"/>
          <w:lang w:eastAsia="en-US"/>
        </w:rPr>
        <w:t> </w:t>
      </w:r>
      <w:r w:rsidRPr="00666967">
        <w:rPr>
          <w:rFonts w:ascii="Calibri" w:eastAsia="Calibri" w:hAnsi="Calibri" w:cs="Calibri"/>
          <w:sz w:val="26"/>
          <w:szCs w:val="26"/>
          <w:lang w:eastAsia="en-US"/>
        </w:rPr>
        <w:t>162</w:t>
      </w:r>
      <w:r w:rsidR="00666967">
        <w:rPr>
          <w:rFonts w:ascii="Calibri" w:eastAsia="Calibri" w:hAnsi="Calibri" w:cs="Calibri"/>
          <w:sz w:val="26"/>
          <w:szCs w:val="26"/>
          <w:lang w:eastAsia="en-US"/>
        </w:rPr>
        <w:t> </w:t>
      </w:r>
      <w:proofErr w:type="gramStart"/>
      <w:r w:rsidRPr="00666967">
        <w:rPr>
          <w:rFonts w:ascii="Calibri" w:eastAsia="Calibri" w:hAnsi="Calibri" w:cs="Calibri"/>
          <w:sz w:val="26"/>
          <w:szCs w:val="26"/>
          <w:lang w:eastAsia="en-US"/>
        </w:rPr>
        <w:t>Kč)</w:t>
      </w:r>
      <w:r w:rsidR="00B33B21">
        <w:rPr>
          <w:rFonts w:ascii="Calibri" w:eastAsia="Calibri" w:hAnsi="Calibri" w:cs="Calibri"/>
          <w:sz w:val="26"/>
          <w:szCs w:val="26"/>
          <w:lang w:eastAsia="en-US"/>
        </w:rPr>
        <w:t xml:space="preserve">   </w:t>
      </w:r>
      <w:proofErr w:type="gramEnd"/>
      <w:r w:rsidR="00B33B21">
        <w:rPr>
          <w:rFonts w:ascii="Calibri" w:eastAsia="Calibri" w:hAnsi="Calibri" w:cs="Calibri"/>
          <w:sz w:val="26"/>
          <w:szCs w:val="26"/>
          <w:lang w:eastAsia="en-US"/>
        </w:rPr>
        <w:t xml:space="preserve">           </w:t>
      </w:r>
      <w:r w:rsidRPr="00666967">
        <w:rPr>
          <w:rFonts w:ascii="Calibri" w:eastAsia="Calibri" w:hAnsi="Calibri" w:cs="Calibri"/>
          <w:sz w:val="26"/>
          <w:szCs w:val="26"/>
          <w:lang w:eastAsia="en-US"/>
        </w:rPr>
        <w:t xml:space="preserve"> – viz</w:t>
      </w:r>
      <w:r w:rsidR="00B33B21">
        <w:rPr>
          <w:rFonts w:ascii="Calibri" w:eastAsia="Calibri" w:hAnsi="Calibri" w:cs="Calibri"/>
          <w:sz w:val="26"/>
          <w:szCs w:val="26"/>
          <w:lang w:eastAsia="en-US"/>
        </w:rPr>
        <w:t> </w:t>
      </w:r>
      <w:r w:rsidRPr="00666967">
        <w:rPr>
          <w:rFonts w:ascii="Calibri" w:eastAsia="Calibri" w:hAnsi="Calibri" w:cs="Calibri"/>
          <w:sz w:val="26"/>
          <w:szCs w:val="26"/>
          <w:lang w:eastAsia="en-US"/>
        </w:rPr>
        <w:t>grafické vyjádření níže a tabulku č. 17 v příloze.</w:t>
      </w:r>
    </w:p>
    <w:p w14:paraId="23E520AB" w14:textId="77777777" w:rsidR="00C6336D" w:rsidRDefault="00C6336D" w:rsidP="00C6336D">
      <w:pPr>
        <w:spacing w:line="360" w:lineRule="auto"/>
        <w:jc w:val="both"/>
        <w:rPr>
          <w:rFonts w:ascii="Calibri" w:eastAsia="Calibri" w:hAnsi="Calibri" w:cs="Calibri"/>
          <w:sz w:val="22"/>
          <w:szCs w:val="22"/>
          <w:lang w:eastAsia="en-US"/>
        </w:rPr>
      </w:pPr>
    </w:p>
    <w:tbl>
      <w:tblPr>
        <w:tblStyle w:val="Mkatabulky"/>
        <w:tblW w:w="9071" w:type="dxa"/>
        <w:tblLook w:val="04A0" w:firstRow="1" w:lastRow="0" w:firstColumn="1" w:lastColumn="0" w:noHBand="0" w:noVBand="1"/>
      </w:tblPr>
      <w:tblGrid>
        <w:gridCol w:w="9288"/>
      </w:tblGrid>
      <w:tr w:rsidR="00C6336D" w14:paraId="497CDE8E" w14:textId="77777777" w:rsidTr="00C6336D">
        <w:trPr>
          <w:trHeight w:val="6236"/>
        </w:trPr>
        <w:tc>
          <w:tcPr>
            <w:tcW w:w="9071" w:type="dxa"/>
            <w:tcBorders>
              <w:top w:val="single" w:sz="4" w:space="0" w:color="D4E3F4"/>
              <w:left w:val="single" w:sz="4" w:space="0" w:color="D4E3F4"/>
              <w:bottom w:val="single" w:sz="4" w:space="0" w:color="D4E3F4"/>
              <w:right w:val="single" w:sz="4" w:space="0" w:color="D4E3F4"/>
            </w:tcBorders>
          </w:tcPr>
          <w:p w14:paraId="335CEDA0" w14:textId="77777777" w:rsidR="00C6336D" w:rsidRPr="003F10A7" w:rsidRDefault="00C6336D" w:rsidP="00621D94">
            <w:pPr>
              <w:jc w:val="center"/>
              <w:rPr>
                <w:rFonts w:ascii="Calibri" w:hAnsi="Calibri"/>
                <w:b/>
                <w:smallCaps/>
                <w:color w:val="1F497D"/>
                <w:sz w:val="32"/>
              </w:rPr>
            </w:pPr>
            <w:r w:rsidRPr="003F10A7">
              <w:rPr>
                <w:rFonts w:ascii="Calibri" w:hAnsi="Calibri"/>
                <w:b/>
                <w:smallCaps/>
                <w:color w:val="1F497D"/>
                <w:sz w:val="32"/>
              </w:rPr>
              <w:t>Průměrná výše podpory v nezaměstnanosti</w:t>
            </w:r>
          </w:p>
          <w:p w14:paraId="0F14E6F9" w14:textId="77777777" w:rsidR="00C6336D" w:rsidRDefault="00C6336D" w:rsidP="00621D94">
            <w:pPr>
              <w:jc w:val="center"/>
              <w:rPr>
                <w:rFonts w:ascii="Calibri" w:hAnsi="Calibri"/>
                <w:b/>
                <w:smallCaps/>
                <w:color w:val="1F497D"/>
                <w:sz w:val="32"/>
              </w:rPr>
            </w:pPr>
            <w:r>
              <w:rPr>
                <w:rFonts w:ascii="Calibri" w:hAnsi="Calibri"/>
                <w:b/>
                <w:smallCaps/>
                <w:color w:val="1F497D"/>
                <w:sz w:val="32"/>
              </w:rPr>
              <w:t>v</w:t>
            </w:r>
            <w:r w:rsidRPr="003F10A7">
              <w:rPr>
                <w:rFonts w:ascii="Calibri" w:hAnsi="Calibri"/>
                <w:b/>
                <w:smallCaps/>
                <w:color w:val="1F497D"/>
                <w:sz w:val="32"/>
              </w:rPr>
              <w:t> krajích ČR v roce 2020</w:t>
            </w:r>
          </w:p>
          <w:p w14:paraId="2FED9BC0" w14:textId="77777777" w:rsidR="00C6336D" w:rsidRDefault="00C6336D" w:rsidP="00621D94">
            <w:pPr>
              <w:jc w:val="center"/>
            </w:pPr>
            <w:r>
              <w:rPr>
                <w:noProof/>
              </w:rPr>
              <w:drawing>
                <wp:inline distT="0" distB="0" distL="0" distR="0" wp14:anchorId="5672C434" wp14:editId="0BDDD7D6">
                  <wp:extent cx="5760720" cy="3216275"/>
                  <wp:effectExtent l="0" t="0" r="0" b="317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4">
                            <a:extLst>
                              <a:ext uri="{28A0092B-C50C-407E-A947-70E740481C1C}">
                                <a14:useLocalDpi xmlns:a14="http://schemas.microsoft.com/office/drawing/2010/main" val="0"/>
                              </a:ext>
                            </a:extLst>
                          </a:blip>
                          <a:stretch>
                            <a:fillRect/>
                          </a:stretch>
                        </pic:blipFill>
                        <pic:spPr>
                          <a:xfrm>
                            <a:off x="0" y="0"/>
                            <a:ext cx="5760720" cy="3216275"/>
                          </a:xfrm>
                          <a:prstGeom prst="rect">
                            <a:avLst/>
                          </a:prstGeom>
                        </pic:spPr>
                      </pic:pic>
                    </a:graphicData>
                  </a:graphic>
                </wp:inline>
              </w:drawing>
            </w:r>
          </w:p>
        </w:tc>
      </w:tr>
    </w:tbl>
    <w:p w14:paraId="395E930D" w14:textId="5701A0DF" w:rsidR="0017713A" w:rsidRPr="0017713A" w:rsidRDefault="0017713A" w:rsidP="00666967">
      <w:pPr>
        <w:spacing w:before="240" w:after="160" w:line="360" w:lineRule="auto"/>
        <w:jc w:val="both"/>
        <w:rPr>
          <w:rFonts w:ascii="Calibri" w:eastAsia="Calibri" w:hAnsi="Calibri" w:cs="Calibri"/>
          <w:sz w:val="22"/>
          <w:szCs w:val="22"/>
          <w:lang w:eastAsia="en-US"/>
        </w:rPr>
      </w:pPr>
      <w:r w:rsidRPr="0017713A">
        <w:rPr>
          <w:rFonts w:ascii="Calibri" w:eastAsia="Calibri" w:hAnsi="Calibri" w:cs="Calibri"/>
          <w:sz w:val="22"/>
          <w:szCs w:val="22"/>
          <w:lang w:eastAsia="en-US"/>
        </w:rPr>
        <w:t>Zpracováno z dat MPSV</w:t>
      </w:r>
    </w:p>
    <w:p w14:paraId="54F23AB6" w14:textId="517E26C4" w:rsidR="0017713A" w:rsidRDefault="0017713A" w:rsidP="00970B2A">
      <w:pPr>
        <w:spacing w:after="480" w:line="360" w:lineRule="auto"/>
        <w:jc w:val="both"/>
        <w:rPr>
          <w:rFonts w:ascii="Calibri" w:eastAsia="Calibri" w:hAnsi="Calibri" w:cs="Calibri"/>
          <w:sz w:val="26"/>
          <w:szCs w:val="26"/>
          <w:lang w:eastAsia="en-US"/>
        </w:rPr>
      </w:pPr>
      <w:r w:rsidRPr="00666967">
        <w:rPr>
          <w:rFonts w:ascii="Calibri" w:eastAsia="Calibri" w:hAnsi="Calibri" w:cs="Calibri"/>
          <w:sz w:val="26"/>
          <w:szCs w:val="26"/>
          <w:lang w:eastAsia="en-US"/>
        </w:rPr>
        <w:lastRenderedPageBreak/>
        <w:tab/>
      </w:r>
      <w:r w:rsidRPr="00666967">
        <w:rPr>
          <w:rFonts w:ascii="Calibri" w:eastAsia="Calibri" w:hAnsi="Calibri" w:cs="Calibri"/>
          <w:b/>
          <w:sz w:val="26"/>
          <w:szCs w:val="26"/>
          <w:u w:val="single"/>
          <w:lang w:eastAsia="en-US"/>
        </w:rPr>
        <w:t>Dávky pomoci v hmotné nouzi</w:t>
      </w:r>
      <w:r w:rsidRPr="00666967">
        <w:rPr>
          <w:rFonts w:ascii="Calibri" w:eastAsia="Calibri" w:hAnsi="Calibri" w:cs="Calibri"/>
          <w:sz w:val="26"/>
          <w:szCs w:val="26"/>
          <w:lang w:eastAsia="en-US"/>
        </w:rPr>
        <w:t xml:space="preserve"> byly čerpány ve </w:t>
      </w:r>
      <w:r w:rsidRPr="00666967">
        <w:rPr>
          <w:rFonts w:ascii="Calibri" w:eastAsia="Calibri" w:hAnsi="Calibri" w:cs="Calibri"/>
          <w:b/>
          <w:sz w:val="26"/>
          <w:szCs w:val="26"/>
          <w:lang w:eastAsia="en-US"/>
        </w:rPr>
        <w:t>výši 4,8</w:t>
      </w:r>
      <w:r w:rsidR="00666967" w:rsidRPr="00666967">
        <w:rPr>
          <w:rFonts w:ascii="Calibri" w:eastAsia="Calibri" w:hAnsi="Calibri" w:cs="Calibri"/>
          <w:b/>
          <w:sz w:val="26"/>
          <w:szCs w:val="26"/>
          <w:lang w:eastAsia="en-US"/>
        </w:rPr>
        <w:t> </w:t>
      </w:r>
      <w:r w:rsidRPr="00666967">
        <w:rPr>
          <w:rFonts w:ascii="Calibri" w:eastAsia="Calibri" w:hAnsi="Calibri" w:cs="Calibri"/>
          <w:b/>
          <w:sz w:val="26"/>
          <w:szCs w:val="26"/>
          <w:lang w:eastAsia="en-US"/>
        </w:rPr>
        <w:t>mld.</w:t>
      </w:r>
      <w:r w:rsidR="00666967" w:rsidRPr="00666967">
        <w:rPr>
          <w:rFonts w:ascii="Calibri" w:eastAsia="Calibri" w:hAnsi="Calibri" w:cs="Calibri"/>
          <w:b/>
          <w:sz w:val="26"/>
          <w:szCs w:val="26"/>
          <w:lang w:eastAsia="en-US"/>
        </w:rPr>
        <w:t> </w:t>
      </w:r>
      <w:r w:rsidRPr="00666967">
        <w:rPr>
          <w:rFonts w:ascii="Calibri" w:eastAsia="Calibri" w:hAnsi="Calibri" w:cs="Calibri"/>
          <w:b/>
          <w:sz w:val="26"/>
          <w:szCs w:val="26"/>
          <w:lang w:eastAsia="en-US"/>
        </w:rPr>
        <w:t>Kč</w:t>
      </w:r>
      <w:r w:rsidRPr="00666967">
        <w:rPr>
          <w:rFonts w:ascii="Calibri" w:eastAsia="Calibri" w:hAnsi="Calibri" w:cs="Calibri"/>
          <w:sz w:val="26"/>
          <w:szCs w:val="26"/>
          <w:lang w:eastAsia="en-US"/>
        </w:rPr>
        <w:t xml:space="preserve">. V porovnání s množstvím prostředků poskytnutých touto formou v lednu – prosinci 2019 se jednalo o jejich </w:t>
      </w:r>
      <w:r w:rsidRPr="00666967">
        <w:rPr>
          <w:rFonts w:ascii="Calibri" w:eastAsia="Calibri" w:hAnsi="Calibri" w:cs="Calibri"/>
          <w:b/>
          <w:sz w:val="26"/>
          <w:szCs w:val="26"/>
          <w:lang w:eastAsia="en-US"/>
        </w:rPr>
        <w:t>nárůst</w:t>
      </w:r>
      <w:r w:rsidRPr="00666967">
        <w:rPr>
          <w:rFonts w:ascii="Calibri" w:eastAsia="Calibri" w:hAnsi="Calibri" w:cs="Calibri"/>
          <w:sz w:val="26"/>
          <w:szCs w:val="26"/>
          <w:lang w:eastAsia="en-US"/>
        </w:rPr>
        <w:t xml:space="preserve"> (</w:t>
      </w:r>
      <w:r w:rsidRPr="00666967">
        <w:rPr>
          <w:rFonts w:ascii="Calibri" w:eastAsia="Calibri" w:hAnsi="Calibri" w:cs="Calibri"/>
          <w:b/>
          <w:sz w:val="26"/>
          <w:szCs w:val="26"/>
          <w:lang w:eastAsia="en-US"/>
        </w:rPr>
        <w:t>o</w:t>
      </w:r>
      <w:r w:rsidR="00666967" w:rsidRPr="00666967">
        <w:rPr>
          <w:rFonts w:ascii="Calibri" w:eastAsia="Calibri" w:hAnsi="Calibri" w:cs="Calibri"/>
          <w:b/>
          <w:sz w:val="26"/>
          <w:szCs w:val="26"/>
          <w:lang w:eastAsia="en-US"/>
        </w:rPr>
        <w:t> </w:t>
      </w:r>
      <w:r w:rsidRPr="00666967">
        <w:rPr>
          <w:rFonts w:ascii="Calibri" w:eastAsia="Calibri" w:hAnsi="Calibri" w:cs="Calibri"/>
          <w:b/>
          <w:sz w:val="26"/>
          <w:szCs w:val="26"/>
          <w:lang w:eastAsia="en-US"/>
        </w:rPr>
        <w:t>8,6</w:t>
      </w:r>
      <w:r w:rsidR="00666967" w:rsidRPr="00666967">
        <w:rPr>
          <w:rFonts w:ascii="Calibri" w:eastAsia="Calibri" w:hAnsi="Calibri" w:cs="Calibri"/>
          <w:b/>
          <w:sz w:val="26"/>
          <w:szCs w:val="26"/>
          <w:lang w:eastAsia="en-US"/>
        </w:rPr>
        <w:t> </w:t>
      </w:r>
      <w:r w:rsidRPr="00666967">
        <w:rPr>
          <w:rFonts w:ascii="Calibri" w:eastAsia="Calibri" w:hAnsi="Calibri" w:cs="Calibri"/>
          <w:b/>
          <w:sz w:val="26"/>
          <w:szCs w:val="26"/>
          <w:lang w:eastAsia="en-US"/>
        </w:rPr>
        <w:t>%</w:t>
      </w:r>
      <w:r w:rsidRPr="00666967">
        <w:rPr>
          <w:rFonts w:ascii="Calibri" w:eastAsia="Calibri" w:hAnsi="Calibri" w:cs="Calibri"/>
          <w:sz w:val="26"/>
          <w:szCs w:val="26"/>
          <w:lang w:eastAsia="en-US"/>
        </w:rPr>
        <w:t xml:space="preserve">, tj. </w:t>
      </w:r>
      <w:r w:rsidRPr="00666967">
        <w:rPr>
          <w:rFonts w:ascii="Calibri" w:eastAsia="Calibri" w:hAnsi="Calibri" w:cs="Calibri"/>
          <w:b/>
          <w:sz w:val="26"/>
          <w:szCs w:val="26"/>
          <w:lang w:eastAsia="en-US"/>
        </w:rPr>
        <w:t>o</w:t>
      </w:r>
      <w:r w:rsidR="00666967" w:rsidRPr="00666967">
        <w:rPr>
          <w:rFonts w:ascii="Calibri" w:eastAsia="Calibri" w:hAnsi="Calibri" w:cs="Calibri"/>
          <w:b/>
          <w:sz w:val="26"/>
          <w:szCs w:val="26"/>
          <w:lang w:eastAsia="en-US"/>
        </w:rPr>
        <w:t> </w:t>
      </w:r>
      <w:r w:rsidRPr="00666967">
        <w:rPr>
          <w:rFonts w:ascii="Calibri" w:eastAsia="Calibri" w:hAnsi="Calibri" w:cs="Calibri"/>
          <w:b/>
          <w:sz w:val="26"/>
          <w:szCs w:val="26"/>
          <w:lang w:eastAsia="en-US"/>
        </w:rPr>
        <w:t>0,4</w:t>
      </w:r>
      <w:r w:rsidR="00666967" w:rsidRPr="00666967">
        <w:rPr>
          <w:rFonts w:ascii="Calibri" w:eastAsia="Calibri" w:hAnsi="Calibri" w:cs="Calibri"/>
          <w:b/>
          <w:sz w:val="26"/>
          <w:szCs w:val="26"/>
          <w:lang w:eastAsia="en-US"/>
        </w:rPr>
        <w:t> </w:t>
      </w:r>
      <w:r w:rsidRPr="00666967">
        <w:rPr>
          <w:rFonts w:ascii="Calibri" w:eastAsia="Calibri" w:hAnsi="Calibri" w:cs="Calibri"/>
          <w:b/>
          <w:sz w:val="26"/>
          <w:szCs w:val="26"/>
          <w:lang w:eastAsia="en-US"/>
        </w:rPr>
        <w:t>mld</w:t>
      </w:r>
      <w:r w:rsidR="00666967" w:rsidRPr="00666967">
        <w:rPr>
          <w:rFonts w:ascii="Calibri" w:eastAsia="Calibri" w:hAnsi="Calibri" w:cs="Calibri"/>
          <w:b/>
          <w:sz w:val="26"/>
          <w:szCs w:val="26"/>
          <w:lang w:eastAsia="en-US"/>
        </w:rPr>
        <w:t>. </w:t>
      </w:r>
      <w:r w:rsidRPr="00666967">
        <w:rPr>
          <w:rFonts w:ascii="Calibri" w:eastAsia="Calibri" w:hAnsi="Calibri" w:cs="Calibri"/>
          <w:b/>
          <w:sz w:val="26"/>
          <w:szCs w:val="26"/>
          <w:lang w:eastAsia="en-US"/>
        </w:rPr>
        <w:t>Kč</w:t>
      </w:r>
      <w:r w:rsidRPr="00666967">
        <w:rPr>
          <w:rFonts w:ascii="Calibri" w:eastAsia="Calibri" w:hAnsi="Calibri" w:cs="Calibri"/>
          <w:sz w:val="26"/>
          <w:szCs w:val="26"/>
          <w:lang w:eastAsia="en-US"/>
        </w:rPr>
        <w:t>) – viz tabulky č. 8 a 18 v příloze. Vývoj výdajů na jednotlivé dávky ukazuje následující graf:</w:t>
      </w:r>
    </w:p>
    <w:p w14:paraId="6BC343DD" w14:textId="77777777" w:rsidR="0017713A" w:rsidRPr="0017713A" w:rsidRDefault="0017713A" w:rsidP="0017713A">
      <w:pPr>
        <w:spacing w:line="360" w:lineRule="auto"/>
        <w:jc w:val="both"/>
        <w:rPr>
          <w:rFonts w:ascii="Calibri" w:eastAsia="Calibri" w:hAnsi="Calibri" w:cs="Calibri"/>
          <w:color w:val="0070C0"/>
          <w:sz w:val="26"/>
          <w:szCs w:val="26"/>
          <w:lang w:eastAsia="en-US"/>
        </w:rPr>
      </w:pPr>
      <w:r w:rsidRPr="0017713A">
        <w:rPr>
          <w:rFonts w:ascii="Calibri" w:eastAsia="Calibri" w:hAnsi="Calibri"/>
          <w:noProof/>
          <w:sz w:val="22"/>
          <w:szCs w:val="22"/>
        </w:rPr>
        <w:drawing>
          <wp:inline distT="0" distB="0" distL="0" distR="0" wp14:anchorId="10C50720" wp14:editId="71AF0574">
            <wp:extent cx="5760720" cy="3621634"/>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3621634"/>
                    </a:xfrm>
                    <a:prstGeom prst="rect">
                      <a:avLst/>
                    </a:prstGeom>
                    <a:noFill/>
                  </pic:spPr>
                </pic:pic>
              </a:graphicData>
            </a:graphic>
          </wp:inline>
        </w:drawing>
      </w:r>
    </w:p>
    <w:p w14:paraId="3D0F56C4" w14:textId="77777777" w:rsidR="0017713A" w:rsidRPr="0017713A" w:rsidRDefault="0017713A" w:rsidP="00970B2A">
      <w:pPr>
        <w:spacing w:after="480" w:line="360" w:lineRule="auto"/>
        <w:jc w:val="both"/>
        <w:rPr>
          <w:rFonts w:ascii="Calibri" w:eastAsia="Calibri" w:hAnsi="Calibri" w:cs="Calibri"/>
          <w:sz w:val="22"/>
          <w:szCs w:val="22"/>
          <w:lang w:eastAsia="en-US"/>
        </w:rPr>
      </w:pPr>
      <w:r w:rsidRPr="0017713A">
        <w:rPr>
          <w:rFonts w:ascii="Calibri" w:eastAsia="Calibri" w:hAnsi="Calibri" w:cs="Calibri"/>
          <w:sz w:val="22"/>
          <w:szCs w:val="22"/>
          <w:lang w:eastAsia="en-US"/>
        </w:rPr>
        <w:t>Zpracováno z dat MPSV</w:t>
      </w:r>
    </w:p>
    <w:p w14:paraId="1080832F" w14:textId="49C9CBE3" w:rsidR="0017713A" w:rsidRPr="00666967" w:rsidRDefault="0017713A" w:rsidP="00666967">
      <w:pPr>
        <w:spacing w:before="360" w:after="160" w:line="360" w:lineRule="auto"/>
        <w:jc w:val="both"/>
        <w:rPr>
          <w:rFonts w:ascii="Calibri" w:eastAsia="Calibri" w:hAnsi="Calibri" w:cs="Calibri"/>
          <w:sz w:val="26"/>
          <w:szCs w:val="26"/>
          <w:lang w:eastAsia="en-US"/>
        </w:rPr>
      </w:pPr>
      <w:r w:rsidRPr="00666967">
        <w:rPr>
          <w:rFonts w:ascii="Calibri" w:eastAsia="Calibri" w:hAnsi="Calibri" w:cs="Calibri"/>
          <w:sz w:val="26"/>
          <w:szCs w:val="26"/>
          <w:lang w:eastAsia="en-US"/>
        </w:rPr>
        <w:tab/>
        <w:t xml:space="preserve">Výdaje na </w:t>
      </w:r>
      <w:r w:rsidRPr="00666967">
        <w:rPr>
          <w:rFonts w:ascii="Calibri" w:eastAsia="Calibri" w:hAnsi="Calibri" w:cs="Calibri"/>
          <w:b/>
          <w:sz w:val="26"/>
          <w:szCs w:val="26"/>
          <w:lang w:eastAsia="en-US"/>
        </w:rPr>
        <w:t>příspěvek na živobytí</w:t>
      </w:r>
      <w:r w:rsidRPr="00666967">
        <w:rPr>
          <w:rFonts w:ascii="Calibri" w:eastAsia="Calibri" w:hAnsi="Calibri" w:cs="Calibri"/>
          <w:sz w:val="26"/>
          <w:szCs w:val="26"/>
          <w:lang w:eastAsia="en-US"/>
        </w:rPr>
        <w:t xml:space="preserve"> (jejichž podíl činil ve sledovaném období 64,1 % z úhrnného objemu prostředků na dávky pomoci v hmotné nouzi) vzrostly na </w:t>
      </w:r>
      <w:r w:rsidRPr="00666967">
        <w:rPr>
          <w:rFonts w:ascii="Calibri" w:eastAsia="Calibri" w:hAnsi="Calibri" w:cs="Calibri"/>
          <w:b/>
          <w:sz w:val="26"/>
          <w:szCs w:val="26"/>
          <w:lang w:eastAsia="en-US"/>
        </w:rPr>
        <w:t>3,1 mld. Kč</w:t>
      </w:r>
      <w:r w:rsidRPr="00666967">
        <w:rPr>
          <w:rFonts w:ascii="Calibri" w:eastAsia="Calibri" w:hAnsi="Calibri" w:cs="Calibri"/>
          <w:sz w:val="26"/>
          <w:szCs w:val="26"/>
          <w:lang w:eastAsia="en-US"/>
        </w:rPr>
        <w:t xml:space="preserve"> a </w:t>
      </w:r>
      <w:r w:rsidRPr="00666967">
        <w:rPr>
          <w:rFonts w:ascii="Calibri" w:eastAsia="Calibri" w:hAnsi="Calibri" w:cs="Calibri"/>
          <w:b/>
          <w:sz w:val="26"/>
          <w:szCs w:val="26"/>
          <w:lang w:eastAsia="en-US"/>
        </w:rPr>
        <w:t>byly</w:t>
      </w:r>
      <w:r w:rsidRPr="00666967">
        <w:rPr>
          <w:rFonts w:ascii="Calibri" w:eastAsia="Calibri" w:hAnsi="Calibri" w:cs="Calibri"/>
          <w:sz w:val="26"/>
          <w:szCs w:val="26"/>
          <w:lang w:eastAsia="en-US"/>
        </w:rPr>
        <w:t xml:space="preserve"> oproti skutečnosti předchozího roku </w:t>
      </w:r>
      <w:r w:rsidRPr="00666967">
        <w:rPr>
          <w:rFonts w:ascii="Calibri" w:eastAsia="Calibri" w:hAnsi="Calibri" w:cs="Calibri"/>
          <w:b/>
          <w:sz w:val="26"/>
          <w:szCs w:val="26"/>
          <w:lang w:eastAsia="en-US"/>
        </w:rPr>
        <w:t>o</w:t>
      </w:r>
      <w:r w:rsidR="00A2053F">
        <w:rPr>
          <w:rFonts w:ascii="Calibri" w:eastAsia="Calibri" w:hAnsi="Calibri" w:cs="Calibri"/>
          <w:b/>
          <w:sz w:val="26"/>
          <w:szCs w:val="26"/>
          <w:lang w:eastAsia="en-US"/>
        </w:rPr>
        <w:t> </w:t>
      </w:r>
      <w:r w:rsidRPr="00666967">
        <w:rPr>
          <w:rFonts w:ascii="Calibri" w:eastAsia="Calibri" w:hAnsi="Calibri" w:cs="Calibri"/>
          <w:b/>
          <w:sz w:val="26"/>
          <w:szCs w:val="26"/>
          <w:lang w:eastAsia="en-US"/>
        </w:rPr>
        <w:t>0,3</w:t>
      </w:r>
      <w:r w:rsidR="00A2053F">
        <w:rPr>
          <w:rFonts w:ascii="Calibri" w:eastAsia="Calibri" w:hAnsi="Calibri" w:cs="Calibri"/>
          <w:b/>
          <w:sz w:val="26"/>
          <w:szCs w:val="26"/>
          <w:lang w:eastAsia="en-US"/>
        </w:rPr>
        <w:t> </w:t>
      </w:r>
      <w:r w:rsidRPr="00666967">
        <w:rPr>
          <w:rFonts w:ascii="Calibri" w:eastAsia="Calibri" w:hAnsi="Calibri" w:cs="Calibri"/>
          <w:b/>
          <w:sz w:val="26"/>
          <w:szCs w:val="26"/>
          <w:lang w:eastAsia="en-US"/>
        </w:rPr>
        <w:t>mld.</w:t>
      </w:r>
      <w:r w:rsidR="00A2053F">
        <w:rPr>
          <w:rFonts w:ascii="Calibri" w:eastAsia="Calibri" w:hAnsi="Calibri" w:cs="Calibri"/>
          <w:b/>
          <w:sz w:val="26"/>
          <w:szCs w:val="26"/>
          <w:lang w:eastAsia="en-US"/>
        </w:rPr>
        <w:t> </w:t>
      </w:r>
      <w:r w:rsidRPr="00666967">
        <w:rPr>
          <w:rFonts w:ascii="Calibri" w:eastAsia="Calibri" w:hAnsi="Calibri" w:cs="Calibri"/>
          <w:b/>
          <w:sz w:val="26"/>
          <w:szCs w:val="26"/>
          <w:lang w:eastAsia="en-US"/>
        </w:rPr>
        <w:t>Kč</w:t>
      </w:r>
      <w:r w:rsidRPr="00666967">
        <w:rPr>
          <w:rFonts w:ascii="Calibri" w:eastAsia="Calibri" w:hAnsi="Calibri" w:cs="Calibri"/>
          <w:sz w:val="26"/>
          <w:szCs w:val="26"/>
          <w:lang w:eastAsia="en-US"/>
        </w:rPr>
        <w:t xml:space="preserve"> (</w:t>
      </w:r>
      <w:r w:rsidRPr="00666967">
        <w:rPr>
          <w:rFonts w:ascii="Calibri" w:eastAsia="Calibri" w:hAnsi="Calibri" w:cs="Calibri"/>
          <w:b/>
          <w:sz w:val="26"/>
          <w:szCs w:val="26"/>
          <w:lang w:eastAsia="en-US"/>
        </w:rPr>
        <w:t>o</w:t>
      </w:r>
      <w:r w:rsidR="00A2053F">
        <w:rPr>
          <w:rFonts w:ascii="Calibri" w:eastAsia="Calibri" w:hAnsi="Calibri" w:cs="Calibri"/>
          <w:b/>
          <w:sz w:val="26"/>
          <w:szCs w:val="26"/>
          <w:lang w:eastAsia="en-US"/>
        </w:rPr>
        <w:t> </w:t>
      </w:r>
      <w:r w:rsidRPr="00666967">
        <w:rPr>
          <w:rFonts w:ascii="Calibri" w:eastAsia="Calibri" w:hAnsi="Calibri" w:cs="Calibri"/>
          <w:b/>
          <w:sz w:val="26"/>
          <w:szCs w:val="26"/>
          <w:lang w:eastAsia="en-US"/>
        </w:rPr>
        <w:t>11,6</w:t>
      </w:r>
      <w:r w:rsidR="00A2053F">
        <w:rPr>
          <w:rFonts w:ascii="Calibri" w:eastAsia="Calibri" w:hAnsi="Calibri" w:cs="Calibri"/>
          <w:b/>
          <w:sz w:val="26"/>
          <w:szCs w:val="26"/>
          <w:lang w:eastAsia="en-US"/>
        </w:rPr>
        <w:t> </w:t>
      </w:r>
      <w:r w:rsidRPr="00666967">
        <w:rPr>
          <w:rFonts w:ascii="Calibri" w:eastAsia="Calibri" w:hAnsi="Calibri" w:cs="Calibri"/>
          <w:b/>
          <w:sz w:val="26"/>
          <w:szCs w:val="26"/>
          <w:lang w:eastAsia="en-US"/>
        </w:rPr>
        <w:t>%</w:t>
      </w:r>
      <w:r w:rsidRPr="00666967">
        <w:rPr>
          <w:rFonts w:ascii="Calibri" w:eastAsia="Calibri" w:hAnsi="Calibri" w:cs="Calibri"/>
          <w:sz w:val="26"/>
          <w:szCs w:val="26"/>
          <w:lang w:eastAsia="en-US"/>
        </w:rPr>
        <w:t xml:space="preserve">) </w:t>
      </w:r>
      <w:r w:rsidRPr="00666967">
        <w:rPr>
          <w:rFonts w:ascii="Calibri" w:eastAsia="Calibri" w:hAnsi="Calibri" w:cs="Calibri"/>
          <w:b/>
          <w:sz w:val="26"/>
          <w:szCs w:val="26"/>
          <w:lang w:eastAsia="en-US"/>
        </w:rPr>
        <w:t>vyšší</w:t>
      </w:r>
      <w:r w:rsidRPr="00666967">
        <w:rPr>
          <w:rFonts w:ascii="Calibri" w:eastAsia="Calibri" w:hAnsi="Calibri" w:cs="Calibri"/>
          <w:sz w:val="26"/>
          <w:szCs w:val="26"/>
          <w:lang w:eastAsia="en-US"/>
        </w:rPr>
        <w:t xml:space="preserve">. Meziročně se zvýšily ve všech krajích – viz tabulku č. 19 v příloze. </w:t>
      </w:r>
      <w:r w:rsidRPr="00666967">
        <w:rPr>
          <w:rFonts w:ascii="Calibri" w:eastAsia="Calibri" w:hAnsi="Calibri" w:cs="Calibri"/>
          <w:b/>
          <w:sz w:val="26"/>
          <w:szCs w:val="26"/>
          <w:lang w:eastAsia="en-US"/>
        </w:rPr>
        <w:t>Průměrný měsíční počet dávek</w:t>
      </w:r>
      <w:r w:rsidRPr="00666967">
        <w:rPr>
          <w:rFonts w:ascii="Calibri" w:eastAsia="Calibri" w:hAnsi="Calibri" w:cs="Calibri"/>
          <w:sz w:val="26"/>
          <w:szCs w:val="26"/>
          <w:lang w:eastAsia="en-US"/>
        </w:rPr>
        <w:t xml:space="preserve"> se snížil o 1,5</w:t>
      </w:r>
      <w:r w:rsidR="00A2053F">
        <w:rPr>
          <w:rFonts w:ascii="Calibri" w:eastAsia="Calibri" w:hAnsi="Calibri" w:cs="Calibri"/>
          <w:sz w:val="26"/>
          <w:szCs w:val="26"/>
          <w:lang w:eastAsia="en-US"/>
        </w:rPr>
        <w:t> </w:t>
      </w:r>
      <w:r w:rsidRPr="00666967">
        <w:rPr>
          <w:rFonts w:ascii="Calibri" w:eastAsia="Calibri" w:hAnsi="Calibri" w:cs="Calibri"/>
          <w:sz w:val="26"/>
          <w:szCs w:val="26"/>
          <w:lang w:eastAsia="en-US"/>
        </w:rPr>
        <w:t>tis. (o</w:t>
      </w:r>
      <w:r w:rsidR="00A2053F">
        <w:rPr>
          <w:rFonts w:ascii="Calibri" w:eastAsia="Calibri" w:hAnsi="Calibri" w:cs="Calibri"/>
          <w:sz w:val="26"/>
          <w:szCs w:val="26"/>
          <w:lang w:eastAsia="en-US"/>
        </w:rPr>
        <w:t> </w:t>
      </w:r>
      <w:r w:rsidRPr="00666967">
        <w:rPr>
          <w:rFonts w:ascii="Calibri" w:eastAsia="Calibri" w:hAnsi="Calibri" w:cs="Calibri"/>
          <w:sz w:val="26"/>
          <w:szCs w:val="26"/>
          <w:lang w:eastAsia="en-US"/>
        </w:rPr>
        <w:t>2,4</w:t>
      </w:r>
      <w:r w:rsidR="00A2053F">
        <w:rPr>
          <w:rFonts w:ascii="Calibri" w:eastAsia="Calibri" w:hAnsi="Calibri" w:cs="Calibri"/>
          <w:sz w:val="26"/>
          <w:szCs w:val="26"/>
          <w:lang w:eastAsia="en-US"/>
        </w:rPr>
        <w:t> </w:t>
      </w:r>
      <w:r w:rsidRPr="00666967">
        <w:rPr>
          <w:rFonts w:ascii="Calibri" w:eastAsia="Calibri" w:hAnsi="Calibri" w:cs="Calibri"/>
          <w:sz w:val="26"/>
          <w:szCs w:val="26"/>
          <w:lang w:eastAsia="en-US"/>
        </w:rPr>
        <w:t xml:space="preserve">%) na </w:t>
      </w:r>
      <w:r w:rsidRPr="00666967">
        <w:rPr>
          <w:rFonts w:ascii="Calibri" w:eastAsia="Calibri" w:hAnsi="Calibri" w:cs="Calibri"/>
          <w:b/>
          <w:sz w:val="26"/>
          <w:szCs w:val="26"/>
          <w:lang w:eastAsia="en-US"/>
        </w:rPr>
        <w:t>61,6</w:t>
      </w:r>
      <w:r w:rsidR="00A2053F">
        <w:rPr>
          <w:rFonts w:ascii="Calibri" w:eastAsia="Calibri" w:hAnsi="Calibri" w:cs="Calibri"/>
          <w:b/>
          <w:sz w:val="26"/>
          <w:szCs w:val="26"/>
          <w:lang w:eastAsia="en-US"/>
        </w:rPr>
        <w:t> </w:t>
      </w:r>
      <w:r w:rsidRPr="00666967">
        <w:rPr>
          <w:rFonts w:ascii="Calibri" w:eastAsia="Calibri" w:hAnsi="Calibri" w:cs="Calibri"/>
          <w:b/>
          <w:sz w:val="26"/>
          <w:szCs w:val="26"/>
          <w:lang w:eastAsia="en-US"/>
        </w:rPr>
        <w:t>tis.</w:t>
      </w:r>
      <w:r w:rsidRPr="00666967">
        <w:rPr>
          <w:rFonts w:ascii="Calibri" w:eastAsia="Calibri" w:hAnsi="Calibri" w:cs="Calibri"/>
          <w:sz w:val="26"/>
          <w:szCs w:val="26"/>
          <w:lang w:eastAsia="en-US"/>
        </w:rPr>
        <w:t xml:space="preserve"> – viz tabulku č.</w:t>
      </w:r>
      <w:r w:rsidR="00A2053F">
        <w:rPr>
          <w:rFonts w:ascii="Calibri" w:eastAsia="Calibri" w:hAnsi="Calibri" w:cs="Calibri"/>
          <w:sz w:val="26"/>
          <w:szCs w:val="26"/>
          <w:lang w:eastAsia="en-US"/>
        </w:rPr>
        <w:t> </w:t>
      </w:r>
      <w:r w:rsidRPr="00666967">
        <w:rPr>
          <w:rFonts w:ascii="Calibri" w:eastAsia="Calibri" w:hAnsi="Calibri" w:cs="Calibri"/>
          <w:sz w:val="26"/>
          <w:szCs w:val="26"/>
          <w:lang w:eastAsia="en-US"/>
        </w:rPr>
        <w:t>20 v příloze. Zhruba 49,2</w:t>
      </w:r>
      <w:r w:rsidR="00A2053F">
        <w:rPr>
          <w:rFonts w:ascii="Calibri" w:eastAsia="Calibri" w:hAnsi="Calibri" w:cs="Calibri"/>
          <w:sz w:val="26"/>
          <w:szCs w:val="26"/>
          <w:lang w:eastAsia="en-US"/>
        </w:rPr>
        <w:t> </w:t>
      </w:r>
      <w:r w:rsidRPr="00666967">
        <w:rPr>
          <w:rFonts w:ascii="Calibri" w:eastAsia="Calibri" w:hAnsi="Calibri" w:cs="Calibri"/>
          <w:sz w:val="26"/>
          <w:szCs w:val="26"/>
          <w:lang w:eastAsia="en-US"/>
        </w:rPr>
        <w:t>% (o 3,5</w:t>
      </w:r>
      <w:r w:rsidR="00A2053F">
        <w:rPr>
          <w:rFonts w:ascii="Calibri" w:eastAsia="Calibri" w:hAnsi="Calibri" w:cs="Calibri"/>
          <w:sz w:val="26"/>
          <w:szCs w:val="26"/>
          <w:lang w:eastAsia="en-US"/>
        </w:rPr>
        <w:t> </w:t>
      </w:r>
      <w:r w:rsidRPr="00666967">
        <w:rPr>
          <w:rFonts w:ascii="Calibri" w:eastAsia="Calibri" w:hAnsi="Calibri" w:cs="Calibri"/>
          <w:sz w:val="26"/>
          <w:szCs w:val="26"/>
          <w:lang w:eastAsia="en-US"/>
        </w:rPr>
        <w:t>p.</w:t>
      </w:r>
      <w:r w:rsidR="00A2053F">
        <w:rPr>
          <w:rFonts w:ascii="Calibri" w:eastAsia="Calibri" w:hAnsi="Calibri" w:cs="Calibri"/>
          <w:sz w:val="26"/>
          <w:szCs w:val="26"/>
          <w:lang w:eastAsia="en-US"/>
        </w:rPr>
        <w:t> </w:t>
      </w:r>
      <w:r w:rsidRPr="00666967">
        <w:rPr>
          <w:rFonts w:ascii="Calibri" w:eastAsia="Calibri" w:hAnsi="Calibri" w:cs="Calibri"/>
          <w:sz w:val="26"/>
          <w:szCs w:val="26"/>
          <w:lang w:eastAsia="en-US"/>
        </w:rPr>
        <w:t>b. více než v roce 2019) z celkového počtu dávek přiznaných za minulý rok připadlo na domácnosti jednotlivců, 12,1</w:t>
      </w:r>
      <w:r w:rsidR="00A2053F">
        <w:rPr>
          <w:rFonts w:ascii="Calibri" w:eastAsia="Calibri" w:hAnsi="Calibri" w:cs="Calibri"/>
          <w:sz w:val="26"/>
          <w:szCs w:val="26"/>
          <w:lang w:eastAsia="en-US"/>
        </w:rPr>
        <w:t> </w:t>
      </w:r>
      <w:r w:rsidRPr="00666967">
        <w:rPr>
          <w:rFonts w:ascii="Calibri" w:eastAsia="Calibri" w:hAnsi="Calibri" w:cs="Calibri"/>
          <w:sz w:val="26"/>
          <w:szCs w:val="26"/>
          <w:lang w:eastAsia="en-US"/>
        </w:rPr>
        <w:t>% (o</w:t>
      </w:r>
      <w:r w:rsidR="00A2053F">
        <w:rPr>
          <w:rFonts w:ascii="Calibri" w:eastAsia="Calibri" w:hAnsi="Calibri" w:cs="Calibri"/>
          <w:sz w:val="26"/>
          <w:szCs w:val="26"/>
          <w:lang w:eastAsia="en-US"/>
        </w:rPr>
        <w:t> </w:t>
      </w:r>
      <w:r w:rsidRPr="00666967">
        <w:rPr>
          <w:rFonts w:ascii="Calibri" w:eastAsia="Calibri" w:hAnsi="Calibri" w:cs="Calibri"/>
          <w:sz w:val="26"/>
          <w:szCs w:val="26"/>
          <w:lang w:eastAsia="en-US"/>
        </w:rPr>
        <w:t>0,6</w:t>
      </w:r>
      <w:r w:rsidR="00A2053F">
        <w:rPr>
          <w:rFonts w:ascii="Calibri" w:eastAsia="Calibri" w:hAnsi="Calibri" w:cs="Calibri"/>
          <w:sz w:val="26"/>
          <w:szCs w:val="26"/>
          <w:lang w:eastAsia="en-US"/>
        </w:rPr>
        <w:t> </w:t>
      </w:r>
      <w:r w:rsidRPr="00666967">
        <w:rPr>
          <w:rFonts w:ascii="Calibri" w:eastAsia="Calibri" w:hAnsi="Calibri" w:cs="Calibri"/>
          <w:sz w:val="26"/>
          <w:szCs w:val="26"/>
          <w:lang w:eastAsia="en-US"/>
        </w:rPr>
        <w:t>p.</w:t>
      </w:r>
      <w:r w:rsidR="00A2053F">
        <w:rPr>
          <w:rFonts w:ascii="Calibri" w:eastAsia="Calibri" w:hAnsi="Calibri" w:cs="Calibri"/>
          <w:sz w:val="26"/>
          <w:szCs w:val="26"/>
          <w:lang w:eastAsia="en-US"/>
        </w:rPr>
        <w:t> </w:t>
      </w:r>
      <w:r w:rsidRPr="00666967">
        <w:rPr>
          <w:rFonts w:ascii="Calibri" w:eastAsia="Calibri" w:hAnsi="Calibri" w:cs="Calibri"/>
          <w:sz w:val="26"/>
          <w:szCs w:val="26"/>
          <w:lang w:eastAsia="en-US"/>
        </w:rPr>
        <w:t>b. méně) na domácnosti s 5 a více členy. </w:t>
      </w:r>
      <w:r w:rsidRPr="00666967">
        <w:rPr>
          <w:rFonts w:ascii="Calibri" w:eastAsia="Calibri" w:hAnsi="Calibri" w:cs="Calibri"/>
          <w:b/>
          <w:bCs/>
          <w:sz w:val="26"/>
          <w:szCs w:val="26"/>
          <w:lang w:eastAsia="en-US"/>
        </w:rPr>
        <w:t>Průměrná výše</w:t>
      </w:r>
      <w:r w:rsidRPr="00666967">
        <w:rPr>
          <w:rFonts w:ascii="Calibri" w:eastAsia="Calibri" w:hAnsi="Calibri" w:cs="Calibri"/>
          <w:sz w:val="26"/>
          <w:szCs w:val="26"/>
          <w:lang w:eastAsia="en-US"/>
        </w:rPr>
        <w:t> vyplacené dávky činila cca </w:t>
      </w:r>
      <w:r w:rsidRPr="00666967">
        <w:rPr>
          <w:rFonts w:ascii="Calibri" w:eastAsia="Calibri" w:hAnsi="Calibri" w:cs="Calibri"/>
          <w:b/>
          <w:bCs/>
          <w:sz w:val="26"/>
          <w:szCs w:val="26"/>
          <w:lang w:eastAsia="en-US"/>
        </w:rPr>
        <w:t>4</w:t>
      </w:r>
      <w:r w:rsidR="00A2053F">
        <w:rPr>
          <w:rFonts w:ascii="Calibri" w:eastAsia="Calibri" w:hAnsi="Calibri" w:cs="Calibri"/>
          <w:b/>
          <w:bCs/>
          <w:sz w:val="26"/>
          <w:szCs w:val="26"/>
          <w:lang w:eastAsia="en-US"/>
        </w:rPr>
        <w:t> </w:t>
      </w:r>
      <w:r w:rsidRPr="00666967">
        <w:rPr>
          <w:rFonts w:ascii="Calibri" w:eastAsia="Calibri" w:hAnsi="Calibri" w:cs="Calibri"/>
          <w:b/>
          <w:bCs/>
          <w:sz w:val="26"/>
          <w:szCs w:val="26"/>
          <w:lang w:eastAsia="en-US"/>
        </w:rPr>
        <w:t>188</w:t>
      </w:r>
      <w:r w:rsidR="00A2053F">
        <w:rPr>
          <w:rFonts w:ascii="Calibri" w:eastAsia="Calibri" w:hAnsi="Calibri" w:cs="Calibri"/>
          <w:b/>
          <w:bCs/>
          <w:sz w:val="26"/>
          <w:szCs w:val="26"/>
          <w:lang w:eastAsia="en-US"/>
        </w:rPr>
        <w:t> </w:t>
      </w:r>
      <w:r w:rsidRPr="00666967">
        <w:rPr>
          <w:rFonts w:ascii="Calibri" w:eastAsia="Calibri" w:hAnsi="Calibri" w:cs="Calibri"/>
          <w:b/>
          <w:bCs/>
          <w:sz w:val="26"/>
          <w:szCs w:val="26"/>
          <w:lang w:eastAsia="en-US"/>
        </w:rPr>
        <w:t>Kč</w:t>
      </w:r>
      <w:r w:rsidRPr="00666967">
        <w:rPr>
          <w:rFonts w:ascii="Calibri" w:eastAsia="Calibri" w:hAnsi="Calibri" w:cs="Calibri"/>
          <w:sz w:val="26"/>
          <w:szCs w:val="26"/>
          <w:lang w:eastAsia="en-US"/>
        </w:rPr>
        <w:t>.</w:t>
      </w:r>
    </w:p>
    <w:p w14:paraId="2D355DB8" w14:textId="3FE3C971" w:rsidR="0017713A" w:rsidRDefault="0017713A" w:rsidP="0017713A">
      <w:pPr>
        <w:spacing w:after="160" w:line="360" w:lineRule="auto"/>
        <w:jc w:val="both"/>
        <w:rPr>
          <w:rFonts w:ascii="Calibri" w:eastAsia="Calibri" w:hAnsi="Calibri" w:cs="Calibri"/>
          <w:sz w:val="26"/>
          <w:szCs w:val="26"/>
          <w:lang w:eastAsia="en-US"/>
        </w:rPr>
      </w:pPr>
      <w:r w:rsidRPr="00666967">
        <w:rPr>
          <w:rFonts w:ascii="Calibri" w:eastAsia="Calibri" w:hAnsi="Calibri" w:cs="Calibri"/>
          <w:sz w:val="26"/>
          <w:szCs w:val="26"/>
          <w:lang w:eastAsia="en-US"/>
        </w:rPr>
        <w:tab/>
        <w:t xml:space="preserve">Na </w:t>
      </w:r>
      <w:r w:rsidRPr="00666967">
        <w:rPr>
          <w:rFonts w:ascii="Calibri" w:eastAsia="Calibri" w:hAnsi="Calibri" w:cs="Calibri"/>
          <w:b/>
          <w:sz w:val="26"/>
          <w:szCs w:val="26"/>
          <w:lang w:eastAsia="en-US"/>
        </w:rPr>
        <w:t>doplatku na bydlení</w:t>
      </w:r>
      <w:r w:rsidRPr="00666967">
        <w:rPr>
          <w:rFonts w:ascii="Calibri" w:eastAsia="Calibri" w:hAnsi="Calibri" w:cs="Calibri"/>
          <w:sz w:val="26"/>
          <w:szCs w:val="26"/>
          <w:lang w:eastAsia="en-US"/>
        </w:rPr>
        <w:t>, který představoval 34,0</w:t>
      </w:r>
      <w:r w:rsidR="00A2053F">
        <w:rPr>
          <w:rFonts w:ascii="Calibri" w:eastAsia="Calibri" w:hAnsi="Calibri" w:cs="Calibri"/>
          <w:sz w:val="26"/>
          <w:szCs w:val="26"/>
          <w:lang w:eastAsia="en-US"/>
        </w:rPr>
        <w:t> </w:t>
      </w:r>
      <w:r w:rsidRPr="00666967">
        <w:rPr>
          <w:rFonts w:ascii="Calibri" w:eastAsia="Calibri" w:hAnsi="Calibri" w:cs="Calibri"/>
          <w:sz w:val="26"/>
          <w:szCs w:val="26"/>
          <w:lang w:eastAsia="en-US"/>
        </w:rPr>
        <w:t xml:space="preserve">% z úhrnu dávek pomoci </w:t>
      </w:r>
      <w:r w:rsidRPr="0017713A">
        <w:rPr>
          <w:rFonts w:ascii="Calibri" w:eastAsia="Calibri" w:hAnsi="Calibri" w:cs="Calibri"/>
          <w:sz w:val="26"/>
          <w:szCs w:val="26"/>
          <w:lang w:eastAsia="en-US"/>
        </w:rPr>
        <w:t xml:space="preserve">v hmotné nouzi, bylo vyplaceno </w:t>
      </w:r>
      <w:r w:rsidRPr="0017713A">
        <w:rPr>
          <w:rFonts w:ascii="Calibri" w:eastAsia="Calibri" w:hAnsi="Calibri" w:cs="Calibri"/>
          <w:b/>
          <w:sz w:val="26"/>
          <w:szCs w:val="26"/>
          <w:lang w:eastAsia="en-US"/>
        </w:rPr>
        <w:t>1,6</w:t>
      </w:r>
      <w:r w:rsidR="00A2053F">
        <w:rPr>
          <w:rFonts w:ascii="Calibri" w:eastAsia="Calibri" w:hAnsi="Calibri" w:cs="Calibri"/>
          <w:b/>
          <w:sz w:val="26"/>
          <w:szCs w:val="26"/>
          <w:lang w:eastAsia="en-US"/>
        </w:rPr>
        <w:t> </w:t>
      </w:r>
      <w:r w:rsidRPr="0017713A">
        <w:rPr>
          <w:rFonts w:ascii="Calibri" w:eastAsia="Calibri" w:hAnsi="Calibri" w:cs="Calibri"/>
          <w:b/>
          <w:sz w:val="26"/>
          <w:szCs w:val="26"/>
          <w:lang w:eastAsia="en-US"/>
        </w:rPr>
        <w:t>mld.</w:t>
      </w:r>
      <w:r w:rsidR="00A2053F">
        <w:rPr>
          <w:rFonts w:ascii="Calibri" w:eastAsia="Calibri" w:hAnsi="Calibri" w:cs="Calibri"/>
          <w:b/>
          <w:sz w:val="26"/>
          <w:szCs w:val="26"/>
          <w:lang w:eastAsia="en-US"/>
        </w:rPr>
        <w:t> </w:t>
      </w:r>
      <w:r w:rsidRPr="0017713A">
        <w:rPr>
          <w:rFonts w:ascii="Calibri" w:eastAsia="Calibri" w:hAnsi="Calibri" w:cs="Calibri"/>
          <w:b/>
          <w:sz w:val="26"/>
          <w:szCs w:val="26"/>
          <w:lang w:eastAsia="en-US"/>
        </w:rPr>
        <w:t>Kč</w:t>
      </w:r>
      <w:r w:rsidRPr="0017713A">
        <w:rPr>
          <w:rFonts w:ascii="Calibri" w:eastAsia="Calibri" w:hAnsi="Calibri" w:cs="Calibri"/>
          <w:sz w:val="26"/>
          <w:szCs w:val="26"/>
          <w:lang w:eastAsia="en-US"/>
        </w:rPr>
        <w:t xml:space="preserve"> (</w:t>
      </w:r>
      <w:r w:rsidRPr="0017713A">
        <w:rPr>
          <w:rFonts w:ascii="Calibri" w:eastAsia="Calibri" w:hAnsi="Calibri" w:cs="Calibri"/>
          <w:b/>
          <w:sz w:val="26"/>
          <w:szCs w:val="26"/>
          <w:lang w:eastAsia="en-US"/>
        </w:rPr>
        <w:t>o 21,9 mil.</w:t>
      </w:r>
      <w:r w:rsidR="00A2053F">
        <w:rPr>
          <w:rFonts w:ascii="Calibri" w:eastAsia="Calibri" w:hAnsi="Calibri" w:cs="Calibri"/>
          <w:b/>
          <w:sz w:val="26"/>
          <w:szCs w:val="26"/>
          <w:lang w:eastAsia="en-US"/>
        </w:rPr>
        <w:t> </w:t>
      </w:r>
      <w:r w:rsidRPr="0017713A">
        <w:rPr>
          <w:rFonts w:ascii="Calibri" w:eastAsia="Calibri" w:hAnsi="Calibri" w:cs="Calibri"/>
          <w:b/>
          <w:sz w:val="26"/>
          <w:szCs w:val="26"/>
          <w:lang w:eastAsia="en-US"/>
        </w:rPr>
        <w:t xml:space="preserve">Kč, </w:t>
      </w:r>
      <w:r w:rsidRPr="0017713A">
        <w:rPr>
          <w:rFonts w:ascii="Calibri" w:eastAsia="Calibri" w:hAnsi="Calibri" w:cs="Calibri"/>
          <w:sz w:val="26"/>
          <w:szCs w:val="26"/>
          <w:lang w:eastAsia="en-US"/>
        </w:rPr>
        <w:t xml:space="preserve">tj. </w:t>
      </w:r>
      <w:r w:rsidRPr="0017713A">
        <w:rPr>
          <w:rFonts w:ascii="Calibri" w:eastAsia="Calibri" w:hAnsi="Calibri" w:cs="Calibri"/>
          <w:b/>
          <w:sz w:val="26"/>
          <w:szCs w:val="26"/>
          <w:lang w:eastAsia="en-US"/>
        </w:rPr>
        <w:t>o</w:t>
      </w:r>
      <w:r w:rsidR="00A2053F">
        <w:rPr>
          <w:rFonts w:ascii="Calibri" w:eastAsia="Calibri" w:hAnsi="Calibri" w:cs="Calibri"/>
          <w:b/>
          <w:sz w:val="26"/>
          <w:szCs w:val="26"/>
          <w:lang w:eastAsia="en-US"/>
        </w:rPr>
        <w:t> </w:t>
      </w:r>
      <w:r w:rsidRPr="0017713A">
        <w:rPr>
          <w:rFonts w:ascii="Calibri" w:eastAsia="Calibri" w:hAnsi="Calibri" w:cs="Calibri"/>
          <w:b/>
          <w:sz w:val="26"/>
          <w:szCs w:val="26"/>
          <w:lang w:eastAsia="en-US"/>
        </w:rPr>
        <w:t>1,4</w:t>
      </w:r>
      <w:r w:rsidR="00A2053F">
        <w:rPr>
          <w:rFonts w:ascii="Calibri" w:eastAsia="Calibri" w:hAnsi="Calibri" w:cs="Calibri"/>
          <w:b/>
          <w:sz w:val="26"/>
          <w:szCs w:val="26"/>
          <w:lang w:eastAsia="en-US"/>
        </w:rPr>
        <w:t> </w:t>
      </w:r>
      <w:r w:rsidRPr="0017713A">
        <w:rPr>
          <w:rFonts w:ascii="Calibri" w:eastAsia="Calibri" w:hAnsi="Calibri" w:cs="Calibri"/>
          <w:b/>
          <w:sz w:val="26"/>
          <w:szCs w:val="26"/>
          <w:lang w:eastAsia="en-US"/>
        </w:rPr>
        <w:t>%</w:t>
      </w:r>
      <w:r w:rsidRPr="0017713A">
        <w:rPr>
          <w:rFonts w:ascii="Calibri" w:eastAsia="Calibri" w:hAnsi="Calibri" w:cs="Calibri"/>
          <w:sz w:val="26"/>
          <w:szCs w:val="26"/>
          <w:lang w:eastAsia="en-US"/>
        </w:rPr>
        <w:t xml:space="preserve"> </w:t>
      </w:r>
      <w:r w:rsidRPr="0017713A">
        <w:rPr>
          <w:rFonts w:ascii="Calibri" w:eastAsia="Calibri" w:hAnsi="Calibri" w:cs="Calibri"/>
          <w:b/>
          <w:sz w:val="26"/>
          <w:szCs w:val="26"/>
          <w:lang w:eastAsia="en-US"/>
        </w:rPr>
        <w:t>více</w:t>
      </w:r>
      <w:r w:rsidRPr="0017713A">
        <w:rPr>
          <w:rFonts w:ascii="Calibri" w:eastAsia="Calibri" w:hAnsi="Calibri" w:cs="Calibri"/>
          <w:sz w:val="26"/>
          <w:szCs w:val="26"/>
          <w:lang w:eastAsia="en-US"/>
        </w:rPr>
        <w:t xml:space="preserve"> než ve </w:t>
      </w:r>
      <w:r w:rsidRPr="0017713A">
        <w:rPr>
          <w:rFonts w:ascii="Calibri" w:eastAsia="Calibri" w:hAnsi="Calibri" w:cs="Calibri"/>
          <w:sz w:val="26"/>
          <w:szCs w:val="26"/>
          <w:lang w:eastAsia="en-US"/>
        </w:rPr>
        <w:lastRenderedPageBreak/>
        <w:t>stejném období roku 2019). K nejvyššímu nárůstu výdajů na tuto dávku došlo v Plzeňském kraji (o</w:t>
      </w:r>
      <w:r w:rsidR="00A2053F">
        <w:rPr>
          <w:rFonts w:ascii="Calibri" w:eastAsia="Calibri" w:hAnsi="Calibri" w:cs="Calibri"/>
          <w:sz w:val="26"/>
          <w:szCs w:val="26"/>
          <w:lang w:eastAsia="en-US"/>
        </w:rPr>
        <w:t> </w:t>
      </w:r>
      <w:r w:rsidRPr="0017713A">
        <w:rPr>
          <w:rFonts w:ascii="Calibri" w:eastAsia="Calibri" w:hAnsi="Calibri" w:cs="Calibri"/>
          <w:sz w:val="26"/>
          <w:szCs w:val="26"/>
          <w:lang w:eastAsia="en-US"/>
        </w:rPr>
        <w:t>21,1</w:t>
      </w:r>
      <w:r w:rsidR="00A2053F">
        <w:rPr>
          <w:rFonts w:ascii="Calibri" w:eastAsia="Calibri" w:hAnsi="Calibri" w:cs="Calibri"/>
          <w:sz w:val="26"/>
          <w:szCs w:val="26"/>
          <w:lang w:eastAsia="en-US"/>
        </w:rPr>
        <w:t> </w:t>
      </w:r>
      <w:r w:rsidRPr="0017713A">
        <w:rPr>
          <w:rFonts w:ascii="Calibri" w:eastAsia="Calibri" w:hAnsi="Calibri" w:cs="Calibri"/>
          <w:sz w:val="26"/>
          <w:szCs w:val="26"/>
          <w:lang w:eastAsia="en-US"/>
        </w:rPr>
        <w:t>%), naopak k nejvýraznějšímu poklesu v kraji Ústeckém (o 12,8</w:t>
      </w:r>
      <w:r w:rsidR="00A2053F">
        <w:rPr>
          <w:rFonts w:ascii="Calibri" w:eastAsia="Calibri" w:hAnsi="Calibri" w:cs="Calibri"/>
          <w:sz w:val="26"/>
          <w:szCs w:val="26"/>
          <w:lang w:eastAsia="en-US"/>
        </w:rPr>
        <w:t> </w:t>
      </w:r>
      <w:r w:rsidRPr="0017713A">
        <w:rPr>
          <w:rFonts w:ascii="Calibri" w:eastAsia="Calibri" w:hAnsi="Calibri" w:cs="Calibri"/>
          <w:sz w:val="26"/>
          <w:szCs w:val="26"/>
          <w:lang w:eastAsia="en-US"/>
        </w:rPr>
        <w:t xml:space="preserve">%). Došlo ke snížení počtu příjemců této dávky, ale zvýšení její průměrné výše. </w:t>
      </w:r>
      <w:r w:rsidRPr="0017713A">
        <w:rPr>
          <w:rFonts w:ascii="Calibri" w:eastAsia="Calibri" w:hAnsi="Calibri" w:cs="Calibri"/>
          <w:b/>
          <w:sz w:val="26"/>
          <w:szCs w:val="26"/>
          <w:lang w:eastAsia="en-US"/>
        </w:rPr>
        <w:t>V průměru</w:t>
      </w:r>
      <w:r w:rsidRPr="0017713A">
        <w:rPr>
          <w:rFonts w:ascii="Calibri" w:eastAsia="Calibri" w:hAnsi="Calibri" w:cs="Calibri"/>
          <w:sz w:val="26"/>
          <w:szCs w:val="26"/>
          <w:lang w:eastAsia="en-US"/>
        </w:rPr>
        <w:t xml:space="preserve"> bylo za leden až prosinec 2020 vyplaceno </w:t>
      </w:r>
      <w:r w:rsidRPr="0017713A">
        <w:rPr>
          <w:rFonts w:ascii="Calibri" w:eastAsia="Calibri" w:hAnsi="Calibri" w:cs="Calibri"/>
          <w:b/>
          <w:sz w:val="26"/>
          <w:szCs w:val="26"/>
          <w:lang w:eastAsia="en-US"/>
        </w:rPr>
        <w:t>32,8</w:t>
      </w:r>
      <w:r w:rsidR="00A2053F">
        <w:rPr>
          <w:rFonts w:ascii="Calibri" w:eastAsia="Calibri" w:hAnsi="Calibri" w:cs="Calibri"/>
          <w:b/>
          <w:sz w:val="26"/>
          <w:szCs w:val="26"/>
          <w:lang w:eastAsia="en-US"/>
        </w:rPr>
        <w:t> </w:t>
      </w:r>
      <w:r w:rsidRPr="0017713A">
        <w:rPr>
          <w:rFonts w:ascii="Calibri" w:eastAsia="Calibri" w:hAnsi="Calibri" w:cs="Calibri"/>
          <w:b/>
          <w:sz w:val="26"/>
          <w:szCs w:val="26"/>
          <w:lang w:eastAsia="en-US"/>
        </w:rPr>
        <w:t>tis. dávek</w:t>
      </w:r>
      <w:r w:rsidRPr="0017713A">
        <w:rPr>
          <w:rFonts w:ascii="Calibri" w:eastAsia="Calibri" w:hAnsi="Calibri" w:cs="Calibri"/>
          <w:sz w:val="26"/>
          <w:szCs w:val="26"/>
          <w:lang w:eastAsia="en-US"/>
        </w:rPr>
        <w:t xml:space="preserve">, tj. </w:t>
      </w:r>
      <w:r w:rsidRPr="00A2053F">
        <w:rPr>
          <w:rFonts w:eastAsia="Calibri"/>
        </w:rPr>
        <w:t>o</w:t>
      </w:r>
      <w:r w:rsidR="00CF4484">
        <w:rPr>
          <w:rFonts w:eastAsia="Calibri"/>
        </w:rPr>
        <w:t> </w:t>
      </w:r>
      <w:r w:rsidRPr="00A2053F">
        <w:rPr>
          <w:rFonts w:eastAsia="Calibri"/>
        </w:rPr>
        <w:t>1</w:t>
      </w:r>
      <w:r w:rsidRPr="0017713A">
        <w:rPr>
          <w:rFonts w:ascii="Calibri" w:eastAsia="Calibri" w:hAnsi="Calibri" w:cs="Calibri"/>
          <w:sz w:val="26"/>
          <w:szCs w:val="26"/>
          <w:lang w:eastAsia="en-US"/>
        </w:rPr>
        <w:t>,0</w:t>
      </w:r>
      <w:r w:rsidR="00A2053F">
        <w:rPr>
          <w:rFonts w:ascii="Calibri" w:eastAsia="Calibri" w:hAnsi="Calibri" w:cs="Calibri"/>
          <w:sz w:val="26"/>
          <w:szCs w:val="26"/>
          <w:lang w:eastAsia="en-US"/>
        </w:rPr>
        <w:t> </w:t>
      </w:r>
      <w:r w:rsidRPr="0017713A">
        <w:rPr>
          <w:rFonts w:ascii="Calibri" w:eastAsia="Calibri" w:hAnsi="Calibri" w:cs="Calibri"/>
          <w:sz w:val="26"/>
          <w:szCs w:val="26"/>
          <w:lang w:eastAsia="en-US"/>
        </w:rPr>
        <w:t>tis. (o 3,0 %) méně než za stejné období roku 2019 – viz tabulky č.</w:t>
      </w:r>
      <w:r w:rsidR="00A2053F">
        <w:rPr>
          <w:rFonts w:ascii="Calibri" w:eastAsia="Calibri" w:hAnsi="Calibri" w:cs="Calibri"/>
          <w:sz w:val="26"/>
          <w:szCs w:val="26"/>
          <w:lang w:eastAsia="en-US"/>
        </w:rPr>
        <w:t> </w:t>
      </w:r>
      <w:r w:rsidRPr="0017713A">
        <w:rPr>
          <w:rFonts w:ascii="Calibri" w:eastAsia="Calibri" w:hAnsi="Calibri" w:cs="Calibri"/>
          <w:sz w:val="26"/>
          <w:szCs w:val="26"/>
          <w:lang w:eastAsia="en-US"/>
        </w:rPr>
        <w:t>19 a 20 v příloze. Z hlediska struktury domácností bylo za minulý rok vyplaceno 50,0</w:t>
      </w:r>
      <w:r w:rsidR="00A2053F">
        <w:rPr>
          <w:rFonts w:ascii="Calibri" w:eastAsia="Calibri" w:hAnsi="Calibri" w:cs="Calibri"/>
          <w:sz w:val="26"/>
          <w:szCs w:val="26"/>
          <w:lang w:eastAsia="en-US"/>
        </w:rPr>
        <w:t> </w:t>
      </w:r>
      <w:r w:rsidRPr="0017713A">
        <w:rPr>
          <w:rFonts w:ascii="Calibri" w:eastAsia="Calibri" w:hAnsi="Calibri" w:cs="Calibri"/>
          <w:sz w:val="26"/>
          <w:szCs w:val="26"/>
          <w:lang w:eastAsia="en-US"/>
        </w:rPr>
        <w:t>% dávek domácnostem jednotlivců, domácnostem s 5 a více členy 10,8</w:t>
      </w:r>
      <w:r w:rsidR="00A2053F">
        <w:rPr>
          <w:rFonts w:ascii="Calibri" w:eastAsia="Calibri" w:hAnsi="Calibri" w:cs="Calibri"/>
          <w:sz w:val="26"/>
          <w:szCs w:val="26"/>
          <w:lang w:eastAsia="en-US"/>
        </w:rPr>
        <w:t> </w:t>
      </w:r>
      <w:r w:rsidRPr="0017713A">
        <w:rPr>
          <w:rFonts w:ascii="Calibri" w:eastAsia="Calibri" w:hAnsi="Calibri" w:cs="Calibri"/>
          <w:sz w:val="26"/>
          <w:szCs w:val="26"/>
          <w:lang w:eastAsia="en-US"/>
        </w:rPr>
        <w:t>% dávek. </w:t>
      </w:r>
      <w:r w:rsidRPr="0017713A">
        <w:rPr>
          <w:rFonts w:ascii="Calibri" w:eastAsia="Calibri" w:hAnsi="Calibri" w:cs="Calibri"/>
          <w:b/>
          <w:bCs/>
          <w:sz w:val="26"/>
          <w:szCs w:val="26"/>
          <w:lang w:eastAsia="en-US"/>
        </w:rPr>
        <w:t>Průměrná výše</w:t>
      </w:r>
      <w:r w:rsidRPr="0017713A">
        <w:rPr>
          <w:rFonts w:ascii="Calibri" w:eastAsia="Calibri" w:hAnsi="Calibri" w:cs="Calibri"/>
          <w:sz w:val="26"/>
          <w:szCs w:val="26"/>
          <w:lang w:eastAsia="en-US"/>
        </w:rPr>
        <w:t> dávky činila </w:t>
      </w:r>
      <w:r w:rsidRPr="0017713A">
        <w:rPr>
          <w:rFonts w:ascii="Calibri" w:eastAsia="Calibri" w:hAnsi="Calibri" w:cs="Calibri"/>
          <w:b/>
          <w:bCs/>
          <w:sz w:val="26"/>
          <w:szCs w:val="26"/>
          <w:lang w:eastAsia="en-US"/>
        </w:rPr>
        <w:t>4</w:t>
      </w:r>
      <w:r w:rsidR="00A2053F">
        <w:rPr>
          <w:rFonts w:ascii="Calibri" w:eastAsia="Calibri" w:hAnsi="Calibri" w:cs="Calibri"/>
          <w:b/>
          <w:bCs/>
          <w:sz w:val="26"/>
          <w:szCs w:val="26"/>
          <w:lang w:eastAsia="en-US"/>
        </w:rPr>
        <w:t> </w:t>
      </w:r>
      <w:r w:rsidRPr="0017713A">
        <w:rPr>
          <w:rFonts w:ascii="Calibri" w:eastAsia="Calibri" w:hAnsi="Calibri" w:cs="Calibri"/>
          <w:b/>
          <w:bCs/>
          <w:sz w:val="26"/>
          <w:szCs w:val="26"/>
          <w:lang w:eastAsia="en-US"/>
        </w:rPr>
        <w:t>127</w:t>
      </w:r>
      <w:r w:rsidR="00A2053F">
        <w:rPr>
          <w:rFonts w:ascii="Calibri" w:eastAsia="Calibri" w:hAnsi="Calibri" w:cs="Calibri"/>
          <w:b/>
          <w:bCs/>
          <w:sz w:val="26"/>
          <w:szCs w:val="26"/>
          <w:lang w:eastAsia="en-US"/>
        </w:rPr>
        <w:t> </w:t>
      </w:r>
      <w:r w:rsidRPr="0017713A">
        <w:rPr>
          <w:rFonts w:ascii="Calibri" w:eastAsia="Calibri" w:hAnsi="Calibri" w:cs="Calibri"/>
          <w:b/>
          <w:bCs/>
          <w:sz w:val="26"/>
          <w:szCs w:val="26"/>
          <w:lang w:eastAsia="en-US"/>
        </w:rPr>
        <w:t>Kč</w:t>
      </w:r>
      <w:r w:rsidRPr="0017713A">
        <w:rPr>
          <w:rFonts w:ascii="Calibri" w:eastAsia="Calibri" w:hAnsi="Calibri" w:cs="Calibri"/>
          <w:sz w:val="26"/>
          <w:szCs w:val="26"/>
          <w:lang w:eastAsia="en-US"/>
        </w:rPr>
        <w:t> (o</w:t>
      </w:r>
      <w:r w:rsidR="00A2053F">
        <w:rPr>
          <w:rFonts w:ascii="Calibri" w:eastAsia="Calibri" w:hAnsi="Calibri" w:cs="Calibri"/>
          <w:sz w:val="26"/>
          <w:szCs w:val="26"/>
          <w:lang w:eastAsia="en-US"/>
        </w:rPr>
        <w:t> </w:t>
      </w:r>
      <w:r w:rsidRPr="0017713A">
        <w:rPr>
          <w:rFonts w:ascii="Calibri" w:eastAsia="Calibri" w:hAnsi="Calibri" w:cs="Calibri"/>
          <w:sz w:val="26"/>
          <w:szCs w:val="26"/>
          <w:lang w:eastAsia="en-US"/>
        </w:rPr>
        <w:t>187</w:t>
      </w:r>
      <w:r w:rsidR="00A2053F">
        <w:rPr>
          <w:rFonts w:ascii="Calibri" w:eastAsia="Calibri" w:hAnsi="Calibri" w:cs="Calibri"/>
          <w:sz w:val="26"/>
          <w:szCs w:val="26"/>
          <w:lang w:eastAsia="en-US"/>
        </w:rPr>
        <w:t> </w:t>
      </w:r>
      <w:r w:rsidRPr="0017713A">
        <w:rPr>
          <w:rFonts w:ascii="Calibri" w:eastAsia="Calibri" w:hAnsi="Calibri" w:cs="Calibri"/>
          <w:sz w:val="26"/>
          <w:szCs w:val="26"/>
          <w:lang w:eastAsia="en-US"/>
        </w:rPr>
        <w:t>Kč meziročně více).</w:t>
      </w:r>
    </w:p>
    <w:p w14:paraId="735925CC" w14:textId="761BE15D" w:rsidR="0017713A" w:rsidRDefault="00A2053F" w:rsidP="00A2053F">
      <w:pPr>
        <w:spacing w:after="160" w:line="360" w:lineRule="auto"/>
        <w:jc w:val="both"/>
        <w:rPr>
          <w:rFonts w:ascii="Calibri" w:eastAsia="Calibri" w:hAnsi="Calibri" w:cs="Calibri"/>
          <w:sz w:val="26"/>
          <w:szCs w:val="26"/>
          <w:lang w:eastAsia="en-US"/>
        </w:rPr>
      </w:pPr>
      <w:r>
        <w:rPr>
          <w:rFonts w:ascii="Calibri" w:eastAsia="Calibri" w:hAnsi="Calibri" w:cs="Calibri"/>
          <w:sz w:val="26"/>
          <w:szCs w:val="26"/>
          <w:lang w:eastAsia="en-US"/>
        </w:rPr>
        <w:tab/>
      </w:r>
      <w:r w:rsidR="0017713A" w:rsidRPr="0017713A">
        <w:rPr>
          <w:rFonts w:ascii="Calibri" w:eastAsia="Calibri" w:hAnsi="Calibri" w:cs="Calibri"/>
          <w:sz w:val="26"/>
          <w:szCs w:val="26"/>
          <w:lang w:eastAsia="en-US"/>
        </w:rPr>
        <w:t xml:space="preserve">Také </w:t>
      </w:r>
      <w:r w:rsidR="0017713A" w:rsidRPr="0017713A">
        <w:rPr>
          <w:rFonts w:ascii="Calibri" w:eastAsia="Calibri" w:hAnsi="Calibri" w:cs="Calibri"/>
          <w:b/>
          <w:sz w:val="26"/>
          <w:szCs w:val="26"/>
          <w:lang w:eastAsia="en-US"/>
        </w:rPr>
        <w:t>výdaje na mimořádnou okamžitou pomoc</w:t>
      </w:r>
      <w:r w:rsidR="0017713A" w:rsidRPr="0017713A">
        <w:rPr>
          <w:rFonts w:ascii="Calibri" w:eastAsia="Calibri" w:hAnsi="Calibri" w:cs="Calibri"/>
          <w:sz w:val="26"/>
          <w:szCs w:val="26"/>
          <w:lang w:eastAsia="en-US"/>
        </w:rPr>
        <w:t xml:space="preserve"> se oproti roku 2019 </w:t>
      </w:r>
      <w:r w:rsidR="0017713A" w:rsidRPr="0017713A">
        <w:rPr>
          <w:rFonts w:ascii="Calibri" w:eastAsia="Calibri" w:hAnsi="Calibri" w:cs="Calibri"/>
          <w:b/>
          <w:sz w:val="26"/>
          <w:szCs w:val="26"/>
          <w:lang w:eastAsia="en-US"/>
        </w:rPr>
        <w:t>zvýšily</w:t>
      </w:r>
      <w:r w:rsidR="0017713A" w:rsidRPr="0017713A">
        <w:rPr>
          <w:rFonts w:ascii="Calibri" w:eastAsia="Calibri" w:hAnsi="Calibri" w:cs="Calibri"/>
          <w:sz w:val="26"/>
          <w:szCs w:val="26"/>
          <w:lang w:eastAsia="en-US"/>
        </w:rPr>
        <w:t xml:space="preserve">. Bylo na nich vyplaceno </w:t>
      </w:r>
      <w:r w:rsidR="0017713A" w:rsidRPr="0017713A">
        <w:rPr>
          <w:rFonts w:ascii="Calibri" w:eastAsia="Calibri" w:hAnsi="Calibri" w:cs="Calibri"/>
          <w:b/>
          <w:sz w:val="26"/>
          <w:szCs w:val="26"/>
          <w:lang w:eastAsia="en-US"/>
        </w:rPr>
        <w:t>89,4</w:t>
      </w:r>
      <w:r>
        <w:rPr>
          <w:rFonts w:ascii="Calibri" w:eastAsia="Calibri" w:hAnsi="Calibri" w:cs="Calibri"/>
          <w:b/>
          <w:sz w:val="26"/>
          <w:szCs w:val="26"/>
          <w:lang w:eastAsia="en-US"/>
        </w:rPr>
        <w:t> </w:t>
      </w:r>
      <w:r w:rsidR="0017713A" w:rsidRPr="0017713A">
        <w:rPr>
          <w:rFonts w:ascii="Calibri" w:eastAsia="Calibri" w:hAnsi="Calibri" w:cs="Calibri"/>
          <w:b/>
          <w:sz w:val="26"/>
          <w:szCs w:val="26"/>
          <w:lang w:eastAsia="en-US"/>
        </w:rPr>
        <w:t>mil.</w:t>
      </w:r>
      <w:r>
        <w:rPr>
          <w:rFonts w:ascii="Calibri" w:eastAsia="Calibri" w:hAnsi="Calibri" w:cs="Calibri"/>
          <w:b/>
          <w:sz w:val="26"/>
          <w:szCs w:val="26"/>
          <w:lang w:eastAsia="en-US"/>
        </w:rPr>
        <w:t> </w:t>
      </w:r>
      <w:r w:rsidR="0017713A" w:rsidRPr="0017713A">
        <w:rPr>
          <w:rFonts w:ascii="Calibri" w:eastAsia="Calibri" w:hAnsi="Calibri" w:cs="Calibri"/>
          <w:b/>
          <w:sz w:val="26"/>
          <w:szCs w:val="26"/>
          <w:lang w:eastAsia="en-US"/>
        </w:rPr>
        <w:t>Kč</w:t>
      </w:r>
      <w:r w:rsidR="0017713A" w:rsidRPr="0017713A">
        <w:rPr>
          <w:rFonts w:ascii="Calibri" w:eastAsia="Calibri" w:hAnsi="Calibri" w:cs="Calibri"/>
          <w:sz w:val="26"/>
          <w:szCs w:val="26"/>
          <w:lang w:eastAsia="en-US"/>
        </w:rPr>
        <w:t>, tj.</w:t>
      </w:r>
      <w:r>
        <w:rPr>
          <w:rFonts w:ascii="Calibri" w:eastAsia="Calibri" w:hAnsi="Calibri" w:cs="Calibri"/>
          <w:sz w:val="26"/>
          <w:szCs w:val="26"/>
          <w:lang w:eastAsia="en-US"/>
        </w:rPr>
        <w:t> </w:t>
      </w:r>
      <w:r w:rsidR="0017713A" w:rsidRPr="0017713A">
        <w:rPr>
          <w:rFonts w:ascii="Calibri" w:eastAsia="Calibri" w:hAnsi="Calibri" w:cs="Calibri"/>
          <w:b/>
          <w:sz w:val="26"/>
          <w:szCs w:val="26"/>
          <w:lang w:eastAsia="en-US"/>
        </w:rPr>
        <w:t>o</w:t>
      </w:r>
      <w:r>
        <w:rPr>
          <w:rFonts w:ascii="Calibri" w:eastAsia="Calibri" w:hAnsi="Calibri" w:cs="Calibri"/>
          <w:b/>
          <w:sz w:val="26"/>
          <w:szCs w:val="26"/>
          <w:lang w:eastAsia="en-US"/>
        </w:rPr>
        <w:t> </w:t>
      </w:r>
      <w:r w:rsidR="0017713A" w:rsidRPr="0017713A">
        <w:rPr>
          <w:rFonts w:ascii="Calibri" w:eastAsia="Calibri" w:hAnsi="Calibri" w:cs="Calibri"/>
          <w:b/>
          <w:sz w:val="26"/>
          <w:szCs w:val="26"/>
          <w:lang w:eastAsia="en-US"/>
        </w:rPr>
        <w:t>69,6</w:t>
      </w:r>
      <w:r>
        <w:rPr>
          <w:rFonts w:ascii="Calibri" w:eastAsia="Calibri" w:hAnsi="Calibri" w:cs="Calibri"/>
          <w:b/>
          <w:sz w:val="26"/>
          <w:szCs w:val="26"/>
          <w:lang w:eastAsia="en-US"/>
        </w:rPr>
        <w:t> </w:t>
      </w:r>
      <w:r w:rsidR="0017713A" w:rsidRPr="0017713A">
        <w:rPr>
          <w:rFonts w:ascii="Calibri" w:eastAsia="Calibri" w:hAnsi="Calibri" w:cs="Calibri"/>
          <w:b/>
          <w:sz w:val="26"/>
          <w:szCs w:val="26"/>
          <w:lang w:eastAsia="en-US"/>
        </w:rPr>
        <w:t>%</w:t>
      </w:r>
      <w:r w:rsidR="0017713A" w:rsidRPr="0017713A">
        <w:rPr>
          <w:rFonts w:ascii="Calibri" w:eastAsia="Calibri" w:hAnsi="Calibri" w:cs="Calibri"/>
          <w:sz w:val="26"/>
          <w:szCs w:val="26"/>
          <w:lang w:eastAsia="en-US"/>
        </w:rPr>
        <w:t xml:space="preserve"> (36,7</w:t>
      </w:r>
      <w:r>
        <w:rPr>
          <w:rFonts w:ascii="Calibri" w:eastAsia="Calibri" w:hAnsi="Calibri" w:cs="Calibri"/>
          <w:sz w:val="26"/>
          <w:szCs w:val="26"/>
          <w:lang w:eastAsia="en-US"/>
        </w:rPr>
        <w:t> </w:t>
      </w:r>
      <w:r w:rsidR="0017713A" w:rsidRPr="0017713A">
        <w:rPr>
          <w:rFonts w:ascii="Calibri" w:eastAsia="Calibri" w:hAnsi="Calibri" w:cs="Calibri"/>
          <w:sz w:val="26"/>
          <w:szCs w:val="26"/>
          <w:lang w:eastAsia="en-US"/>
        </w:rPr>
        <w:t>mil.</w:t>
      </w:r>
      <w:r>
        <w:rPr>
          <w:rFonts w:ascii="Calibri" w:eastAsia="Calibri" w:hAnsi="Calibri" w:cs="Calibri"/>
          <w:sz w:val="26"/>
          <w:szCs w:val="26"/>
          <w:lang w:eastAsia="en-US"/>
        </w:rPr>
        <w:t> </w:t>
      </w:r>
      <w:r w:rsidR="0017713A" w:rsidRPr="0017713A">
        <w:rPr>
          <w:rFonts w:ascii="Calibri" w:eastAsia="Calibri" w:hAnsi="Calibri" w:cs="Calibri"/>
          <w:sz w:val="26"/>
          <w:szCs w:val="26"/>
          <w:lang w:eastAsia="en-US"/>
        </w:rPr>
        <w:t>Kč) více – viz tabulku č. 18 v příloze.</w:t>
      </w:r>
    </w:p>
    <w:p w14:paraId="7C0EC0FF" w14:textId="77777777" w:rsidR="00A2053F" w:rsidRDefault="00A2053F" w:rsidP="00A2053F">
      <w:pPr>
        <w:spacing w:after="160" w:line="360" w:lineRule="auto"/>
        <w:jc w:val="both"/>
        <w:rPr>
          <w:rFonts w:ascii="Calibri" w:eastAsia="Calibri" w:hAnsi="Calibri" w:cs="Calibri"/>
          <w:sz w:val="26"/>
          <w:szCs w:val="26"/>
          <w:lang w:eastAsia="en-US"/>
        </w:rPr>
      </w:pPr>
    </w:p>
    <w:p w14:paraId="69C3359A" w14:textId="292C18D8" w:rsidR="0017713A" w:rsidRPr="00A2053F" w:rsidRDefault="00A2053F" w:rsidP="00A2053F">
      <w:pPr>
        <w:spacing w:after="160" w:line="360" w:lineRule="auto"/>
        <w:jc w:val="both"/>
        <w:rPr>
          <w:rFonts w:ascii="Calibri" w:eastAsia="Calibri" w:hAnsi="Calibri" w:cs="Calibri"/>
          <w:sz w:val="26"/>
          <w:szCs w:val="26"/>
          <w:lang w:eastAsia="en-US"/>
        </w:rPr>
      </w:pPr>
      <w:r>
        <w:rPr>
          <w:rFonts w:ascii="Calibri" w:eastAsia="Calibri" w:hAnsi="Calibri" w:cs="Calibri"/>
          <w:sz w:val="26"/>
          <w:szCs w:val="26"/>
          <w:lang w:eastAsia="en-US"/>
        </w:rPr>
        <w:tab/>
      </w:r>
      <w:r w:rsidR="0017713A" w:rsidRPr="00A2053F">
        <w:rPr>
          <w:rFonts w:ascii="Calibri" w:eastAsia="Calibri" w:hAnsi="Calibri" w:cs="Calibri"/>
          <w:b/>
          <w:sz w:val="26"/>
          <w:szCs w:val="26"/>
          <w:u w:val="single"/>
          <w:lang w:eastAsia="en-US"/>
        </w:rPr>
        <w:t>Dávky pro osoby se zdravotním postižením</w:t>
      </w:r>
      <w:r w:rsidR="0017713A" w:rsidRPr="00A2053F">
        <w:rPr>
          <w:rFonts w:ascii="Calibri" w:eastAsia="Calibri" w:hAnsi="Calibri" w:cs="Calibri"/>
          <w:sz w:val="26"/>
          <w:szCs w:val="26"/>
          <w:lang w:eastAsia="en-US"/>
        </w:rPr>
        <w:t xml:space="preserve"> se podílely na celkových sociálních příjmech domácností </w:t>
      </w:r>
      <w:r w:rsidR="0017713A" w:rsidRPr="0017713A">
        <w:rPr>
          <w:rFonts w:ascii="Calibri" w:eastAsia="Calibri" w:hAnsi="Calibri" w:cs="Calibri"/>
          <w:sz w:val="26"/>
          <w:szCs w:val="26"/>
          <w:lang w:eastAsia="en-US"/>
        </w:rPr>
        <w:t xml:space="preserve">pouze 0,4 %. Bylo na nich vyplaceno </w:t>
      </w:r>
      <w:r w:rsidR="0017713A" w:rsidRPr="0017713A">
        <w:rPr>
          <w:rFonts w:ascii="Calibri" w:eastAsia="Calibri" w:hAnsi="Calibri" w:cs="Calibri"/>
          <w:b/>
          <w:sz w:val="26"/>
          <w:szCs w:val="26"/>
          <w:lang w:eastAsia="en-US"/>
        </w:rPr>
        <w:t>2,6</w:t>
      </w:r>
      <w:r>
        <w:rPr>
          <w:rFonts w:ascii="Calibri" w:eastAsia="Calibri" w:hAnsi="Calibri" w:cs="Calibri"/>
          <w:b/>
          <w:sz w:val="26"/>
          <w:szCs w:val="26"/>
          <w:lang w:eastAsia="en-US"/>
        </w:rPr>
        <w:t> </w:t>
      </w:r>
      <w:r w:rsidR="0017713A" w:rsidRPr="0017713A">
        <w:rPr>
          <w:rFonts w:ascii="Calibri" w:eastAsia="Calibri" w:hAnsi="Calibri" w:cs="Calibri"/>
          <w:b/>
          <w:sz w:val="26"/>
          <w:szCs w:val="26"/>
          <w:lang w:eastAsia="en-US"/>
        </w:rPr>
        <w:t>mld.</w:t>
      </w:r>
      <w:r>
        <w:rPr>
          <w:rFonts w:ascii="Calibri" w:eastAsia="Calibri" w:hAnsi="Calibri" w:cs="Calibri"/>
          <w:b/>
          <w:sz w:val="26"/>
          <w:szCs w:val="26"/>
          <w:lang w:eastAsia="en-US"/>
        </w:rPr>
        <w:t> </w:t>
      </w:r>
      <w:r w:rsidR="0017713A" w:rsidRPr="0017713A">
        <w:rPr>
          <w:rFonts w:ascii="Calibri" w:eastAsia="Calibri" w:hAnsi="Calibri" w:cs="Calibri"/>
          <w:b/>
          <w:sz w:val="26"/>
          <w:szCs w:val="26"/>
          <w:lang w:eastAsia="en-US"/>
        </w:rPr>
        <w:t>Kč</w:t>
      </w:r>
      <w:r w:rsidR="0017713A" w:rsidRPr="0017713A">
        <w:rPr>
          <w:rFonts w:ascii="Calibri" w:eastAsia="Calibri" w:hAnsi="Calibri" w:cs="Calibri"/>
          <w:sz w:val="26"/>
          <w:szCs w:val="26"/>
          <w:lang w:eastAsia="en-US"/>
        </w:rPr>
        <w:t xml:space="preserve"> (</w:t>
      </w:r>
      <w:r w:rsidR="0017713A" w:rsidRPr="0017713A">
        <w:rPr>
          <w:rFonts w:ascii="Calibri" w:eastAsia="Calibri" w:hAnsi="Calibri" w:cs="Calibri"/>
          <w:b/>
          <w:sz w:val="26"/>
          <w:szCs w:val="26"/>
          <w:lang w:eastAsia="en-US"/>
        </w:rPr>
        <w:t>o</w:t>
      </w:r>
      <w:r>
        <w:rPr>
          <w:rFonts w:ascii="Calibri" w:eastAsia="Calibri" w:hAnsi="Calibri" w:cs="Calibri"/>
          <w:b/>
          <w:sz w:val="26"/>
          <w:szCs w:val="26"/>
          <w:lang w:eastAsia="en-US"/>
        </w:rPr>
        <w:t> </w:t>
      </w:r>
      <w:r w:rsidR="0017713A" w:rsidRPr="0017713A">
        <w:rPr>
          <w:rFonts w:ascii="Calibri" w:eastAsia="Calibri" w:hAnsi="Calibri" w:cs="Calibri"/>
          <w:b/>
          <w:sz w:val="26"/>
          <w:szCs w:val="26"/>
          <w:lang w:eastAsia="en-US"/>
        </w:rPr>
        <w:t>1,0</w:t>
      </w:r>
      <w:r>
        <w:rPr>
          <w:rFonts w:ascii="Calibri" w:eastAsia="Calibri" w:hAnsi="Calibri" w:cs="Calibri"/>
          <w:b/>
          <w:sz w:val="26"/>
          <w:szCs w:val="26"/>
          <w:lang w:eastAsia="en-US"/>
        </w:rPr>
        <w:t> </w:t>
      </w:r>
      <w:r w:rsidR="0017713A" w:rsidRPr="0017713A">
        <w:rPr>
          <w:rFonts w:ascii="Calibri" w:eastAsia="Calibri" w:hAnsi="Calibri" w:cs="Calibri"/>
          <w:b/>
          <w:sz w:val="26"/>
          <w:szCs w:val="26"/>
          <w:lang w:eastAsia="en-US"/>
        </w:rPr>
        <w:t>% méně</w:t>
      </w:r>
      <w:r w:rsidR="0017713A" w:rsidRPr="0017713A">
        <w:rPr>
          <w:rFonts w:ascii="Calibri" w:eastAsia="Calibri" w:hAnsi="Calibri" w:cs="Calibri"/>
          <w:sz w:val="26"/>
          <w:szCs w:val="26"/>
          <w:lang w:eastAsia="en-US"/>
        </w:rPr>
        <w:t xml:space="preserve"> než v roce 2019). V průběhu roku 2020 bylo vyplaceno 6,8 tis. </w:t>
      </w:r>
      <w:r w:rsidR="0017713A" w:rsidRPr="0017713A">
        <w:rPr>
          <w:rFonts w:ascii="Calibri" w:eastAsia="Calibri" w:hAnsi="Calibri" w:cs="Calibri"/>
          <w:b/>
          <w:bCs/>
          <w:sz w:val="26"/>
          <w:szCs w:val="26"/>
          <w:lang w:eastAsia="en-US"/>
        </w:rPr>
        <w:t>příspěvků na zvláštní pomůcku</w:t>
      </w:r>
      <w:r w:rsidR="0017713A" w:rsidRPr="0017713A">
        <w:rPr>
          <w:rFonts w:ascii="Calibri" w:eastAsia="Calibri" w:hAnsi="Calibri" w:cs="Calibri"/>
          <w:sz w:val="26"/>
          <w:szCs w:val="26"/>
          <w:lang w:eastAsia="en-US"/>
        </w:rPr>
        <w:t> (z hlediska typu pomůcky bylo nejvíce příspěvků vyplaceno na motorové vozidlo – 2,4 tis.) v úhrnné výši </w:t>
      </w:r>
      <w:r w:rsidR="0017713A" w:rsidRPr="0017713A">
        <w:rPr>
          <w:rFonts w:ascii="Calibri" w:eastAsia="Calibri" w:hAnsi="Calibri" w:cs="Calibri"/>
          <w:b/>
          <w:bCs/>
          <w:sz w:val="26"/>
          <w:szCs w:val="26"/>
          <w:lang w:eastAsia="en-US"/>
        </w:rPr>
        <w:t>0,9</w:t>
      </w:r>
      <w:r>
        <w:rPr>
          <w:rFonts w:ascii="Calibri" w:eastAsia="Calibri" w:hAnsi="Calibri" w:cs="Calibri"/>
          <w:b/>
          <w:bCs/>
          <w:sz w:val="26"/>
          <w:szCs w:val="26"/>
          <w:lang w:eastAsia="en-US"/>
        </w:rPr>
        <w:t> </w:t>
      </w:r>
      <w:r w:rsidR="0017713A" w:rsidRPr="0017713A">
        <w:rPr>
          <w:rFonts w:ascii="Calibri" w:eastAsia="Calibri" w:hAnsi="Calibri" w:cs="Calibri"/>
          <w:b/>
          <w:bCs/>
          <w:sz w:val="26"/>
          <w:szCs w:val="26"/>
          <w:lang w:eastAsia="en-US"/>
        </w:rPr>
        <w:t>mld.</w:t>
      </w:r>
      <w:r>
        <w:rPr>
          <w:rFonts w:ascii="Calibri" w:eastAsia="Calibri" w:hAnsi="Calibri" w:cs="Calibri"/>
          <w:b/>
          <w:bCs/>
          <w:sz w:val="26"/>
          <w:szCs w:val="26"/>
          <w:lang w:eastAsia="en-US"/>
        </w:rPr>
        <w:t> </w:t>
      </w:r>
      <w:r w:rsidR="0017713A" w:rsidRPr="0017713A">
        <w:rPr>
          <w:rFonts w:ascii="Calibri" w:eastAsia="Calibri" w:hAnsi="Calibri" w:cs="Calibri"/>
          <w:b/>
          <w:bCs/>
          <w:sz w:val="26"/>
          <w:szCs w:val="26"/>
          <w:lang w:eastAsia="en-US"/>
        </w:rPr>
        <w:t>Kč</w:t>
      </w:r>
      <w:r w:rsidR="0017713A" w:rsidRPr="0017713A">
        <w:rPr>
          <w:rFonts w:ascii="Calibri" w:eastAsia="Calibri" w:hAnsi="Calibri" w:cs="Calibri"/>
          <w:sz w:val="26"/>
          <w:szCs w:val="26"/>
          <w:lang w:eastAsia="en-US"/>
        </w:rPr>
        <w:t> (o</w:t>
      </w:r>
      <w:r>
        <w:rPr>
          <w:rFonts w:ascii="Calibri" w:eastAsia="Calibri" w:hAnsi="Calibri" w:cs="Calibri"/>
          <w:sz w:val="26"/>
          <w:szCs w:val="26"/>
          <w:lang w:eastAsia="en-US"/>
        </w:rPr>
        <w:t> </w:t>
      </w:r>
      <w:r w:rsidR="0017713A" w:rsidRPr="0017713A">
        <w:rPr>
          <w:rFonts w:ascii="Calibri" w:eastAsia="Calibri" w:hAnsi="Calibri" w:cs="Calibri"/>
          <w:sz w:val="26"/>
          <w:szCs w:val="26"/>
          <w:lang w:eastAsia="en-US"/>
        </w:rPr>
        <w:t>3,6</w:t>
      </w:r>
      <w:r>
        <w:rPr>
          <w:rFonts w:ascii="Calibri" w:eastAsia="Calibri" w:hAnsi="Calibri" w:cs="Calibri"/>
          <w:sz w:val="26"/>
          <w:szCs w:val="26"/>
          <w:lang w:eastAsia="en-US"/>
        </w:rPr>
        <w:t> </w:t>
      </w:r>
      <w:r w:rsidR="0017713A" w:rsidRPr="0017713A">
        <w:rPr>
          <w:rFonts w:ascii="Calibri" w:eastAsia="Calibri" w:hAnsi="Calibri" w:cs="Calibri"/>
          <w:sz w:val="26"/>
          <w:szCs w:val="26"/>
          <w:lang w:eastAsia="en-US"/>
        </w:rPr>
        <w:t>%</w:t>
      </w:r>
      <w:r>
        <w:rPr>
          <w:rFonts w:ascii="Calibri" w:eastAsia="Calibri" w:hAnsi="Calibri" w:cs="Calibri"/>
          <w:sz w:val="26"/>
          <w:szCs w:val="26"/>
          <w:lang w:eastAsia="en-US"/>
        </w:rPr>
        <w:t> </w:t>
      </w:r>
      <w:r w:rsidR="0017713A" w:rsidRPr="0017713A">
        <w:rPr>
          <w:rFonts w:ascii="Calibri" w:eastAsia="Calibri" w:hAnsi="Calibri" w:cs="Calibri"/>
          <w:sz w:val="26"/>
          <w:szCs w:val="26"/>
          <w:lang w:eastAsia="en-US"/>
        </w:rPr>
        <w:t>méně).</w:t>
      </w:r>
      <w:r>
        <w:rPr>
          <w:rFonts w:ascii="Calibri" w:eastAsia="Calibri" w:hAnsi="Calibri" w:cs="Calibri"/>
          <w:sz w:val="26"/>
          <w:szCs w:val="26"/>
          <w:lang w:eastAsia="en-US"/>
        </w:rPr>
        <w:t xml:space="preserve"> </w:t>
      </w:r>
      <w:r w:rsidR="0017713A" w:rsidRPr="0017713A">
        <w:rPr>
          <w:rFonts w:ascii="Calibri" w:eastAsia="Calibri" w:hAnsi="Calibri" w:cs="Calibri"/>
          <w:b/>
          <w:bCs/>
          <w:sz w:val="26"/>
          <w:szCs w:val="26"/>
          <w:lang w:eastAsia="en-US"/>
        </w:rPr>
        <w:t>Příspěvků na mobilitu</w:t>
      </w:r>
      <w:r>
        <w:rPr>
          <w:rFonts w:ascii="Calibri" w:eastAsia="Calibri" w:hAnsi="Calibri" w:cs="Calibri"/>
          <w:b/>
          <w:bCs/>
          <w:sz w:val="26"/>
          <w:szCs w:val="26"/>
          <w:lang w:eastAsia="en-US"/>
        </w:rPr>
        <w:t xml:space="preserve"> </w:t>
      </w:r>
      <w:r w:rsidR="0017713A" w:rsidRPr="0017713A">
        <w:rPr>
          <w:rFonts w:ascii="Calibri" w:eastAsia="Calibri" w:hAnsi="Calibri" w:cs="Calibri"/>
          <w:sz w:val="26"/>
          <w:szCs w:val="26"/>
          <w:lang w:eastAsia="en-US"/>
        </w:rPr>
        <w:t xml:space="preserve">bylo čerpáno v průměru měsíčně 263,1 tis. a bylo na ně </w:t>
      </w:r>
      <w:r w:rsidR="0017713A" w:rsidRPr="00A2053F">
        <w:rPr>
          <w:rFonts w:ascii="Calibri" w:eastAsia="Calibri" w:hAnsi="Calibri" w:cs="Calibri"/>
          <w:sz w:val="26"/>
          <w:szCs w:val="26"/>
          <w:lang w:eastAsia="en-US"/>
        </w:rPr>
        <w:t>vyplaceno za leden až prosinec 2020 celkem</w:t>
      </w:r>
      <w:r w:rsidRPr="00A2053F">
        <w:rPr>
          <w:rFonts w:ascii="Calibri" w:eastAsia="Calibri" w:hAnsi="Calibri" w:cs="Calibri"/>
          <w:sz w:val="26"/>
          <w:szCs w:val="26"/>
          <w:lang w:eastAsia="en-US"/>
        </w:rPr>
        <w:t xml:space="preserve"> </w:t>
      </w:r>
      <w:r w:rsidR="0017713A" w:rsidRPr="00A2053F">
        <w:rPr>
          <w:rFonts w:ascii="Calibri" w:eastAsia="Calibri" w:hAnsi="Calibri" w:cs="Calibri"/>
          <w:b/>
          <w:bCs/>
          <w:sz w:val="26"/>
          <w:szCs w:val="26"/>
          <w:lang w:eastAsia="en-US"/>
        </w:rPr>
        <w:t>1,7 mld. Kč</w:t>
      </w:r>
      <w:r w:rsidR="0017713A" w:rsidRPr="00A2053F">
        <w:rPr>
          <w:rFonts w:ascii="Calibri" w:eastAsia="Calibri" w:hAnsi="Calibri" w:cs="Calibri"/>
          <w:sz w:val="26"/>
          <w:szCs w:val="26"/>
          <w:lang w:eastAsia="en-US"/>
        </w:rPr>
        <w:t> (o 0,5 % více) – viz tabulku č. 21 v příloze.</w:t>
      </w:r>
    </w:p>
    <w:p w14:paraId="00EC54C7" w14:textId="77777777" w:rsidR="0017713A" w:rsidRPr="0017713A" w:rsidRDefault="0017713A" w:rsidP="0017713A">
      <w:pPr>
        <w:spacing w:line="360" w:lineRule="auto"/>
        <w:jc w:val="both"/>
        <w:rPr>
          <w:rFonts w:ascii="Calibri" w:eastAsia="Calibri" w:hAnsi="Calibri" w:cs="Calibri"/>
          <w:sz w:val="26"/>
          <w:szCs w:val="26"/>
          <w:lang w:eastAsia="en-US"/>
        </w:rPr>
      </w:pPr>
    </w:p>
    <w:p w14:paraId="62A8C664" w14:textId="77777777" w:rsidR="00F02B74" w:rsidRPr="005E50DE" w:rsidRDefault="00F02B74" w:rsidP="00F02B74">
      <w:r w:rsidRPr="005E50DE">
        <w:br w:type="page"/>
      </w:r>
    </w:p>
    <w:p w14:paraId="7FCFCA3C" w14:textId="5F8D6E06" w:rsidR="00025091" w:rsidRPr="00710980" w:rsidRDefault="00025091" w:rsidP="005A269D">
      <w:pPr>
        <w:spacing w:after="360" w:line="360" w:lineRule="auto"/>
        <w:jc w:val="both"/>
        <w:rPr>
          <w:rFonts w:asciiTheme="minorHAnsi" w:hAnsiTheme="minorHAnsi" w:cstheme="minorHAnsi"/>
          <w:b/>
          <w:bCs/>
          <w:i/>
          <w:iCs/>
          <w:smallCaps/>
          <w:color w:val="1F497D"/>
          <w:sz w:val="36"/>
          <w:szCs w:val="36"/>
        </w:rPr>
      </w:pPr>
      <w:r w:rsidRPr="00710980">
        <w:rPr>
          <w:rFonts w:asciiTheme="minorHAnsi" w:hAnsiTheme="minorHAnsi" w:cstheme="minorHAnsi"/>
          <w:b/>
          <w:bCs/>
          <w:i/>
          <w:iCs/>
          <w:smallCaps/>
          <w:color w:val="1F497D"/>
          <w:sz w:val="36"/>
          <w:szCs w:val="36"/>
        </w:rPr>
        <w:lastRenderedPageBreak/>
        <w:t>1. 4 Ostatní příjmy</w:t>
      </w:r>
    </w:p>
    <w:p w14:paraId="1D5F4C5D" w14:textId="6E251474" w:rsidR="007A5E1C" w:rsidRPr="007A5E1C" w:rsidRDefault="007A5E1C" w:rsidP="007A5E1C">
      <w:pPr>
        <w:spacing w:after="200" w:line="276" w:lineRule="auto"/>
        <w:jc w:val="both"/>
        <w:rPr>
          <w:rFonts w:asciiTheme="minorHAnsi" w:hAnsiTheme="minorHAnsi" w:cstheme="minorHAnsi"/>
          <w:b/>
          <w:bCs/>
          <w:sz w:val="26"/>
          <w:szCs w:val="26"/>
        </w:rPr>
      </w:pPr>
      <w:r w:rsidRPr="007A5E1C">
        <w:rPr>
          <w:rFonts w:asciiTheme="minorHAnsi" w:hAnsiTheme="minorHAnsi" w:cstheme="minorHAnsi"/>
          <w:bCs/>
          <w:sz w:val="26"/>
          <w:szCs w:val="26"/>
        </w:rPr>
        <w:tab/>
      </w:r>
      <w:r w:rsidRPr="007A5E1C">
        <w:rPr>
          <w:rFonts w:asciiTheme="minorHAnsi" w:hAnsiTheme="minorHAnsi" w:cstheme="minorHAnsi"/>
          <w:b/>
          <w:bCs/>
          <w:sz w:val="26"/>
          <w:szCs w:val="26"/>
        </w:rPr>
        <w:t xml:space="preserve">Podíl „ostatních“ příjmů </w:t>
      </w:r>
      <w:r w:rsidRPr="007A5E1C">
        <w:rPr>
          <w:rFonts w:asciiTheme="minorHAnsi" w:hAnsiTheme="minorHAnsi" w:cstheme="minorHAnsi"/>
          <w:bCs/>
          <w:sz w:val="26"/>
          <w:szCs w:val="26"/>
        </w:rPr>
        <w:t xml:space="preserve">(tj. těch, jež nemají charakter příjmů ze závislé pracovní činnosti nebo sociálních příjmů) </w:t>
      </w:r>
      <w:r w:rsidRPr="007A5E1C">
        <w:rPr>
          <w:rFonts w:asciiTheme="minorHAnsi" w:hAnsiTheme="minorHAnsi" w:cstheme="minorHAnsi"/>
          <w:b/>
          <w:bCs/>
          <w:sz w:val="26"/>
          <w:szCs w:val="26"/>
        </w:rPr>
        <w:t xml:space="preserve">na celkových příjmech domácností </w:t>
      </w:r>
      <w:r w:rsidRPr="007A5E1C">
        <w:rPr>
          <w:rFonts w:asciiTheme="minorHAnsi" w:hAnsiTheme="minorHAnsi" w:cstheme="minorHAnsi"/>
          <w:bCs/>
          <w:sz w:val="26"/>
          <w:szCs w:val="26"/>
        </w:rPr>
        <w:t>(v makroekonomickém pohledu)</w:t>
      </w:r>
      <w:r w:rsidRPr="007A5E1C">
        <w:rPr>
          <w:rFonts w:asciiTheme="minorHAnsi" w:hAnsiTheme="minorHAnsi" w:cstheme="minorHAnsi"/>
          <w:b/>
          <w:bCs/>
          <w:sz w:val="26"/>
          <w:szCs w:val="26"/>
        </w:rPr>
        <w:t xml:space="preserve"> představoval přibližně </w:t>
      </w:r>
      <w:proofErr w:type="gramStart"/>
      <w:r w:rsidRPr="007A5E1C">
        <w:rPr>
          <w:rFonts w:asciiTheme="minorHAnsi" w:hAnsiTheme="minorHAnsi" w:cstheme="minorHAnsi"/>
          <w:b/>
          <w:bCs/>
          <w:sz w:val="26"/>
          <w:szCs w:val="26"/>
        </w:rPr>
        <w:t>38 – 39</w:t>
      </w:r>
      <w:proofErr w:type="gramEnd"/>
      <w:r w:rsidRPr="007A5E1C">
        <w:rPr>
          <w:rFonts w:asciiTheme="minorHAnsi" w:hAnsiTheme="minorHAnsi" w:cstheme="minorHAnsi"/>
          <w:b/>
          <w:bCs/>
          <w:sz w:val="26"/>
          <w:szCs w:val="26"/>
        </w:rPr>
        <w:t xml:space="preserve"> % </w:t>
      </w:r>
      <w:r w:rsidRPr="007A5E1C">
        <w:rPr>
          <w:rFonts w:asciiTheme="minorHAnsi" w:hAnsiTheme="minorHAnsi" w:cstheme="minorHAnsi"/>
          <w:bCs/>
          <w:sz w:val="26"/>
          <w:szCs w:val="26"/>
        </w:rPr>
        <w:t>(zhruba stejně jako</w:t>
      </w:r>
      <w:r>
        <w:rPr>
          <w:rFonts w:asciiTheme="minorHAnsi" w:hAnsiTheme="minorHAnsi" w:cstheme="minorHAnsi"/>
          <w:bCs/>
          <w:sz w:val="26"/>
          <w:szCs w:val="26"/>
        </w:rPr>
        <w:t> </w:t>
      </w:r>
      <w:r w:rsidRPr="007A5E1C">
        <w:rPr>
          <w:rFonts w:asciiTheme="minorHAnsi" w:hAnsiTheme="minorHAnsi" w:cstheme="minorHAnsi"/>
          <w:bCs/>
          <w:sz w:val="26"/>
          <w:szCs w:val="26"/>
        </w:rPr>
        <w:t xml:space="preserve">v roce 2019). Jejich absolutní </w:t>
      </w:r>
      <w:r w:rsidRPr="007A5E1C">
        <w:rPr>
          <w:rFonts w:asciiTheme="minorHAnsi" w:hAnsiTheme="minorHAnsi" w:cstheme="minorHAnsi"/>
          <w:b/>
          <w:bCs/>
          <w:sz w:val="26"/>
          <w:szCs w:val="26"/>
        </w:rPr>
        <w:t xml:space="preserve">objem lze </w:t>
      </w:r>
      <w:r w:rsidRPr="007A5E1C">
        <w:rPr>
          <w:rFonts w:asciiTheme="minorHAnsi" w:hAnsiTheme="minorHAnsi" w:cstheme="minorHAnsi"/>
          <w:bCs/>
          <w:sz w:val="26"/>
          <w:szCs w:val="26"/>
        </w:rPr>
        <w:t xml:space="preserve">na základě dostupných údajů o výši jednotlivých hlavních položek spadajících do této příjmové skupiny </w:t>
      </w:r>
      <w:r w:rsidRPr="007A5E1C">
        <w:rPr>
          <w:rFonts w:asciiTheme="minorHAnsi" w:hAnsiTheme="minorHAnsi" w:cstheme="minorHAnsi"/>
          <w:b/>
          <w:bCs/>
          <w:sz w:val="26"/>
          <w:szCs w:val="26"/>
        </w:rPr>
        <w:t>odhadnout na</w:t>
      </w:r>
      <w:r w:rsidR="000D7192">
        <w:rPr>
          <w:rFonts w:asciiTheme="minorHAnsi" w:hAnsiTheme="minorHAnsi" w:cstheme="minorHAnsi"/>
          <w:b/>
          <w:bCs/>
          <w:sz w:val="26"/>
          <w:szCs w:val="26"/>
        </w:rPr>
        <w:t xml:space="preserve"> </w:t>
      </w:r>
      <w:r w:rsidRPr="007A5E1C">
        <w:rPr>
          <w:rFonts w:asciiTheme="minorHAnsi" w:hAnsiTheme="minorHAnsi" w:cstheme="minorHAnsi"/>
          <w:b/>
          <w:bCs/>
          <w:sz w:val="26"/>
          <w:szCs w:val="26"/>
        </w:rPr>
        <w:t>cca 1</w:t>
      </w:r>
      <w:r w:rsidR="000D7192">
        <w:rPr>
          <w:rFonts w:asciiTheme="minorHAnsi" w:hAnsiTheme="minorHAnsi" w:cstheme="minorHAnsi"/>
          <w:b/>
          <w:bCs/>
          <w:sz w:val="26"/>
          <w:szCs w:val="26"/>
        </w:rPr>
        <w:t> </w:t>
      </w:r>
      <w:r w:rsidRPr="007A5E1C">
        <w:rPr>
          <w:rFonts w:asciiTheme="minorHAnsi" w:hAnsiTheme="minorHAnsi" w:cstheme="minorHAnsi"/>
          <w:b/>
          <w:bCs/>
          <w:sz w:val="26"/>
          <w:szCs w:val="26"/>
        </w:rPr>
        <w:t>440 – 1 450 mld. Kč.</w:t>
      </w:r>
    </w:p>
    <w:p w14:paraId="6C015D14" w14:textId="77777777" w:rsidR="007A5E1C" w:rsidRPr="007A5E1C" w:rsidRDefault="007A5E1C" w:rsidP="007A5E1C">
      <w:pPr>
        <w:spacing w:after="200" w:line="276" w:lineRule="auto"/>
        <w:jc w:val="both"/>
        <w:rPr>
          <w:rFonts w:asciiTheme="minorHAnsi" w:hAnsiTheme="minorHAnsi" w:cstheme="minorHAnsi"/>
          <w:b/>
          <w:bCs/>
          <w:sz w:val="26"/>
          <w:szCs w:val="26"/>
        </w:rPr>
      </w:pPr>
      <w:r w:rsidRPr="007A5E1C">
        <w:rPr>
          <w:rFonts w:asciiTheme="minorHAnsi" w:hAnsiTheme="minorHAnsi" w:cstheme="minorHAnsi"/>
          <w:b/>
          <w:bCs/>
          <w:sz w:val="26"/>
          <w:szCs w:val="26"/>
        </w:rPr>
        <w:tab/>
        <w:t xml:space="preserve">Nejdůležitějšími </w:t>
      </w:r>
      <w:r w:rsidRPr="007A5E1C">
        <w:rPr>
          <w:rFonts w:asciiTheme="minorHAnsi" w:hAnsiTheme="minorHAnsi" w:cstheme="minorHAnsi"/>
          <w:bCs/>
          <w:sz w:val="26"/>
          <w:szCs w:val="26"/>
        </w:rPr>
        <w:t xml:space="preserve">položkami příjmů (statisticky zařazenými do kategorie „ostatních“) </w:t>
      </w:r>
      <w:r w:rsidRPr="007A5E1C">
        <w:rPr>
          <w:rFonts w:asciiTheme="minorHAnsi" w:hAnsiTheme="minorHAnsi" w:cstheme="minorHAnsi"/>
          <w:b/>
          <w:bCs/>
          <w:sz w:val="26"/>
          <w:szCs w:val="26"/>
        </w:rPr>
        <w:t>jsou zejména:</w:t>
      </w:r>
    </w:p>
    <w:p w14:paraId="0B5CCB8B" w14:textId="77777777" w:rsidR="007A5E1C" w:rsidRPr="007A5E1C" w:rsidRDefault="007A5E1C" w:rsidP="007A5E1C">
      <w:pPr>
        <w:numPr>
          <w:ilvl w:val="0"/>
          <w:numId w:val="20"/>
        </w:numPr>
        <w:spacing w:after="200" w:line="276" w:lineRule="auto"/>
        <w:jc w:val="both"/>
        <w:rPr>
          <w:rFonts w:asciiTheme="minorHAnsi" w:hAnsiTheme="minorHAnsi" w:cstheme="minorHAnsi"/>
          <w:b/>
          <w:bCs/>
          <w:sz w:val="26"/>
          <w:szCs w:val="26"/>
        </w:rPr>
      </w:pPr>
      <w:r w:rsidRPr="007A5E1C">
        <w:rPr>
          <w:rFonts w:asciiTheme="minorHAnsi" w:hAnsiTheme="minorHAnsi" w:cstheme="minorHAnsi"/>
          <w:b/>
          <w:bCs/>
          <w:sz w:val="26"/>
          <w:szCs w:val="26"/>
        </w:rPr>
        <w:t xml:space="preserve">příjmy z </w:t>
      </w:r>
      <w:r w:rsidRPr="007A5E1C">
        <w:rPr>
          <w:rFonts w:asciiTheme="minorHAnsi" w:hAnsiTheme="minorHAnsi" w:cstheme="minorHAnsi"/>
          <w:bCs/>
          <w:sz w:val="26"/>
          <w:szCs w:val="26"/>
        </w:rPr>
        <w:t xml:space="preserve">(drobného) </w:t>
      </w:r>
      <w:r w:rsidRPr="007A5E1C">
        <w:rPr>
          <w:rFonts w:asciiTheme="minorHAnsi" w:hAnsiTheme="minorHAnsi" w:cstheme="minorHAnsi"/>
          <w:b/>
          <w:bCs/>
          <w:sz w:val="26"/>
          <w:szCs w:val="26"/>
        </w:rPr>
        <w:t>podnikání,</w:t>
      </w:r>
    </w:p>
    <w:p w14:paraId="01F94FF8" w14:textId="77777777" w:rsidR="007A5E1C" w:rsidRPr="007A5E1C" w:rsidRDefault="007A5E1C" w:rsidP="007A5E1C">
      <w:pPr>
        <w:numPr>
          <w:ilvl w:val="0"/>
          <w:numId w:val="20"/>
        </w:numPr>
        <w:spacing w:after="200" w:line="276" w:lineRule="auto"/>
        <w:jc w:val="both"/>
        <w:rPr>
          <w:rFonts w:asciiTheme="minorHAnsi" w:hAnsiTheme="minorHAnsi" w:cstheme="minorHAnsi"/>
          <w:b/>
          <w:bCs/>
          <w:sz w:val="26"/>
          <w:szCs w:val="26"/>
        </w:rPr>
      </w:pPr>
      <w:r w:rsidRPr="007A5E1C">
        <w:rPr>
          <w:rFonts w:asciiTheme="minorHAnsi" w:hAnsiTheme="minorHAnsi" w:cstheme="minorHAnsi"/>
          <w:b/>
          <w:bCs/>
          <w:sz w:val="26"/>
          <w:szCs w:val="26"/>
        </w:rPr>
        <w:t xml:space="preserve">příjmy z majetku </w:t>
      </w:r>
      <w:r w:rsidRPr="007A5E1C">
        <w:rPr>
          <w:rFonts w:asciiTheme="minorHAnsi" w:hAnsiTheme="minorHAnsi" w:cstheme="minorHAnsi"/>
          <w:bCs/>
          <w:sz w:val="26"/>
          <w:szCs w:val="26"/>
        </w:rPr>
        <w:t>(pronájmy, prodeje, dividendy z cenných papírů, renty apod.),</w:t>
      </w:r>
    </w:p>
    <w:p w14:paraId="547D809C" w14:textId="77777777" w:rsidR="007A5E1C" w:rsidRPr="007A5E1C" w:rsidRDefault="007A5E1C" w:rsidP="007A5E1C">
      <w:pPr>
        <w:numPr>
          <w:ilvl w:val="0"/>
          <w:numId w:val="20"/>
        </w:numPr>
        <w:spacing w:after="200" w:line="276" w:lineRule="auto"/>
        <w:jc w:val="both"/>
        <w:rPr>
          <w:rFonts w:asciiTheme="minorHAnsi" w:hAnsiTheme="minorHAnsi" w:cstheme="minorHAnsi"/>
          <w:b/>
          <w:bCs/>
          <w:sz w:val="26"/>
          <w:szCs w:val="26"/>
        </w:rPr>
      </w:pPr>
      <w:r w:rsidRPr="007A5E1C">
        <w:rPr>
          <w:rFonts w:asciiTheme="minorHAnsi" w:hAnsiTheme="minorHAnsi" w:cstheme="minorHAnsi"/>
          <w:b/>
          <w:bCs/>
          <w:sz w:val="26"/>
          <w:szCs w:val="26"/>
        </w:rPr>
        <w:t>přijaté půjčky,</w:t>
      </w:r>
    </w:p>
    <w:p w14:paraId="6DBBBE42" w14:textId="77777777" w:rsidR="007A5E1C" w:rsidRPr="007A5E1C" w:rsidRDefault="007A5E1C" w:rsidP="007A5E1C">
      <w:pPr>
        <w:numPr>
          <w:ilvl w:val="0"/>
          <w:numId w:val="20"/>
        </w:numPr>
        <w:spacing w:after="200" w:line="276" w:lineRule="auto"/>
        <w:jc w:val="both"/>
        <w:rPr>
          <w:rFonts w:asciiTheme="minorHAnsi" w:hAnsiTheme="minorHAnsi" w:cstheme="minorHAnsi"/>
          <w:b/>
          <w:bCs/>
          <w:sz w:val="26"/>
          <w:szCs w:val="26"/>
        </w:rPr>
      </w:pPr>
      <w:r w:rsidRPr="007A5E1C">
        <w:rPr>
          <w:rFonts w:asciiTheme="minorHAnsi" w:hAnsiTheme="minorHAnsi" w:cstheme="minorHAnsi"/>
          <w:b/>
          <w:bCs/>
          <w:sz w:val="26"/>
          <w:szCs w:val="26"/>
        </w:rPr>
        <w:t>příjmy z pojištění,</w:t>
      </w:r>
    </w:p>
    <w:p w14:paraId="567ED5CC" w14:textId="77777777" w:rsidR="007A5E1C" w:rsidRPr="007A5E1C" w:rsidRDefault="007A5E1C" w:rsidP="007A5E1C">
      <w:pPr>
        <w:numPr>
          <w:ilvl w:val="0"/>
          <w:numId w:val="20"/>
        </w:numPr>
        <w:spacing w:after="200" w:line="276" w:lineRule="auto"/>
        <w:jc w:val="both"/>
        <w:rPr>
          <w:rFonts w:asciiTheme="minorHAnsi" w:hAnsiTheme="minorHAnsi" w:cstheme="minorHAnsi"/>
          <w:b/>
          <w:bCs/>
          <w:sz w:val="26"/>
          <w:szCs w:val="26"/>
        </w:rPr>
      </w:pPr>
      <w:r w:rsidRPr="007A5E1C">
        <w:rPr>
          <w:rFonts w:asciiTheme="minorHAnsi" w:hAnsiTheme="minorHAnsi" w:cstheme="minorHAnsi"/>
          <w:b/>
          <w:bCs/>
          <w:sz w:val="26"/>
          <w:szCs w:val="26"/>
        </w:rPr>
        <w:t xml:space="preserve">přijaté úroky </w:t>
      </w:r>
      <w:r w:rsidRPr="007A5E1C">
        <w:rPr>
          <w:rFonts w:asciiTheme="minorHAnsi" w:hAnsiTheme="minorHAnsi" w:cstheme="minorHAnsi"/>
          <w:bCs/>
          <w:sz w:val="26"/>
          <w:szCs w:val="26"/>
        </w:rPr>
        <w:t>z vkladů, půjček, dluhopisů,</w:t>
      </w:r>
    </w:p>
    <w:p w14:paraId="5ADCDBA2" w14:textId="77777777" w:rsidR="007A5E1C" w:rsidRPr="007A5E1C" w:rsidRDefault="007A5E1C" w:rsidP="007A5E1C">
      <w:pPr>
        <w:numPr>
          <w:ilvl w:val="0"/>
          <w:numId w:val="20"/>
        </w:numPr>
        <w:spacing w:after="200" w:line="276" w:lineRule="auto"/>
        <w:jc w:val="both"/>
        <w:rPr>
          <w:rFonts w:asciiTheme="minorHAnsi" w:hAnsiTheme="minorHAnsi" w:cstheme="minorHAnsi"/>
          <w:b/>
          <w:bCs/>
          <w:sz w:val="26"/>
          <w:szCs w:val="26"/>
        </w:rPr>
      </w:pPr>
      <w:r w:rsidRPr="007A5E1C">
        <w:rPr>
          <w:rFonts w:asciiTheme="minorHAnsi" w:hAnsiTheme="minorHAnsi" w:cstheme="minorHAnsi"/>
          <w:b/>
          <w:bCs/>
          <w:sz w:val="26"/>
          <w:szCs w:val="26"/>
        </w:rPr>
        <w:t>příjmy ze zahraničí,</w:t>
      </w:r>
    </w:p>
    <w:p w14:paraId="65E2BE99" w14:textId="77777777" w:rsidR="007A5E1C" w:rsidRPr="007A5E1C" w:rsidRDefault="007A5E1C" w:rsidP="007A5E1C">
      <w:pPr>
        <w:numPr>
          <w:ilvl w:val="0"/>
          <w:numId w:val="20"/>
        </w:numPr>
        <w:spacing w:after="200" w:line="276" w:lineRule="auto"/>
        <w:jc w:val="both"/>
        <w:rPr>
          <w:rFonts w:asciiTheme="minorHAnsi" w:hAnsiTheme="minorHAnsi" w:cstheme="minorHAnsi"/>
          <w:b/>
          <w:bCs/>
          <w:sz w:val="26"/>
          <w:szCs w:val="26"/>
        </w:rPr>
      </w:pPr>
      <w:r w:rsidRPr="007A5E1C">
        <w:rPr>
          <w:rFonts w:asciiTheme="minorHAnsi" w:hAnsiTheme="minorHAnsi" w:cstheme="minorHAnsi"/>
          <w:b/>
          <w:bCs/>
          <w:sz w:val="26"/>
          <w:szCs w:val="26"/>
        </w:rPr>
        <w:t>dary, výhry, stipendia, výživné,</w:t>
      </w:r>
    </w:p>
    <w:p w14:paraId="46B6F13D" w14:textId="77777777" w:rsidR="007A5E1C" w:rsidRPr="007A5E1C" w:rsidRDefault="007A5E1C" w:rsidP="007A5E1C">
      <w:pPr>
        <w:numPr>
          <w:ilvl w:val="0"/>
          <w:numId w:val="20"/>
        </w:numPr>
        <w:spacing w:after="200" w:line="276" w:lineRule="auto"/>
        <w:jc w:val="both"/>
        <w:rPr>
          <w:rFonts w:asciiTheme="minorHAnsi" w:hAnsiTheme="minorHAnsi" w:cstheme="minorHAnsi"/>
          <w:b/>
          <w:bCs/>
          <w:sz w:val="26"/>
          <w:szCs w:val="26"/>
        </w:rPr>
      </w:pPr>
      <w:r w:rsidRPr="007A5E1C">
        <w:rPr>
          <w:rFonts w:asciiTheme="minorHAnsi" w:hAnsiTheme="minorHAnsi" w:cstheme="minorHAnsi"/>
          <w:b/>
          <w:bCs/>
          <w:sz w:val="26"/>
          <w:szCs w:val="26"/>
        </w:rPr>
        <w:t>příjmy z dědictví,</w:t>
      </w:r>
    </w:p>
    <w:p w14:paraId="73517C16" w14:textId="77777777" w:rsidR="007A5E1C" w:rsidRPr="007A5E1C" w:rsidRDefault="007A5E1C" w:rsidP="007A5E1C">
      <w:pPr>
        <w:numPr>
          <w:ilvl w:val="0"/>
          <w:numId w:val="20"/>
        </w:numPr>
        <w:spacing w:after="200" w:line="276" w:lineRule="auto"/>
        <w:jc w:val="both"/>
        <w:rPr>
          <w:rFonts w:asciiTheme="minorHAnsi" w:hAnsiTheme="minorHAnsi" w:cstheme="minorHAnsi"/>
          <w:b/>
          <w:bCs/>
          <w:sz w:val="26"/>
          <w:szCs w:val="26"/>
        </w:rPr>
      </w:pPr>
      <w:r w:rsidRPr="007A5E1C">
        <w:rPr>
          <w:rFonts w:asciiTheme="minorHAnsi" w:hAnsiTheme="minorHAnsi" w:cstheme="minorHAnsi"/>
          <w:b/>
          <w:bCs/>
          <w:sz w:val="26"/>
          <w:szCs w:val="26"/>
        </w:rPr>
        <w:t>příjmy z </w:t>
      </w:r>
      <w:r w:rsidRPr="007A5E1C">
        <w:rPr>
          <w:rFonts w:asciiTheme="minorHAnsi" w:hAnsiTheme="minorHAnsi" w:cstheme="minorHAnsi"/>
          <w:bCs/>
          <w:sz w:val="26"/>
          <w:szCs w:val="26"/>
        </w:rPr>
        <w:t>tzv.</w:t>
      </w:r>
      <w:r w:rsidRPr="007A5E1C">
        <w:rPr>
          <w:rFonts w:asciiTheme="minorHAnsi" w:hAnsiTheme="minorHAnsi" w:cstheme="minorHAnsi"/>
          <w:b/>
          <w:bCs/>
          <w:sz w:val="26"/>
          <w:szCs w:val="26"/>
        </w:rPr>
        <w:t xml:space="preserve"> šedé </w:t>
      </w:r>
      <w:r w:rsidRPr="007A5E1C">
        <w:rPr>
          <w:rFonts w:asciiTheme="minorHAnsi" w:hAnsiTheme="minorHAnsi" w:cstheme="minorHAnsi"/>
          <w:bCs/>
          <w:sz w:val="26"/>
          <w:szCs w:val="26"/>
        </w:rPr>
        <w:t xml:space="preserve">(„stínové“) </w:t>
      </w:r>
      <w:r w:rsidRPr="007A5E1C">
        <w:rPr>
          <w:rFonts w:asciiTheme="minorHAnsi" w:hAnsiTheme="minorHAnsi" w:cstheme="minorHAnsi"/>
          <w:b/>
          <w:bCs/>
          <w:sz w:val="26"/>
          <w:szCs w:val="26"/>
        </w:rPr>
        <w:t>ekonomiky.</w:t>
      </w:r>
    </w:p>
    <w:p w14:paraId="10BD5FB6" w14:textId="77777777" w:rsidR="007A5E1C" w:rsidRPr="007A5E1C" w:rsidRDefault="007A5E1C" w:rsidP="007A5E1C">
      <w:pPr>
        <w:spacing w:before="360" w:after="200" w:line="276" w:lineRule="auto"/>
        <w:jc w:val="both"/>
        <w:rPr>
          <w:rFonts w:asciiTheme="minorHAnsi" w:hAnsiTheme="minorHAnsi" w:cstheme="minorHAnsi"/>
          <w:bCs/>
          <w:sz w:val="26"/>
          <w:szCs w:val="26"/>
        </w:rPr>
      </w:pPr>
      <w:r w:rsidRPr="007A5E1C">
        <w:rPr>
          <w:rFonts w:asciiTheme="minorHAnsi" w:hAnsiTheme="minorHAnsi" w:cstheme="minorHAnsi"/>
          <w:bCs/>
          <w:sz w:val="26"/>
          <w:szCs w:val="26"/>
        </w:rPr>
        <w:tab/>
      </w:r>
      <w:r w:rsidRPr="007A5E1C">
        <w:rPr>
          <w:rFonts w:asciiTheme="minorHAnsi" w:hAnsiTheme="minorHAnsi" w:cstheme="minorHAnsi"/>
          <w:b/>
          <w:bCs/>
          <w:sz w:val="26"/>
          <w:szCs w:val="26"/>
        </w:rPr>
        <w:t xml:space="preserve">Povaha těchto příjmů </w:t>
      </w:r>
      <w:r w:rsidRPr="007A5E1C">
        <w:rPr>
          <w:rFonts w:asciiTheme="minorHAnsi" w:hAnsiTheme="minorHAnsi" w:cstheme="minorHAnsi"/>
          <w:bCs/>
          <w:sz w:val="26"/>
          <w:szCs w:val="26"/>
        </w:rPr>
        <w:t xml:space="preserve">objektivně </w:t>
      </w:r>
      <w:r w:rsidRPr="007A5E1C">
        <w:rPr>
          <w:rFonts w:asciiTheme="minorHAnsi" w:hAnsiTheme="minorHAnsi" w:cstheme="minorHAnsi"/>
          <w:b/>
          <w:bCs/>
          <w:sz w:val="26"/>
          <w:szCs w:val="26"/>
        </w:rPr>
        <w:t xml:space="preserve">neumožňuje komplexní </w:t>
      </w:r>
      <w:r w:rsidRPr="007A5E1C">
        <w:rPr>
          <w:rFonts w:asciiTheme="minorHAnsi" w:hAnsiTheme="minorHAnsi" w:cstheme="minorHAnsi"/>
          <w:bCs/>
          <w:sz w:val="26"/>
          <w:szCs w:val="26"/>
        </w:rPr>
        <w:t xml:space="preserve">(statistickou) </w:t>
      </w:r>
      <w:r w:rsidRPr="007A5E1C">
        <w:rPr>
          <w:rFonts w:asciiTheme="minorHAnsi" w:hAnsiTheme="minorHAnsi" w:cstheme="minorHAnsi"/>
          <w:b/>
          <w:bCs/>
          <w:sz w:val="26"/>
          <w:szCs w:val="26"/>
        </w:rPr>
        <w:t xml:space="preserve">kvantifikaci </w:t>
      </w:r>
      <w:r w:rsidRPr="007A5E1C">
        <w:rPr>
          <w:rFonts w:asciiTheme="minorHAnsi" w:hAnsiTheme="minorHAnsi" w:cstheme="minorHAnsi"/>
          <w:bCs/>
          <w:sz w:val="26"/>
          <w:szCs w:val="26"/>
        </w:rPr>
        <w:t xml:space="preserve">úrovně a vývoje všech jejich výše uvedených druhů. S využitím dat čerpaných ze statistiky národních účtů ČSÚ a evidence ČNB </w:t>
      </w:r>
      <w:r w:rsidRPr="007A5E1C">
        <w:rPr>
          <w:rFonts w:asciiTheme="minorHAnsi" w:hAnsiTheme="minorHAnsi" w:cstheme="minorHAnsi"/>
          <w:b/>
          <w:bCs/>
          <w:sz w:val="26"/>
          <w:szCs w:val="26"/>
        </w:rPr>
        <w:t xml:space="preserve">lze </w:t>
      </w:r>
      <w:r w:rsidRPr="007A5E1C">
        <w:rPr>
          <w:rFonts w:asciiTheme="minorHAnsi" w:hAnsiTheme="minorHAnsi" w:cstheme="minorHAnsi"/>
          <w:bCs/>
          <w:sz w:val="26"/>
          <w:szCs w:val="26"/>
        </w:rPr>
        <w:t xml:space="preserve">konkrétně </w:t>
      </w:r>
      <w:r w:rsidRPr="007A5E1C">
        <w:rPr>
          <w:rFonts w:asciiTheme="minorHAnsi" w:hAnsiTheme="minorHAnsi" w:cstheme="minorHAnsi"/>
          <w:b/>
          <w:bCs/>
          <w:sz w:val="26"/>
          <w:szCs w:val="26"/>
        </w:rPr>
        <w:t xml:space="preserve">specifikovat </w:t>
      </w:r>
      <w:r w:rsidRPr="007A5E1C">
        <w:rPr>
          <w:rFonts w:asciiTheme="minorHAnsi" w:hAnsiTheme="minorHAnsi" w:cstheme="minorHAnsi"/>
          <w:bCs/>
          <w:sz w:val="26"/>
          <w:szCs w:val="26"/>
        </w:rPr>
        <w:t xml:space="preserve">pouze některé (často do určité míry agregované) </w:t>
      </w:r>
      <w:r w:rsidRPr="007A5E1C">
        <w:rPr>
          <w:rFonts w:asciiTheme="minorHAnsi" w:hAnsiTheme="minorHAnsi" w:cstheme="minorHAnsi"/>
          <w:b/>
          <w:bCs/>
          <w:sz w:val="26"/>
          <w:szCs w:val="26"/>
        </w:rPr>
        <w:t xml:space="preserve">klíčové položky </w:t>
      </w:r>
      <w:r w:rsidRPr="007A5E1C">
        <w:rPr>
          <w:rFonts w:asciiTheme="minorHAnsi" w:hAnsiTheme="minorHAnsi" w:cstheme="minorHAnsi"/>
          <w:bCs/>
          <w:sz w:val="26"/>
          <w:szCs w:val="26"/>
        </w:rPr>
        <w:t>(data představují celkové objemy):</w:t>
      </w:r>
    </w:p>
    <w:p w14:paraId="4C0D7A1F" w14:textId="2D5767C5" w:rsidR="007A5E1C" w:rsidRPr="007A5E1C" w:rsidRDefault="007A5E1C" w:rsidP="007A5E1C">
      <w:pPr>
        <w:numPr>
          <w:ilvl w:val="0"/>
          <w:numId w:val="21"/>
        </w:numPr>
        <w:spacing w:after="200" w:line="276" w:lineRule="auto"/>
        <w:jc w:val="both"/>
        <w:rPr>
          <w:rFonts w:asciiTheme="minorHAnsi" w:hAnsiTheme="minorHAnsi" w:cstheme="minorHAnsi"/>
          <w:b/>
          <w:bCs/>
          <w:sz w:val="26"/>
          <w:szCs w:val="26"/>
        </w:rPr>
      </w:pPr>
      <w:r w:rsidRPr="007A5E1C">
        <w:rPr>
          <w:rFonts w:asciiTheme="minorHAnsi" w:hAnsiTheme="minorHAnsi" w:cstheme="minorHAnsi"/>
          <w:b/>
          <w:bCs/>
          <w:sz w:val="26"/>
          <w:szCs w:val="26"/>
        </w:rPr>
        <w:t>hrubý smíšený důchod (vč.</w:t>
      </w:r>
      <w:r>
        <w:rPr>
          <w:rFonts w:asciiTheme="minorHAnsi" w:hAnsiTheme="minorHAnsi" w:cstheme="minorHAnsi"/>
          <w:b/>
          <w:bCs/>
          <w:sz w:val="26"/>
          <w:szCs w:val="26"/>
        </w:rPr>
        <w:t> </w:t>
      </w:r>
      <w:r w:rsidRPr="007A5E1C">
        <w:rPr>
          <w:rFonts w:asciiTheme="minorHAnsi" w:hAnsiTheme="minorHAnsi" w:cstheme="minorHAnsi"/>
          <w:b/>
          <w:bCs/>
          <w:sz w:val="26"/>
          <w:szCs w:val="26"/>
        </w:rPr>
        <w:t xml:space="preserve">hrubého provozního přebytku) </w:t>
      </w:r>
      <w:r w:rsidRPr="007A5E1C">
        <w:rPr>
          <w:rFonts w:asciiTheme="minorHAnsi" w:hAnsiTheme="minorHAnsi" w:cstheme="minorHAnsi"/>
          <w:bCs/>
          <w:sz w:val="26"/>
          <w:szCs w:val="26"/>
        </w:rPr>
        <w:t>–</w:t>
      </w:r>
      <w:r w:rsidRPr="007A5E1C">
        <w:rPr>
          <w:rFonts w:asciiTheme="minorHAnsi" w:hAnsiTheme="minorHAnsi" w:cstheme="minorHAnsi"/>
          <w:b/>
          <w:bCs/>
          <w:sz w:val="26"/>
          <w:szCs w:val="26"/>
        </w:rPr>
        <w:t xml:space="preserve"> </w:t>
      </w:r>
      <w:r w:rsidRPr="007A5E1C">
        <w:rPr>
          <w:rFonts w:asciiTheme="minorHAnsi" w:hAnsiTheme="minorHAnsi" w:cstheme="minorHAnsi"/>
          <w:bCs/>
          <w:sz w:val="26"/>
          <w:szCs w:val="26"/>
        </w:rPr>
        <w:t xml:space="preserve">zahrnující především zisk drobných podnikatelů z výrobních činností a poskytovaných služeb (včetně jejich pracovních důchodů) a rovněž odhadované příjmy ze „šedé“ ekonomiky ve výši několika desítek miliard korun – představoval </w:t>
      </w:r>
      <w:r w:rsidRPr="007A5E1C">
        <w:rPr>
          <w:rFonts w:asciiTheme="minorHAnsi" w:hAnsiTheme="minorHAnsi" w:cstheme="minorHAnsi"/>
          <w:b/>
          <w:bCs/>
          <w:sz w:val="26"/>
          <w:szCs w:val="26"/>
        </w:rPr>
        <w:t xml:space="preserve">843,9 mld. Kč </w:t>
      </w:r>
      <w:r w:rsidRPr="007A5E1C">
        <w:rPr>
          <w:rFonts w:asciiTheme="minorHAnsi" w:hAnsiTheme="minorHAnsi" w:cstheme="minorHAnsi"/>
          <w:bCs/>
          <w:sz w:val="26"/>
          <w:szCs w:val="26"/>
        </w:rPr>
        <w:t xml:space="preserve">a meziročně (nominálně) </w:t>
      </w:r>
      <w:r w:rsidRPr="007A5E1C">
        <w:rPr>
          <w:rFonts w:asciiTheme="minorHAnsi" w:hAnsiTheme="minorHAnsi" w:cstheme="minorHAnsi"/>
          <w:b/>
          <w:bCs/>
          <w:sz w:val="26"/>
          <w:szCs w:val="26"/>
        </w:rPr>
        <w:t xml:space="preserve">poklesl o 0,9 % </w:t>
      </w:r>
      <w:r w:rsidRPr="007A5E1C">
        <w:rPr>
          <w:rFonts w:asciiTheme="minorHAnsi" w:hAnsiTheme="minorHAnsi" w:cstheme="minorHAnsi"/>
          <w:bCs/>
          <w:sz w:val="26"/>
          <w:szCs w:val="26"/>
        </w:rPr>
        <w:t>(-7,9 mld. Kč),</w:t>
      </w:r>
    </w:p>
    <w:p w14:paraId="3C12C929" w14:textId="486FAF3F" w:rsidR="007A5E1C" w:rsidRPr="007A5E1C" w:rsidRDefault="007A5E1C" w:rsidP="007A5E1C">
      <w:pPr>
        <w:numPr>
          <w:ilvl w:val="0"/>
          <w:numId w:val="21"/>
        </w:numPr>
        <w:spacing w:after="200" w:line="276" w:lineRule="auto"/>
        <w:jc w:val="both"/>
        <w:rPr>
          <w:rFonts w:asciiTheme="minorHAnsi" w:hAnsiTheme="minorHAnsi" w:cstheme="minorHAnsi"/>
          <w:bCs/>
          <w:sz w:val="26"/>
          <w:szCs w:val="26"/>
        </w:rPr>
      </w:pPr>
      <w:r w:rsidRPr="007A5E1C">
        <w:rPr>
          <w:rFonts w:asciiTheme="minorHAnsi" w:hAnsiTheme="minorHAnsi" w:cstheme="minorHAnsi"/>
          <w:b/>
          <w:bCs/>
          <w:sz w:val="26"/>
          <w:szCs w:val="26"/>
        </w:rPr>
        <w:lastRenderedPageBreak/>
        <w:t xml:space="preserve">důchody z vlastnictví </w:t>
      </w:r>
      <w:r w:rsidRPr="007A5E1C">
        <w:rPr>
          <w:rFonts w:asciiTheme="minorHAnsi" w:hAnsiTheme="minorHAnsi" w:cstheme="minorHAnsi"/>
          <w:bCs/>
          <w:sz w:val="26"/>
          <w:szCs w:val="26"/>
        </w:rPr>
        <w:t xml:space="preserve">činily </w:t>
      </w:r>
      <w:r w:rsidRPr="007A5E1C">
        <w:rPr>
          <w:rFonts w:asciiTheme="minorHAnsi" w:hAnsiTheme="minorHAnsi" w:cstheme="minorHAnsi"/>
          <w:b/>
          <w:bCs/>
          <w:sz w:val="26"/>
          <w:szCs w:val="26"/>
        </w:rPr>
        <w:t xml:space="preserve">170,5 mld. Kč </w:t>
      </w:r>
      <w:r w:rsidRPr="007A5E1C">
        <w:rPr>
          <w:rFonts w:asciiTheme="minorHAnsi" w:hAnsiTheme="minorHAnsi" w:cstheme="minorHAnsi"/>
          <w:bCs/>
          <w:sz w:val="26"/>
          <w:szCs w:val="26"/>
        </w:rPr>
        <w:t xml:space="preserve">(proti roku 2019 </w:t>
      </w:r>
      <w:r w:rsidRPr="007A5E1C">
        <w:rPr>
          <w:rFonts w:asciiTheme="minorHAnsi" w:hAnsiTheme="minorHAnsi" w:cstheme="minorHAnsi"/>
          <w:b/>
          <w:bCs/>
          <w:sz w:val="26"/>
          <w:szCs w:val="26"/>
        </w:rPr>
        <w:t>nominální</w:t>
      </w:r>
      <w:r w:rsidRPr="007A5E1C">
        <w:rPr>
          <w:rFonts w:asciiTheme="minorHAnsi" w:hAnsiTheme="minorHAnsi" w:cstheme="minorHAnsi"/>
          <w:bCs/>
          <w:sz w:val="26"/>
          <w:szCs w:val="26"/>
        </w:rPr>
        <w:t xml:space="preserve"> </w:t>
      </w:r>
      <w:r w:rsidRPr="007A5E1C">
        <w:rPr>
          <w:rFonts w:asciiTheme="minorHAnsi" w:hAnsiTheme="minorHAnsi" w:cstheme="minorHAnsi"/>
          <w:b/>
          <w:bCs/>
          <w:sz w:val="26"/>
          <w:szCs w:val="26"/>
        </w:rPr>
        <w:t>pokles o 1,5 %</w:t>
      </w:r>
      <w:r w:rsidRPr="007A5E1C">
        <w:rPr>
          <w:rFonts w:asciiTheme="minorHAnsi" w:hAnsiTheme="minorHAnsi" w:cstheme="minorHAnsi"/>
          <w:bCs/>
          <w:sz w:val="26"/>
          <w:szCs w:val="26"/>
        </w:rPr>
        <w:t xml:space="preserve">); v jejich rámci </w:t>
      </w:r>
      <w:r w:rsidRPr="007A5E1C">
        <w:rPr>
          <w:rFonts w:asciiTheme="minorHAnsi" w:hAnsiTheme="minorHAnsi" w:cstheme="minorHAnsi"/>
          <w:b/>
          <w:bCs/>
          <w:sz w:val="26"/>
          <w:szCs w:val="26"/>
        </w:rPr>
        <w:t>došlo k </w:t>
      </w:r>
      <w:r w:rsidRPr="007A5E1C">
        <w:rPr>
          <w:rFonts w:asciiTheme="minorHAnsi" w:hAnsiTheme="minorHAnsi" w:cstheme="minorHAnsi"/>
          <w:bCs/>
          <w:sz w:val="26"/>
          <w:szCs w:val="26"/>
        </w:rPr>
        <w:t xml:space="preserve"> </w:t>
      </w:r>
      <w:r w:rsidRPr="007A5E1C">
        <w:rPr>
          <w:rFonts w:asciiTheme="minorHAnsi" w:hAnsiTheme="minorHAnsi" w:cstheme="minorHAnsi"/>
          <w:b/>
          <w:bCs/>
          <w:sz w:val="26"/>
          <w:szCs w:val="26"/>
        </w:rPr>
        <w:t>reálnému poklesu u reinvestovaných zisků</w:t>
      </w:r>
      <w:r w:rsidR="000D7192">
        <w:rPr>
          <w:rFonts w:asciiTheme="minorHAnsi" w:hAnsiTheme="minorHAnsi" w:cstheme="minorHAnsi"/>
          <w:b/>
          <w:bCs/>
          <w:sz w:val="26"/>
          <w:szCs w:val="26"/>
        </w:rPr>
        <w:t> </w:t>
      </w:r>
      <w:r w:rsidRPr="007A5E1C">
        <w:rPr>
          <w:rFonts w:asciiTheme="minorHAnsi" w:hAnsiTheme="minorHAnsi" w:cstheme="minorHAnsi"/>
          <w:b/>
          <w:bCs/>
          <w:sz w:val="26"/>
          <w:szCs w:val="26"/>
        </w:rPr>
        <w:t xml:space="preserve">z přímých zahraničních investic </w:t>
      </w:r>
      <w:r w:rsidRPr="007A5E1C">
        <w:rPr>
          <w:rFonts w:asciiTheme="minorHAnsi" w:hAnsiTheme="minorHAnsi" w:cstheme="minorHAnsi"/>
          <w:bCs/>
          <w:sz w:val="26"/>
          <w:szCs w:val="26"/>
        </w:rPr>
        <w:t>(59,2</w:t>
      </w:r>
      <w:r w:rsidR="000D7192">
        <w:rPr>
          <w:rFonts w:asciiTheme="minorHAnsi" w:hAnsiTheme="minorHAnsi" w:cstheme="minorHAnsi"/>
          <w:bCs/>
          <w:sz w:val="26"/>
          <w:szCs w:val="26"/>
        </w:rPr>
        <w:t> </w:t>
      </w:r>
      <w:r w:rsidRPr="007A5E1C">
        <w:rPr>
          <w:rFonts w:asciiTheme="minorHAnsi" w:hAnsiTheme="minorHAnsi" w:cstheme="minorHAnsi"/>
          <w:bCs/>
          <w:sz w:val="26"/>
          <w:szCs w:val="26"/>
        </w:rPr>
        <w:t>mld.</w:t>
      </w:r>
      <w:r w:rsidR="000D7192">
        <w:rPr>
          <w:rFonts w:asciiTheme="minorHAnsi" w:hAnsiTheme="minorHAnsi" w:cstheme="minorHAnsi"/>
          <w:bCs/>
          <w:sz w:val="26"/>
          <w:szCs w:val="26"/>
        </w:rPr>
        <w:t> </w:t>
      </w:r>
      <w:r w:rsidRPr="007A5E1C">
        <w:rPr>
          <w:rFonts w:asciiTheme="minorHAnsi" w:hAnsiTheme="minorHAnsi" w:cstheme="minorHAnsi"/>
          <w:bCs/>
          <w:sz w:val="26"/>
          <w:szCs w:val="26"/>
        </w:rPr>
        <w:t>Kč, -12,5</w:t>
      </w:r>
      <w:r w:rsidR="000D7192">
        <w:rPr>
          <w:rFonts w:asciiTheme="minorHAnsi" w:hAnsiTheme="minorHAnsi" w:cstheme="minorHAnsi"/>
          <w:bCs/>
          <w:sz w:val="26"/>
          <w:szCs w:val="26"/>
        </w:rPr>
        <w:t> </w:t>
      </w:r>
      <w:r w:rsidRPr="007A5E1C">
        <w:rPr>
          <w:rFonts w:asciiTheme="minorHAnsi" w:hAnsiTheme="minorHAnsi" w:cstheme="minorHAnsi"/>
          <w:bCs/>
          <w:sz w:val="26"/>
          <w:szCs w:val="26"/>
        </w:rPr>
        <w:t>%); </w:t>
      </w:r>
      <w:r w:rsidRPr="007A5E1C">
        <w:rPr>
          <w:rFonts w:asciiTheme="minorHAnsi" w:hAnsiTheme="minorHAnsi" w:cstheme="minorHAnsi"/>
          <w:b/>
          <w:bCs/>
          <w:sz w:val="26"/>
          <w:szCs w:val="26"/>
        </w:rPr>
        <w:t xml:space="preserve">ostatních důchodů z investic </w:t>
      </w:r>
      <w:r w:rsidRPr="007A5E1C">
        <w:rPr>
          <w:rFonts w:asciiTheme="minorHAnsi" w:hAnsiTheme="minorHAnsi" w:cstheme="minorHAnsi"/>
          <w:bCs/>
          <w:sz w:val="26"/>
          <w:szCs w:val="26"/>
        </w:rPr>
        <w:t>(16,0 mld. Kč; -30,1 %) a</w:t>
      </w:r>
      <w:r w:rsidRPr="007A5E1C">
        <w:rPr>
          <w:rFonts w:asciiTheme="minorHAnsi" w:hAnsiTheme="minorHAnsi" w:cstheme="minorHAnsi"/>
          <w:b/>
          <w:bCs/>
          <w:sz w:val="26"/>
          <w:szCs w:val="26"/>
        </w:rPr>
        <w:t xml:space="preserve"> důchodů z půdy </w:t>
      </w:r>
      <w:r w:rsidRPr="007A5E1C">
        <w:rPr>
          <w:rFonts w:asciiTheme="minorHAnsi" w:hAnsiTheme="minorHAnsi" w:cstheme="minorHAnsi"/>
          <w:bCs/>
          <w:sz w:val="26"/>
          <w:szCs w:val="26"/>
        </w:rPr>
        <w:t>(renty 9,2 mld. Kč, reálný pokles o 14,5 %);</w:t>
      </w:r>
      <w:r w:rsidRPr="007A5E1C">
        <w:rPr>
          <w:rFonts w:asciiTheme="minorHAnsi" w:hAnsiTheme="minorHAnsi" w:cstheme="minorHAnsi"/>
          <w:b/>
          <w:bCs/>
          <w:sz w:val="26"/>
          <w:szCs w:val="26"/>
        </w:rPr>
        <w:t xml:space="preserve"> reálný nárůst</w:t>
      </w:r>
      <w:r w:rsidRPr="007A5E1C">
        <w:rPr>
          <w:rFonts w:asciiTheme="minorHAnsi" w:hAnsiTheme="minorHAnsi" w:cstheme="minorHAnsi"/>
          <w:bCs/>
          <w:sz w:val="26"/>
          <w:szCs w:val="26"/>
        </w:rPr>
        <w:t xml:space="preserve"> byl zaznamenán </w:t>
      </w:r>
      <w:r w:rsidRPr="007A5E1C">
        <w:rPr>
          <w:rFonts w:asciiTheme="minorHAnsi" w:hAnsiTheme="minorHAnsi" w:cstheme="minorHAnsi"/>
          <w:b/>
          <w:bCs/>
          <w:sz w:val="26"/>
          <w:szCs w:val="26"/>
        </w:rPr>
        <w:t xml:space="preserve">u přijatých úroků </w:t>
      </w:r>
      <w:r w:rsidRPr="007A5E1C">
        <w:rPr>
          <w:rFonts w:asciiTheme="minorHAnsi" w:hAnsiTheme="minorHAnsi" w:cstheme="minorHAnsi"/>
          <w:bCs/>
          <w:sz w:val="26"/>
          <w:szCs w:val="26"/>
        </w:rPr>
        <w:t xml:space="preserve">(představovaly celkem 32,9 mld. Kč, +24,1 %) </w:t>
      </w:r>
      <w:r w:rsidRPr="007A5E1C">
        <w:rPr>
          <w:rFonts w:asciiTheme="minorHAnsi" w:hAnsiTheme="minorHAnsi" w:cstheme="minorHAnsi"/>
          <w:b/>
          <w:bCs/>
          <w:sz w:val="26"/>
          <w:szCs w:val="26"/>
        </w:rPr>
        <w:t>a</w:t>
      </w:r>
      <w:r w:rsidRPr="007A5E1C">
        <w:rPr>
          <w:rFonts w:asciiTheme="minorHAnsi" w:hAnsiTheme="minorHAnsi" w:cstheme="minorHAnsi"/>
          <w:bCs/>
          <w:sz w:val="26"/>
          <w:szCs w:val="26"/>
        </w:rPr>
        <w:t> </w:t>
      </w:r>
      <w:r w:rsidRPr="007A5E1C">
        <w:rPr>
          <w:rFonts w:asciiTheme="minorHAnsi" w:hAnsiTheme="minorHAnsi" w:cstheme="minorHAnsi"/>
          <w:b/>
          <w:bCs/>
          <w:sz w:val="26"/>
          <w:szCs w:val="26"/>
        </w:rPr>
        <w:t xml:space="preserve"> rozdělovaných důchodů společností </w:t>
      </w:r>
      <w:r w:rsidRPr="007A5E1C">
        <w:rPr>
          <w:rFonts w:asciiTheme="minorHAnsi" w:hAnsiTheme="minorHAnsi" w:cstheme="minorHAnsi"/>
          <w:bCs/>
          <w:sz w:val="26"/>
          <w:szCs w:val="26"/>
        </w:rPr>
        <w:t>(+4,6 %)</w:t>
      </w:r>
      <w:r w:rsidRPr="007A5E1C">
        <w:rPr>
          <w:rFonts w:asciiTheme="minorHAnsi" w:hAnsiTheme="minorHAnsi" w:cstheme="minorHAnsi"/>
          <w:b/>
          <w:bCs/>
          <w:sz w:val="26"/>
          <w:szCs w:val="26"/>
        </w:rPr>
        <w:t xml:space="preserve"> </w:t>
      </w:r>
      <w:r w:rsidRPr="007A5E1C">
        <w:rPr>
          <w:rFonts w:asciiTheme="minorHAnsi" w:hAnsiTheme="minorHAnsi" w:cstheme="minorHAnsi"/>
          <w:bCs/>
          <w:sz w:val="26"/>
          <w:szCs w:val="26"/>
        </w:rPr>
        <w:t>– jde hlavně o dividendy a jiné důchody z rozdělovaného zisku</w:t>
      </w:r>
      <w:r w:rsidRPr="007A5E1C">
        <w:rPr>
          <w:rFonts w:asciiTheme="minorHAnsi" w:hAnsiTheme="minorHAnsi" w:cstheme="minorHAnsi"/>
          <w:b/>
          <w:bCs/>
          <w:sz w:val="26"/>
          <w:szCs w:val="26"/>
        </w:rPr>
        <w:t xml:space="preserve"> </w:t>
      </w:r>
      <w:r w:rsidRPr="007A5E1C">
        <w:rPr>
          <w:rFonts w:asciiTheme="minorHAnsi" w:hAnsiTheme="minorHAnsi" w:cstheme="minorHAnsi"/>
          <w:bCs/>
          <w:sz w:val="26"/>
          <w:szCs w:val="26"/>
        </w:rPr>
        <w:t>(celkem činily 53,2 mld. Kč)</w:t>
      </w:r>
      <w:r w:rsidR="000D7192">
        <w:rPr>
          <w:rFonts w:asciiTheme="minorHAnsi" w:hAnsiTheme="minorHAnsi" w:cstheme="minorHAnsi"/>
          <w:bCs/>
          <w:sz w:val="26"/>
          <w:szCs w:val="26"/>
        </w:rPr>
        <w:t>,</w:t>
      </w:r>
    </w:p>
    <w:p w14:paraId="37BBF1D4" w14:textId="77777777" w:rsidR="007A5E1C" w:rsidRPr="007A5E1C" w:rsidRDefault="007A5E1C" w:rsidP="007A5E1C">
      <w:pPr>
        <w:numPr>
          <w:ilvl w:val="0"/>
          <w:numId w:val="21"/>
        </w:numPr>
        <w:spacing w:after="200" w:line="276" w:lineRule="auto"/>
        <w:jc w:val="both"/>
        <w:rPr>
          <w:rFonts w:asciiTheme="minorHAnsi" w:hAnsiTheme="minorHAnsi" w:cstheme="minorHAnsi"/>
          <w:bCs/>
          <w:sz w:val="26"/>
          <w:szCs w:val="26"/>
        </w:rPr>
      </w:pPr>
      <w:r w:rsidRPr="007A5E1C">
        <w:rPr>
          <w:rFonts w:asciiTheme="minorHAnsi" w:hAnsiTheme="minorHAnsi" w:cstheme="minorHAnsi"/>
          <w:b/>
          <w:bCs/>
          <w:sz w:val="26"/>
          <w:szCs w:val="26"/>
        </w:rPr>
        <w:t xml:space="preserve">tzv. ostatní běžné příjmy </w:t>
      </w:r>
      <w:r w:rsidRPr="007A5E1C">
        <w:rPr>
          <w:rFonts w:asciiTheme="minorHAnsi" w:hAnsiTheme="minorHAnsi" w:cstheme="minorHAnsi"/>
          <w:bCs/>
          <w:sz w:val="26"/>
          <w:szCs w:val="26"/>
        </w:rPr>
        <w:t xml:space="preserve">(transfery) v celkové výši </w:t>
      </w:r>
      <w:r w:rsidRPr="007A5E1C">
        <w:rPr>
          <w:rFonts w:asciiTheme="minorHAnsi" w:hAnsiTheme="minorHAnsi" w:cstheme="minorHAnsi"/>
          <w:b/>
          <w:bCs/>
          <w:sz w:val="26"/>
          <w:szCs w:val="26"/>
        </w:rPr>
        <w:t xml:space="preserve">312,2 mld. Kč </w:t>
      </w:r>
      <w:r w:rsidRPr="007A5E1C">
        <w:rPr>
          <w:rFonts w:asciiTheme="minorHAnsi" w:hAnsiTheme="minorHAnsi" w:cstheme="minorHAnsi"/>
          <w:bCs/>
          <w:sz w:val="26"/>
          <w:szCs w:val="26"/>
        </w:rPr>
        <w:t xml:space="preserve">meziročně </w:t>
      </w:r>
      <w:r w:rsidRPr="007A5E1C">
        <w:rPr>
          <w:rFonts w:asciiTheme="minorHAnsi" w:hAnsiTheme="minorHAnsi" w:cstheme="minorHAnsi"/>
          <w:b/>
          <w:bCs/>
          <w:sz w:val="26"/>
          <w:szCs w:val="26"/>
        </w:rPr>
        <w:t xml:space="preserve">poklesly o 7,8 % </w:t>
      </w:r>
      <w:r w:rsidRPr="007A5E1C">
        <w:rPr>
          <w:rFonts w:asciiTheme="minorHAnsi" w:hAnsiTheme="minorHAnsi" w:cstheme="minorHAnsi"/>
          <w:bCs/>
          <w:sz w:val="26"/>
          <w:szCs w:val="26"/>
        </w:rPr>
        <w:t xml:space="preserve">(v roce 2019 proti roku 2018 vzrostly o 20,5 %); z toho </w:t>
      </w:r>
      <w:r w:rsidRPr="007A5E1C">
        <w:rPr>
          <w:rFonts w:asciiTheme="minorHAnsi" w:hAnsiTheme="minorHAnsi" w:cstheme="minorHAnsi"/>
          <w:b/>
          <w:bCs/>
          <w:sz w:val="26"/>
          <w:szCs w:val="26"/>
        </w:rPr>
        <w:t>27,3 mld. Kč</w:t>
      </w:r>
      <w:r w:rsidRPr="007A5E1C">
        <w:rPr>
          <w:rFonts w:asciiTheme="minorHAnsi" w:hAnsiTheme="minorHAnsi" w:cstheme="minorHAnsi"/>
          <w:bCs/>
          <w:sz w:val="26"/>
          <w:szCs w:val="26"/>
        </w:rPr>
        <w:t xml:space="preserve"> představovaly </w:t>
      </w:r>
      <w:r w:rsidRPr="007A5E1C">
        <w:rPr>
          <w:rFonts w:asciiTheme="minorHAnsi" w:hAnsiTheme="minorHAnsi" w:cstheme="minorHAnsi"/>
          <w:b/>
          <w:bCs/>
          <w:sz w:val="26"/>
          <w:szCs w:val="26"/>
        </w:rPr>
        <w:t xml:space="preserve">náhrady z neživotního pojištění </w:t>
      </w:r>
      <w:r w:rsidRPr="007A5E1C">
        <w:rPr>
          <w:rFonts w:asciiTheme="minorHAnsi" w:hAnsiTheme="minorHAnsi" w:cstheme="minorHAnsi"/>
          <w:bCs/>
          <w:sz w:val="26"/>
          <w:szCs w:val="26"/>
        </w:rPr>
        <w:t xml:space="preserve">(ve srovnání s rokem 2019 to znamenalo reálný pokles jejich objemu o 3,0 %) </w:t>
      </w:r>
      <w:r w:rsidRPr="007A5E1C">
        <w:rPr>
          <w:rFonts w:asciiTheme="minorHAnsi" w:hAnsiTheme="minorHAnsi" w:cstheme="minorHAnsi"/>
          <w:b/>
          <w:bCs/>
          <w:sz w:val="26"/>
          <w:szCs w:val="26"/>
        </w:rPr>
        <w:t>a 284,9 mld. Kč</w:t>
      </w:r>
      <w:r w:rsidRPr="007A5E1C">
        <w:rPr>
          <w:rFonts w:asciiTheme="minorHAnsi" w:hAnsiTheme="minorHAnsi" w:cstheme="minorHAnsi"/>
          <w:bCs/>
          <w:sz w:val="26"/>
          <w:szCs w:val="26"/>
        </w:rPr>
        <w:t xml:space="preserve"> </w:t>
      </w:r>
      <w:r w:rsidRPr="007A5E1C">
        <w:rPr>
          <w:rFonts w:asciiTheme="minorHAnsi" w:hAnsiTheme="minorHAnsi" w:cstheme="minorHAnsi"/>
          <w:b/>
          <w:bCs/>
          <w:sz w:val="26"/>
          <w:szCs w:val="26"/>
        </w:rPr>
        <w:t xml:space="preserve">„jiné“ běžné transfery </w:t>
      </w:r>
      <w:r w:rsidRPr="007A5E1C">
        <w:rPr>
          <w:rFonts w:asciiTheme="minorHAnsi" w:hAnsiTheme="minorHAnsi" w:cstheme="minorHAnsi"/>
          <w:bCs/>
          <w:sz w:val="26"/>
          <w:szCs w:val="26"/>
        </w:rPr>
        <w:t>(mj. výhry, stipendia, výživné, dary, převody ze zahraničí a příjmy plynoucí z odškodnění obětí nacistické perzekuce, účastníků zahraničního a národního odboje a politických vězňů); jejich objem v reálném vyjádření poklesl o 11,3 %.</w:t>
      </w:r>
    </w:p>
    <w:p w14:paraId="7DD4B7AC" w14:textId="77777777" w:rsidR="00844D9D" w:rsidRPr="007F4BA4" w:rsidRDefault="00844D9D" w:rsidP="00844D9D">
      <w:pPr>
        <w:spacing w:after="200" w:line="276" w:lineRule="auto"/>
        <w:rPr>
          <w:rFonts w:asciiTheme="minorHAnsi" w:hAnsiTheme="minorHAnsi" w:cstheme="minorHAnsi"/>
          <w:bCs/>
          <w:sz w:val="26"/>
          <w:szCs w:val="26"/>
        </w:rPr>
      </w:pPr>
    </w:p>
    <w:p w14:paraId="64974A14" w14:textId="77777777" w:rsidR="00025091" w:rsidRPr="005E50DE" w:rsidRDefault="00025091" w:rsidP="00025091">
      <w:pPr>
        <w:pStyle w:val="Odstavecseseznamem"/>
        <w:numPr>
          <w:ilvl w:val="0"/>
          <w:numId w:val="21"/>
        </w:numPr>
      </w:pPr>
      <w:r w:rsidRPr="005E50DE">
        <w:br w:type="page"/>
      </w:r>
    </w:p>
    <w:p w14:paraId="1B01C034" w14:textId="6371DE5D" w:rsidR="00893A94" w:rsidRPr="00710980" w:rsidRDefault="00893A94" w:rsidP="000D7192">
      <w:pPr>
        <w:spacing w:after="360"/>
        <w:rPr>
          <w:rFonts w:asciiTheme="minorHAnsi" w:hAnsiTheme="minorHAnsi" w:cs="Arial"/>
          <w:b/>
          <w:iCs/>
          <w:smallCaps/>
          <w:color w:val="1F497D"/>
          <w:sz w:val="40"/>
          <w:szCs w:val="44"/>
        </w:rPr>
      </w:pPr>
      <w:r w:rsidRPr="00710980">
        <w:rPr>
          <w:rFonts w:asciiTheme="minorHAnsi" w:hAnsiTheme="minorHAnsi" w:cs="Arial"/>
          <w:b/>
          <w:iCs/>
          <w:smallCaps/>
          <w:color w:val="1F497D"/>
          <w:sz w:val="40"/>
          <w:szCs w:val="44"/>
        </w:rPr>
        <w:lastRenderedPageBreak/>
        <w:t>2.</w:t>
      </w:r>
      <w:r w:rsidRPr="00710980">
        <w:rPr>
          <w:rFonts w:asciiTheme="minorHAnsi" w:hAnsiTheme="minorHAnsi" w:cs="Arial"/>
          <w:b/>
          <w:i/>
          <w:iCs/>
          <w:smallCaps/>
          <w:color w:val="1F497D"/>
          <w:sz w:val="40"/>
          <w:szCs w:val="44"/>
        </w:rPr>
        <w:t xml:space="preserve"> </w:t>
      </w:r>
      <w:r w:rsidRPr="00710980">
        <w:rPr>
          <w:rFonts w:asciiTheme="minorHAnsi" w:hAnsiTheme="minorHAnsi" w:cs="Arial"/>
          <w:b/>
          <w:iCs/>
          <w:smallCaps/>
          <w:color w:val="1F497D"/>
          <w:sz w:val="40"/>
          <w:szCs w:val="44"/>
        </w:rPr>
        <w:t>Spotřebitelské ceny a životní náklady</w:t>
      </w:r>
    </w:p>
    <w:p w14:paraId="262D362D" w14:textId="77777777" w:rsidR="000D7192" w:rsidRPr="00DC0686" w:rsidRDefault="000D7192" w:rsidP="000D7192">
      <w:pPr>
        <w:spacing w:after="240" w:line="360" w:lineRule="auto"/>
        <w:jc w:val="both"/>
        <w:rPr>
          <w:rFonts w:asciiTheme="minorHAnsi" w:hAnsiTheme="minorHAnsi" w:cs="Arial"/>
          <w:b/>
          <w:sz w:val="26"/>
          <w:szCs w:val="26"/>
        </w:rPr>
      </w:pPr>
      <w:r w:rsidRPr="00DC0686">
        <w:rPr>
          <w:rFonts w:asciiTheme="minorHAnsi" w:hAnsiTheme="minorHAnsi" w:cs="Arial"/>
          <w:b/>
          <w:sz w:val="26"/>
          <w:szCs w:val="26"/>
        </w:rPr>
        <w:tab/>
        <w:t>Průměrná m</w:t>
      </w:r>
      <w:r w:rsidRPr="00DC0686">
        <w:rPr>
          <w:rFonts w:asciiTheme="minorHAnsi" w:hAnsiTheme="minorHAnsi" w:cs="Arial"/>
          <w:b/>
          <w:bCs/>
          <w:sz w:val="26"/>
          <w:szCs w:val="26"/>
        </w:rPr>
        <w:t>eziroční</w:t>
      </w:r>
      <w:r w:rsidRPr="00DC0686">
        <w:rPr>
          <w:rFonts w:asciiTheme="minorHAnsi" w:hAnsiTheme="minorHAnsi" w:cs="Arial"/>
          <w:sz w:val="26"/>
          <w:szCs w:val="26"/>
        </w:rPr>
        <w:t xml:space="preserve"> </w:t>
      </w:r>
      <w:r w:rsidRPr="00DC0686">
        <w:rPr>
          <w:rFonts w:asciiTheme="minorHAnsi" w:hAnsiTheme="minorHAnsi" w:cs="Arial"/>
          <w:b/>
          <w:sz w:val="26"/>
          <w:szCs w:val="26"/>
        </w:rPr>
        <w:t xml:space="preserve">míra cenové inflace </w:t>
      </w:r>
      <w:r w:rsidRPr="00DC0686">
        <w:rPr>
          <w:rFonts w:asciiTheme="minorHAnsi" w:hAnsiTheme="minorHAnsi" w:cs="Arial"/>
          <w:sz w:val="26"/>
          <w:szCs w:val="26"/>
        </w:rPr>
        <w:t>domácností celkem</w:t>
      </w:r>
      <w:r w:rsidRPr="00DC0686">
        <w:rPr>
          <w:rFonts w:asciiTheme="minorHAnsi" w:hAnsiTheme="minorHAnsi" w:cs="Arial"/>
          <w:b/>
          <w:sz w:val="26"/>
          <w:szCs w:val="26"/>
        </w:rPr>
        <w:t xml:space="preserve"> </w:t>
      </w:r>
      <w:r w:rsidRPr="00DC0686">
        <w:rPr>
          <w:rFonts w:asciiTheme="minorHAnsi" w:hAnsiTheme="minorHAnsi" w:cs="Arial"/>
          <w:sz w:val="26"/>
          <w:szCs w:val="26"/>
        </w:rPr>
        <w:t>byla v roce 20</w:t>
      </w:r>
      <w:r>
        <w:rPr>
          <w:rFonts w:asciiTheme="minorHAnsi" w:hAnsiTheme="minorHAnsi" w:cs="Arial"/>
          <w:sz w:val="26"/>
          <w:szCs w:val="26"/>
        </w:rPr>
        <w:t>20</w:t>
      </w:r>
      <w:r w:rsidRPr="00DC0686">
        <w:rPr>
          <w:rFonts w:asciiTheme="minorHAnsi" w:hAnsiTheme="minorHAnsi" w:cs="Arial"/>
          <w:sz w:val="26"/>
          <w:szCs w:val="26"/>
        </w:rPr>
        <w:t xml:space="preserve"> o 0,</w:t>
      </w:r>
      <w:r>
        <w:rPr>
          <w:rFonts w:asciiTheme="minorHAnsi" w:hAnsiTheme="minorHAnsi" w:cs="Arial"/>
          <w:sz w:val="26"/>
          <w:szCs w:val="26"/>
        </w:rPr>
        <w:t>4 </w:t>
      </w:r>
      <w:r w:rsidRPr="00DC0686">
        <w:rPr>
          <w:rFonts w:asciiTheme="minorHAnsi" w:hAnsiTheme="minorHAnsi" w:cs="Arial"/>
          <w:sz w:val="26"/>
          <w:szCs w:val="26"/>
        </w:rPr>
        <w:t xml:space="preserve">p. b. vyšší než předchozí rok a </w:t>
      </w:r>
      <w:r w:rsidRPr="00DC0686">
        <w:rPr>
          <w:rFonts w:asciiTheme="minorHAnsi" w:hAnsiTheme="minorHAnsi" w:cs="Arial"/>
          <w:b/>
          <w:sz w:val="26"/>
          <w:szCs w:val="26"/>
        </w:rPr>
        <w:t>činila</w:t>
      </w:r>
      <w:r w:rsidRPr="00DC0686">
        <w:rPr>
          <w:rFonts w:asciiTheme="minorHAnsi" w:hAnsiTheme="minorHAnsi" w:cs="Arial"/>
          <w:sz w:val="26"/>
          <w:szCs w:val="26"/>
        </w:rPr>
        <w:t xml:space="preserve"> </w:t>
      </w:r>
      <w:r>
        <w:rPr>
          <w:rFonts w:asciiTheme="minorHAnsi" w:hAnsiTheme="minorHAnsi" w:cs="Arial"/>
          <w:b/>
          <w:sz w:val="26"/>
          <w:szCs w:val="26"/>
        </w:rPr>
        <w:t>3</w:t>
      </w:r>
      <w:r w:rsidRPr="00DC0686">
        <w:rPr>
          <w:rFonts w:asciiTheme="minorHAnsi" w:hAnsiTheme="minorHAnsi" w:cs="Arial"/>
          <w:b/>
          <w:sz w:val="26"/>
          <w:szCs w:val="26"/>
        </w:rPr>
        <w:t>,</w:t>
      </w:r>
      <w:r>
        <w:rPr>
          <w:rFonts w:asciiTheme="minorHAnsi" w:hAnsiTheme="minorHAnsi" w:cs="Arial"/>
          <w:b/>
          <w:sz w:val="26"/>
          <w:szCs w:val="26"/>
        </w:rPr>
        <w:t>2</w:t>
      </w:r>
      <w:r w:rsidRPr="00DC0686">
        <w:rPr>
          <w:rFonts w:asciiTheme="minorHAnsi" w:hAnsiTheme="minorHAnsi" w:cs="Arial"/>
          <w:b/>
          <w:sz w:val="26"/>
          <w:szCs w:val="26"/>
        </w:rPr>
        <w:t xml:space="preserve"> %. </w:t>
      </w:r>
    </w:p>
    <w:p w14:paraId="2F8414EB" w14:textId="2F2D5BA3" w:rsidR="000D7192" w:rsidRPr="00DC0686" w:rsidRDefault="000D7192" w:rsidP="000D7192">
      <w:pPr>
        <w:spacing w:after="120" w:line="360" w:lineRule="auto"/>
        <w:jc w:val="both"/>
        <w:rPr>
          <w:rFonts w:asciiTheme="minorHAnsi" w:hAnsiTheme="minorHAnsi" w:cs="Arial"/>
          <w:b/>
          <w:sz w:val="26"/>
          <w:szCs w:val="26"/>
        </w:rPr>
      </w:pPr>
      <w:r w:rsidRPr="00DC0686">
        <w:rPr>
          <w:rFonts w:asciiTheme="minorHAnsi" w:hAnsiTheme="minorHAnsi" w:cs="Arial"/>
          <w:b/>
          <w:sz w:val="26"/>
          <w:szCs w:val="26"/>
        </w:rPr>
        <w:tab/>
      </w:r>
      <w:r w:rsidRPr="00DC0686">
        <w:rPr>
          <w:rFonts w:asciiTheme="minorHAnsi" w:hAnsiTheme="minorHAnsi" w:cs="Arial"/>
          <w:sz w:val="26"/>
          <w:szCs w:val="26"/>
        </w:rPr>
        <w:t xml:space="preserve">Jak ukazuje následující graf, mírně </w:t>
      </w:r>
      <w:r w:rsidRPr="00DC0686">
        <w:rPr>
          <w:rFonts w:asciiTheme="minorHAnsi" w:hAnsiTheme="minorHAnsi" w:cs="Arial"/>
          <w:b/>
          <w:sz w:val="26"/>
          <w:szCs w:val="26"/>
        </w:rPr>
        <w:t>příznivější</w:t>
      </w:r>
      <w:r w:rsidRPr="00DC0686">
        <w:rPr>
          <w:rFonts w:asciiTheme="minorHAnsi" w:hAnsiTheme="minorHAnsi" w:cs="Arial"/>
          <w:sz w:val="26"/>
          <w:szCs w:val="26"/>
        </w:rPr>
        <w:t xml:space="preserve"> </w:t>
      </w:r>
      <w:r w:rsidRPr="00DC0686">
        <w:rPr>
          <w:rFonts w:asciiTheme="minorHAnsi" w:hAnsiTheme="minorHAnsi" w:cs="Arial"/>
          <w:b/>
          <w:sz w:val="26"/>
          <w:szCs w:val="26"/>
        </w:rPr>
        <w:t xml:space="preserve">vývoj cen byl sice v posledních letech vykázán u životních nákladů </w:t>
      </w:r>
      <w:r w:rsidRPr="00DC0686">
        <w:rPr>
          <w:rFonts w:asciiTheme="minorHAnsi" w:hAnsiTheme="minorHAnsi" w:cs="Arial"/>
          <w:sz w:val="26"/>
          <w:szCs w:val="26"/>
        </w:rPr>
        <w:t>domácností</w:t>
      </w:r>
      <w:r w:rsidRPr="00DC0686">
        <w:rPr>
          <w:rFonts w:asciiTheme="minorHAnsi" w:hAnsiTheme="minorHAnsi" w:cs="Arial"/>
          <w:b/>
          <w:sz w:val="26"/>
          <w:szCs w:val="26"/>
        </w:rPr>
        <w:t xml:space="preserve"> důchodců, ale v roce 20</w:t>
      </w:r>
      <w:r>
        <w:rPr>
          <w:rFonts w:asciiTheme="minorHAnsi" w:hAnsiTheme="minorHAnsi" w:cs="Arial"/>
          <w:b/>
          <w:sz w:val="26"/>
          <w:szCs w:val="26"/>
        </w:rPr>
        <w:t>20</w:t>
      </w:r>
      <w:r w:rsidRPr="00DC0686">
        <w:rPr>
          <w:rFonts w:asciiTheme="minorHAnsi" w:hAnsiTheme="minorHAnsi" w:cs="Arial"/>
          <w:b/>
          <w:sz w:val="26"/>
          <w:szCs w:val="26"/>
        </w:rPr>
        <w:t xml:space="preserve"> byl index </w:t>
      </w:r>
      <w:r w:rsidR="00CF4484">
        <w:rPr>
          <w:rFonts w:asciiTheme="minorHAnsi" w:hAnsiTheme="minorHAnsi" w:cs="Arial"/>
          <w:b/>
          <w:sz w:val="26"/>
          <w:szCs w:val="26"/>
        </w:rPr>
        <w:t>o </w:t>
      </w:r>
      <w:r>
        <w:rPr>
          <w:rFonts w:asciiTheme="minorHAnsi" w:hAnsiTheme="minorHAnsi" w:cs="Arial"/>
          <w:b/>
          <w:sz w:val="26"/>
          <w:szCs w:val="26"/>
        </w:rPr>
        <w:t>0,3 p. b. vyšší než</w:t>
      </w:r>
      <w:r w:rsidRPr="00DC0686">
        <w:rPr>
          <w:rFonts w:asciiTheme="minorHAnsi" w:hAnsiTheme="minorHAnsi" w:cs="Arial"/>
          <w:b/>
          <w:sz w:val="26"/>
          <w:szCs w:val="26"/>
        </w:rPr>
        <w:t xml:space="preserve"> u domácností celkem:</w:t>
      </w:r>
    </w:p>
    <w:p w14:paraId="79235A87" w14:textId="77777777" w:rsidR="000D7192" w:rsidRPr="00DC0686" w:rsidRDefault="000D7192" w:rsidP="000D7192">
      <w:pPr>
        <w:jc w:val="both"/>
        <w:rPr>
          <w:rFonts w:asciiTheme="minorHAnsi" w:hAnsiTheme="minorHAnsi" w:cs="Arial"/>
          <w:szCs w:val="28"/>
        </w:rPr>
      </w:pPr>
      <w:r>
        <w:rPr>
          <w:rFonts w:asciiTheme="minorHAnsi" w:hAnsiTheme="minorHAnsi" w:cs="Arial"/>
          <w:noProof/>
          <w:szCs w:val="28"/>
        </w:rPr>
        <w:drawing>
          <wp:inline distT="0" distB="0" distL="0" distR="0" wp14:anchorId="76A12D2F" wp14:editId="204F5D76">
            <wp:extent cx="5767235" cy="3295650"/>
            <wp:effectExtent l="0" t="0" r="508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78803" cy="3302261"/>
                    </a:xfrm>
                    <a:prstGeom prst="rect">
                      <a:avLst/>
                    </a:prstGeom>
                    <a:noFill/>
                  </pic:spPr>
                </pic:pic>
              </a:graphicData>
            </a:graphic>
          </wp:inline>
        </w:drawing>
      </w:r>
    </w:p>
    <w:p w14:paraId="5C54E11B" w14:textId="77777777" w:rsidR="000D7192" w:rsidRPr="00DC0686" w:rsidRDefault="000D7192" w:rsidP="000D7192">
      <w:pPr>
        <w:spacing w:before="120" w:after="240" w:line="360" w:lineRule="auto"/>
        <w:jc w:val="both"/>
        <w:rPr>
          <w:rFonts w:asciiTheme="minorHAnsi" w:hAnsiTheme="minorHAnsi" w:cs="Arial"/>
          <w:bCs/>
          <w:sz w:val="20"/>
          <w:szCs w:val="28"/>
        </w:rPr>
      </w:pPr>
      <w:r w:rsidRPr="00DC0686">
        <w:rPr>
          <w:rFonts w:asciiTheme="minorHAnsi" w:hAnsiTheme="minorHAnsi" w:cs="Arial"/>
          <w:bCs/>
          <w:sz w:val="20"/>
          <w:szCs w:val="28"/>
        </w:rPr>
        <w:t>Zpracováno z dat ČSÚ</w:t>
      </w:r>
    </w:p>
    <w:p w14:paraId="3F4CB096" w14:textId="77777777" w:rsidR="000D7192" w:rsidRPr="00DC0686" w:rsidRDefault="000D7192" w:rsidP="000D7192">
      <w:pPr>
        <w:spacing w:after="240" w:line="360" w:lineRule="auto"/>
        <w:jc w:val="both"/>
        <w:rPr>
          <w:rFonts w:asciiTheme="minorHAnsi" w:hAnsiTheme="minorHAnsi" w:cs="Arial"/>
          <w:bCs/>
          <w:sz w:val="26"/>
          <w:szCs w:val="26"/>
        </w:rPr>
      </w:pPr>
      <w:r w:rsidRPr="00DC0686">
        <w:rPr>
          <w:rFonts w:asciiTheme="minorHAnsi" w:hAnsiTheme="minorHAnsi" w:cs="Arial"/>
          <w:b/>
          <w:sz w:val="26"/>
          <w:szCs w:val="26"/>
        </w:rPr>
        <w:tab/>
      </w:r>
      <w:r w:rsidRPr="00DC0686">
        <w:rPr>
          <w:rFonts w:asciiTheme="minorHAnsi" w:hAnsiTheme="minorHAnsi" w:cs="Arial"/>
          <w:sz w:val="26"/>
          <w:szCs w:val="26"/>
        </w:rPr>
        <w:t>V porovnání</w:t>
      </w:r>
      <w:r w:rsidRPr="00DC0686">
        <w:rPr>
          <w:rFonts w:asciiTheme="minorHAnsi" w:hAnsiTheme="minorHAnsi" w:cs="Arial"/>
          <w:b/>
          <w:sz w:val="26"/>
          <w:szCs w:val="26"/>
        </w:rPr>
        <w:t xml:space="preserve"> prosinec 20</w:t>
      </w:r>
      <w:r>
        <w:rPr>
          <w:rFonts w:asciiTheme="minorHAnsi" w:hAnsiTheme="minorHAnsi" w:cs="Arial"/>
          <w:b/>
          <w:sz w:val="26"/>
          <w:szCs w:val="26"/>
        </w:rPr>
        <w:t>20</w:t>
      </w:r>
      <w:r w:rsidRPr="00DC0686">
        <w:rPr>
          <w:rFonts w:asciiTheme="minorHAnsi" w:hAnsiTheme="minorHAnsi" w:cs="Arial"/>
          <w:b/>
          <w:sz w:val="26"/>
          <w:szCs w:val="26"/>
        </w:rPr>
        <w:t xml:space="preserve"> / prosinec 201</w:t>
      </w:r>
      <w:r>
        <w:rPr>
          <w:rFonts w:asciiTheme="minorHAnsi" w:hAnsiTheme="minorHAnsi" w:cs="Arial"/>
          <w:b/>
          <w:sz w:val="26"/>
          <w:szCs w:val="26"/>
        </w:rPr>
        <w:t>9</w:t>
      </w:r>
      <w:r w:rsidRPr="00DC0686">
        <w:rPr>
          <w:rFonts w:asciiTheme="minorHAnsi" w:hAnsiTheme="minorHAnsi" w:cs="Arial"/>
          <w:b/>
          <w:sz w:val="26"/>
          <w:szCs w:val="26"/>
        </w:rPr>
        <w:t xml:space="preserve"> vzrostla </w:t>
      </w:r>
      <w:r w:rsidRPr="00DC0686">
        <w:rPr>
          <w:rFonts w:asciiTheme="minorHAnsi" w:hAnsiTheme="minorHAnsi" w:cs="Arial"/>
          <w:sz w:val="26"/>
          <w:szCs w:val="26"/>
        </w:rPr>
        <w:t xml:space="preserve">úhrnná </w:t>
      </w:r>
      <w:r w:rsidRPr="00DC0686">
        <w:rPr>
          <w:rFonts w:asciiTheme="minorHAnsi" w:hAnsiTheme="minorHAnsi" w:cs="Arial"/>
          <w:b/>
          <w:sz w:val="26"/>
          <w:szCs w:val="26"/>
        </w:rPr>
        <w:t>cenová hladina o </w:t>
      </w:r>
      <w:r>
        <w:rPr>
          <w:rFonts w:asciiTheme="minorHAnsi" w:hAnsiTheme="minorHAnsi" w:cs="Arial"/>
          <w:b/>
          <w:sz w:val="26"/>
          <w:szCs w:val="26"/>
        </w:rPr>
        <w:t>2</w:t>
      </w:r>
      <w:r w:rsidRPr="00DC0686">
        <w:rPr>
          <w:rFonts w:asciiTheme="minorHAnsi" w:hAnsiTheme="minorHAnsi" w:cs="Arial"/>
          <w:b/>
          <w:sz w:val="26"/>
          <w:szCs w:val="26"/>
        </w:rPr>
        <w:t>,</w:t>
      </w:r>
      <w:r>
        <w:rPr>
          <w:rFonts w:asciiTheme="minorHAnsi" w:hAnsiTheme="minorHAnsi" w:cs="Arial"/>
          <w:b/>
          <w:sz w:val="26"/>
          <w:szCs w:val="26"/>
        </w:rPr>
        <w:t>3</w:t>
      </w:r>
      <w:r w:rsidRPr="00DC0686">
        <w:rPr>
          <w:rFonts w:asciiTheme="minorHAnsi" w:hAnsiTheme="minorHAnsi"/>
          <w:sz w:val="26"/>
          <w:szCs w:val="26"/>
        </w:rPr>
        <w:t> </w:t>
      </w:r>
      <w:r w:rsidRPr="00DC0686">
        <w:rPr>
          <w:rFonts w:asciiTheme="minorHAnsi" w:hAnsiTheme="minorHAnsi" w:cs="Arial"/>
          <w:b/>
          <w:sz w:val="26"/>
          <w:szCs w:val="26"/>
        </w:rPr>
        <w:t xml:space="preserve">% </w:t>
      </w:r>
      <w:r w:rsidRPr="00DC0686">
        <w:rPr>
          <w:rFonts w:asciiTheme="minorHAnsi" w:hAnsiTheme="minorHAnsi" w:cs="Arial"/>
          <w:bCs/>
          <w:sz w:val="26"/>
          <w:szCs w:val="26"/>
        </w:rPr>
        <w:t>(viz tabulku č. 22 v příloze).</w:t>
      </w:r>
    </w:p>
    <w:p w14:paraId="7C1F33EB" w14:textId="77777777" w:rsidR="000D7192" w:rsidRPr="00B342C7" w:rsidRDefault="000D7192" w:rsidP="000D7192">
      <w:pPr>
        <w:spacing w:after="240" w:line="360" w:lineRule="auto"/>
        <w:jc w:val="both"/>
        <w:rPr>
          <w:rFonts w:asciiTheme="minorHAnsi" w:hAnsiTheme="minorHAnsi" w:cs="Arial"/>
          <w:bCs/>
          <w:sz w:val="26"/>
          <w:szCs w:val="26"/>
        </w:rPr>
      </w:pPr>
      <w:r w:rsidRPr="00B342C7">
        <w:rPr>
          <w:rFonts w:asciiTheme="minorHAnsi" w:hAnsiTheme="minorHAnsi" w:cs="Arial"/>
          <w:bCs/>
          <w:sz w:val="26"/>
          <w:szCs w:val="26"/>
        </w:rPr>
        <w:tab/>
      </w:r>
      <w:r w:rsidRPr="00B342C7">
        <w:rPr>
          <w:rFonts w:asciiTheme="minorHAnsi" w:hAnsiTheme="minorHAnsi" w:cs="Arial"/>
          <w:b/>
          <w:bCs/>
          <w:sz w:val="26"/>
          <w:szCs w:val="26"/>
        </w:rPr>
        <w:t>Ve čtvrtém čtvrtletí 2020 poklesly náklady domácností oproti třetímu čtvrtletí o 0,4 %.</w:t>
      </w:r>
      <w:r w:rsidRPr="00B342C7">
        <w:rPr>
          <w:rFonts w:asciiTheme="minorHAnsi" w:hAnsiTheme="minorHAnsi" w:cs="Arial"/>
          <w:bCs/>
          <w:sz w:val="26"/>
          <w:szCs w:val="26"/>
        </w:rPr>
        <w:t xml:space="preserve"> Zejména se jednalo o mezičtvrtletní </w:t>
      </w:r>
      <w:r w:rsidRPr="00B342C7">
        <w:rPr>
          <w:rFonts w:asciiTheme="minorHAnsi" w:hAnsiTheme="minorHAnsi" w:cs="Arial"/>
          <w:b/>
          <w:bCs/>
          <w:sz w:val="26"/>
          <w:szCs w:val="26"/>
        </w:rPr>
        <w:t>snížení</w:t>
      </w:r>
      <w:r w:rsidRPr="00B342C7">
        <w:rPr>
          <w:rFonts w:asciiTheme="minorHAnsi" w:hAnsiTheme="minorHAnsi" w:cs="Arial"/>
          <w:bCs/>
          <w:sz w:val="26"/>
          <w:szCs w:val="26"/>
        </w:rPr>
        <w:t xml:space="preserve"> </w:t>
      </w:r>
      <w:r w:rsidRPr="00B342C7">
        <w:rPr>
          <w:rFonts w:asciiTheme="minorHAnsi" w:hAnsiTheme="minorHAnsi" w:cs="Arial"/>
          <w:b/>
          <w:bCs/>
          <w:sz w:val="26"/>
          <w:szCs w:val="26"/>
        </w:rPr>
        <w:t>cen</w:t>
      </w:r>
      <w:r w:rsidRPr="00B342C7">
        <w:rPr>
          <w:rFonts w:asciiTheme="minorHAnsi" w:hAnsiTheme="minorHAnsi" w:cs="Arial"/>
          <w:bCs/>
          <w:sz w:val="26"/>
          <w:szCs w:val="26"/>
        </w:rPr>
        <w:t xml:space="preserve"> v oddílech </w:t>
      </w:r>
      <w:r w:rsidRPr="00B342C7">
        <w:rPr>
          <w:rFonts w:asciiTheme="minorHAnsi" w:hAnsiTheme="minorHAnsi" w:cs="Arial"/>
          <w:b/>
          <w:bCs/>
          <w:sz w:val="26"/>
          <w:szCs w:val="26"/>
        </w:rPr>
        <w:t>potraviny a nealkoholické nápoje</w:t>
      </w:r>
      <w:r w:rsidRPr="00B342C7">
        <w:rPr>
          <w:rFonts w:asciiTheme="minorHAnsi" w:hAnsiTheme="minorHAnsi" w:cs="Arial"/>
          <w:bCs/>
          <w:sz w:val="26"/>
          <w:szCs w:val="26"/>
        </w:rPr>
        <w:t xml:space="preserve"> (o 0,8 %), </w:t>
      </w:r>
      <w:r w:rsidRPr="00B342C7">
        <w:rPr>
          <w:rFonts w:asciiTheme="minorHAnsi" w:hAnsiTheme="minorHAnsi" w:cs="Arial"/>
          <w:b/>
          <w:bCs/>
          <w:sz w:val="26"/>
          <w:szCs w:val="26"/>
        </w:rPr>
        <w:t>bydlení</w:t>
      </w:r>
      <w:r w:rsidRPr="00B342C7">
        <w:rPr>
          <w:rFonts w:asciiTheme="minorHAnsi" w:hAnsiTheme="minorHAnsi" w:cs="Arial"/>
          <w:bCs/>
          <w:sz w:val="26"/>
          <w:szCs w:val="26"/>
        </w:rPr>
        <w:t xml:space="preserve"> (o 0,3 %), </w:t>
      </w:r>
      <w:r w:rsidRPr="00B342C7">
        <w:rPr>
          <w:rFonts w:asciiTheme="minorHAnsi" w:hAnsiTheme="minorHAnsi" w:cs="Arial"/>
          <w:b/>
          <w:bCs/>
          <w:sz w:val="26"/>
          <w:szCs w:val="26"/>
        </w:rPr>
        <w:t>rekreace a kultura</w:t>
      </w:r>
      <w:r w:rsidRPr="00B342C7">
        <w:rPr>
          <w:rFonts w:asciiTheme="minorHAnsi" w:hAnsiTheme="minorHAnsi" w:cs="Arial"/>
          <w:bCs/>
          <w:sz w:val="26"/>
          <w:szCs w:val="26"/>
        </w:rPr>
        <w:t xml:space="preserve"> (o 3,7 %). </w:t>
      </w:r>
      <w:r w:rsidRPr="00B342C7">
        <w:rPr>
          <w:rFonts w:asciiTheme="minorHAnsi" w:hAnsiTheme="minorHAnsi" w:cs="Arial"/>
          <w:b/>
          <w:bCs/>
          <w:sz w:val="26"/>
          <w:szCs w:val="26"/>
        </w:rPr>
        <w:t>Proinflačně</w:t>
      </w:r>
      <w:r w:rsidRPr="00B342C7">
        <w:rPr>
          <w:rFonts w:asciiTheme="minorHAnsi" w:hAnsiTheme="minorHAnsi" w:cs="Arial"/>
          <w:bCs/>
          <w:sz w:val="26"/>
          <w:szCs w:val="26"/>
        </w:rPr>
        <w:t xml:space="preserve"> naopak především </w:t>
      </w:r>
      <w:r w:rsidRPr="00B342C7">
        <w:rPr>
          <w:rFonts w:asciiTheme="minorHAnsi" w:hAnsiTheme="minorHAnsi" w:cs="Arial"/>
          <w:b/>
          <w:bCs/>
          <w:sz w:val="26"/>
          <w:szCs w:val="26"/>
        </w:rPr>
        <w:t>působil růst cen v oddílech odívání a obuv</w:t>
      </w:r>
      <w:r w:rsidRPr="00B342C7">
        <w:rPr>
          <w:rFonts w:asciiTheme="minorHAnsi" w:hAnsiTheme="minorHAnsi" w:cs="Arial"/>
          <w:bCs/>
          <w:sz w:val="26"/>
          <w:szCs w:val="26"/>
        </w:rPr>
        <w:t xml:space="preserve"> (o 3,1 %) a </w:t>
      </w:r>
      <w:r w:rsidRPr="00B342C7">
        <w:rPr>
          <w:rFonts w:asciiTheme="minorHAnsi" w:hAnsiTheme="minorHAnsi" w:cs="Arial"/>
          <w:b/>
          <w:bCs/>
          <w:sz w:val="26"/>
          <w:szCs w:val="26"/>
        </w:rPr>
        <w:t>doprava</w:t>
      </w:r>
      <w:r w:rsidRPr="00B342C7">
        <w:rPr>
          <w:rFonts w:asciiTheme="minorHAnsi" w:hAnsiTheme="minorHAnsi" w:cs="Arial"/>
          <w:bCs/>
          <w:sz w:val="26"/>
          <w:szCs w:val="26"/>
        </w:rPr>
        <w:t xml:space="preserve"> (o 0,7 %). V prvních třech čtvrtletích byl zaznamenán mezičtvrtletní cenový růst. V prvním čtvrtletí došlo ke zvýšení spotřebitelských cen o 1,8 %, v</w:t>
      </w:r>
      <w:r>
        <w:rPr>
          <w:rFonts w:asciiTheme="minorHAnsi" w:hAnsiTheme="minorHAnsi" w:cs="Arial"/>
          <w:bCs/>
          <w:sz w:val="26"/>
          <w:szCs w:val="26"/>
        </w:rPr>
        <w:t xml:space="preserve"> </w:t>
      </w:r>
      <w:r w:rsidRPr="00B342C7">
        <w:rPr>
          <w:rFonts w:asciiTheme="minorHAnsi" w:hAnsiTheme="minorHAnsi" w:cs="Arial"/>
          <w:bCs/>
          <w:sz w:val="26"/>
          <w:szCs w:val="26"/>
        </w:rPr>
        <w:t>druhém a třetím čtvrtletí o 0,3 %, respektive o 0,8 %.</w:t>
      </w:r>
    </w:p>
    <w:p w14:paraId="5417BEDF" w14:textId="4E4FB2BB" w:rsidR="000D7192" w:rsidRPr="00DC0686" w:rsidRDefault="000D7192" w:rsidP="000D7192">
      <w:pPr>
        <w:spacing w:after="360" w:line="360" w:lineRule="auto"/>
        <w:jc w:val="both"/>
        <w:rPr>
          <w:rFonts w:asciiTheme="minorHAnsi" w:hAnsiTheme="minorHAnsi" w:cs="Arial"/>
          <w:szCs w:val="28"/>
        </w:rPr>
      </w:pPr>
      <w:r w:rsidRPr="00DC0686">
        <w:rPr>
          <w:rFonts w:asciiTheme="minorHAnsi" w:hAnsiTheme="minorHAnsi"/>
          <w:b/>
          <w:bCs/>
          <w:sz w:val="26"/>
          <w:szCs w:val="26"/>
        </w:rPr>
        <w:lastRenderedPageBreak/>
        <w:tab/>
      </w:r>
      <w:r w:rsidRPr="00DC0686">
        <w:rPr>
          <w:rFonts w:asciiTheme="minorHAnsi" w:hAnsiTheme="minorHAnsi" w:cs="Arial"/>
          <w:b/>
          <w:sz w:val="26"/>
          <w:szCs w:val="26"/>
        </w:rPr>
        <w:t>K</w:t>
      </w:r>
      <w:r>
        <w:rPr>
          <w:rFonts w:asciiTheme="minorHAnsi" w:hAnsiTheme="minorHAnsi" w:cs="Arial"/>
          <w:b/>
          <w:sz w:val="26"/>
          <w:szCs w:val="26"/>
        </w:rPr>
        <w:t xml:space="preserve"> </w:t>
      </w:r>
      <w:r w:rsidRPr="00DC0686">
        <w:rPr>
          <w:rFonts w:asciiTheme="minorHAnsi" w:hAnsiTheme="minorHAnsi" w:cs="Arial"/>
          <w:b/>
          <w:sz w:val="26"/>
          <w:szCs w:val="26"/>
        </w:rPr>
        <w:t>meziročnímu přírůstku</w:t>
      </w:r>
      <w:r w:rsidRPr="00DC0686">
        <w:rPr>
          <w:rFonts w:asciiTheme="minorHAnsi" w:hAnsiTheme="minorHAnsi" w:cs="Arial"/>
          <w:sz w:val="26"/>
          <w:szCs w:val="26"/>
        </w:rPr>
        <w:t xml:space="preserve"> úhrnného indexu </w:t>
      </w:r>
      <w:r w:rsidRPr="00DC0686">
        <w:rPr>
          <w:rFonts w:asciiTheme="minorHAnsi" w:hAnsiTheme="minorHAnsi" w:cs="Arial"/>
          <w:b/>
          <w:sz w:val="26"/>
          <w:szCs w:val="26"/>
        </w:rPr>
        <w:t>spotřebitelských cen</w:t>
      </w:r>
      <w:r w:rsidRPr="00DC0686">
        <w:rPr>
          <w:rFonts w:asciiTheme="minorHAnsi" w:hAnsiTheme="minorHAnsi" w:cs="Arial"/>
          <w:sz w:val="26"/>
          <w:szCs w:val="26"/>
        </w:rPr>
        <w:t xml:space="preserve"> </w:t>
      </w:r>
      <w:r w:rsidRPr="00DC0686">
        <w:rPr>
          <w:rFonts w:asciiTheme="minorHAnsi" w:hAnsiTheme="minorHAnsi" w:cs="Arial"/>
          <w:b/>
          <w:sz w:val="26"/>
          <w:szCs w:val="26"/>
        </w:rPr>
        <w:t>přispěly</w:t>
      </w:r>
      <w:r w:rsidRPr="00DC0686">
        <w:rPr>
          <w:rFonts w:asciiTheme="minorHAnsi" w:hAnsiTheme="minorHAnsi" w:cs="Arial"/>
          <w:sz w:val="26"/>
          <w:szCs w:val="26"/>
        </w:rPr>
        <w:t xml:space="preserve"> (vzhledem k </w:t>
      </w:r>
      <w:r w:rsidR="00CF4484">
        <w:rPr>
          <w:rFonts w:asciiTheme="minorHAnsi" w:hAnsiTheme="minorHAnsi" w:cs="Arial"/>
          <w:sz w:val="26"/>
          <w:szCs w:val="26"/>
        </w:rPr>
        <w:t>výše</w:t>
      </w:r>
      <w:r w:rsidRPr="00DC0686">
        <w:rPr>
          <w:rFonts w:asciiTheme="minorHAnsi" w:hAnsiTheme="minorHAnsi" w:cs="Arial"/>
          <w:sz w:val="26"/>
          <w:szCs w:val="26"/>
        </w:rPr>
        <w:t xml:space="preserve"> uvedeným skutečnostem) jednotlivé agregované </w:t>
      </w:r>
      <w:r w:rsidRPr="00DC0686">
        <w:rPr>
          <w:rFonts w:asciiTheme="minorHAnsi" w:hAnsiTheme="minorHAnsi" w:cs="Arial"/>
          <w:b/>
          <w:sz w:val="26"/>
          <w:szCs w:val="26"/>
        </w:rPr>
        <w:t xml:space="preserve">oddíly </w:t>
      </w:r>
      <w:r w:rsidRPr="00DC0686">
        <w:rPr>
          <w:rFonts w:asciiTheme="minorHAnsi" w:hAnsiTheme="minorHAnsi" w:cs="Arial"/>
          <w:sz w:val="26"/>
          <w:szCs w:val="26"/>
        </w:rPr>
        <w:t xml:space="preserve">spotřebního koše </w:t>
      </w:r>
      <w:r w:rsidRPr="00DC0686">
        <w:rPr>
          <w:rFonts w:asciiTheme="minorHAnsi" w:hAnsiTheme="minorHAnsi" w:cs="Arial"/>
          <w:b/>
          <w:sz w:val="26"/>
          <w:szCs w:val="26"/>
        </w:rPr>
        <w:t xml:space="preserve">následovně </w:t>
      </w:r>
      <w:r w:rsidRPr="00DC0686">
        <w:rPr>
          <w:rFonts w:asciiTheme="minorHAnsi" w:hAnsiTheme="minorHAnsi" w:cs="Arial"/>
          <w:sz w:val="26"/>
          <w:szCs w:val="26"/>
        </w:rPr>
        <w:t>(zaokrouhleno na 1 desetinné místo):</w:t>
      </w:r>
    </w:p>
    <w:tbl>
      <w:tblPr>
        <w:tblW w:w="7595" w:type="dxa"/>
        <w:jc w:val="center"/>
        <w:tblCellMar>
          <w:left w:w="70" w:type="dxa"/>
          <w:right w:w="70" w:type="dxa"/>
        </w:tblCellMar>
        <w:tblLook w:val="04A0" w:firstRow="1" w:lastRow="0" w:firstColumn="1" w:lastColumn="0" w:noHBand="0" w:noVBand="1"/>
      </w:tblPr>
      <w:tblGrid>
        <w:gridCol w:w="6066"/>
        <w:gridCol w:w="1529"/>
      </w:tblGrid>
      <w:tr w:rsidR="000D7192" w:rsidRPr="00DC0686" w14:paraId="5713B763" w14:textId="77777777" w:rsidTr="00621D94">
        <w:trPr>
          <w:trHeight w:val="595"/>
          <w:jc w:val="center"/>
        </w:trPr>
        <w:tc>
          <w:tcPr>
            <w:tcW w:w="6066" w:type="dxa"/>
            <w:tcBorders>
              <w:top w:val="double" w:sz="6" w:space="0" w:color="auto"/>
              <w:left w:val="double" w:sz="6" w:space="0" w:color="auto"/>
              <w:bottom w:val="double" w:sz="6" w:space="0" w:color="auto"/>
              <w:right w:val="single" w:sz="4" w:space="0" w:color="auto"/>
            </w:tcBorders>
            <w:shd w:val="clear" w:color="auto" w:fill="auto"/>
            <w:vAlign w:val="center"/>
            <w:hideMark/>
          </w:tcPr>
          <w:p w14:paraId="2E025EA2" w14:textId="77777777" w:rsidR="000D7192" w:rsidRPr="00DC0686" w:rsidRDefault="000D7192" w:rsidP="00621D94">
            <w:pPr>
              <w:spacing w:line="276" w:lineRule="auto"/>
              <w:rPr>
                <w:rFonts w:asciiTheme="minorHAnsi" w:hAnsiTheme="minorHAnsi" w:cs="Arial"/>
                <w:b/>
                <w:bCs/>
                <w:sz w:val="20"/>
                <w:szCs w:val="24"/>
              </w:rPr>
            </w:pPr>
            <w:r w:rsidRPr="00DC0686">
              <w:rPr>
                <w:rFonts w:asciiTheme="minorHAnsi" w:hAnsiTheme="minorHAnsi" w:cs="Arial"/>
                <w:b/>
                <w:bCs/>
                <w:sz w:val="20"/>
                <w:szCs w:val="24"/>
              </w:rPr>
              <w:t>Rozklad úhrnného meziročního indexu spotřebitelských cen</w:t>
            </w:r>
          </w:p>
          <w:p w14:paraId="2BF53CBA" w14:textId="77777777" w:rsidR="000D7192" w:rsidRPr="00DC0686" w:rsidRDefault="000D7192" w:rsidP="00621D94">
            <w:pPr>
              <w:spacing w:line="276" w:lineRule="auto"/>
              <w:rPr>
                <w:rFonts w:asciiTheme="minorHAnsi" w:hAnsiTheme="minorHAnsi" w:cs="Arial"/>
                <w:b/>
                <w:bCs/>
                <w:sz w:val="20"/>
                <w:szCs w:val="24"/>
              </w:rPr>
            </w:pPr>
            <w:r w:rsidRPr="00DC0686">
              <w:rPr>
                <w:rFonts w:asciiTheme="minorHAnsi" w:hAnsiTheme="minorHAnsi" w:cs="Arial"/>
                <w:b/>
                <w:bCs/>
                <w:sz w:val="20"/>
                <w:szCs w:val="24"/>
              </w:rPr>
              <w:t>v roce 20</w:t>
            </w:r>
            <w:r>
              <w:rPr>
                <w:rFonts w:asciiTheme="minorHAnsi" w:hAnsiTheme="minorHAnsi" w:cs="Arial"/>
                <w:b/>
                <w:bCs/>
                <w:sz w:val="20"/>
                <w:szCs w:val="24"/>
              </w:rPr>
              <w:t>20</w:t>
            </w:r>
          </w:p>
        </w:tc>
        <w:tc>
          <w:tcPr>
            <w:tcW w:w="1529" w:type="dxa"/>
            <w:tcBorders>
              <w:top w:val="double" w:sz="6" w:space="0" w:color="auto"/>
              <w:left w:val="nil"/>
              <w:bottom w:val="double" w:sz="6" w:space="0" w:color="auto"/>
              <w:right w:val="double" w:sz="6" w:space="0" w:color="auto"/>
            </w:tcBorders>
            <w:shd w:val="clear" w:color="auto" w:fill="auto"/>
            <w:noWrap/>
            <w:vAlign w:val="center"/>
            <w:hideMark/>
          </w:tcPr>
          <w:p w14:paraId="7A27772B" w14:textId="77777777" w:rsidR="000D7192" w:rsidRPr="00DC0686" w:rsidRDefault="000D7192" w:rsidP="00621D94">
            <w:pPr>
              <w:jc w:val="center"/>
              <w:rPr>
                <w:rFonts w:asciiTheme="minorHAnsi" w:hAnsiTheme="minorHAnsi" w:cs="Arial"/>
                <w:b/>
                <w:sz w:val="20"/>
                <w:szCs w:val="24"/>
              </w:rPr>
            </w:pPr>
            <w:r>
              <w:rPr>
                <w:rFonts w:asciiTheme="minorHAnsi" w:hAnsiTheme="minorHAnsi" w:cs="Arial"/>
                <w:b/>
                <w:sz w:val="20"/>
                <w:szCs w:val="24"/>
              </w:rPr>
              <w:t>3</w:t>
            </w:r>
            <w:r w:rsidRPr="00DC0686">
              <w:rPr>
                <w:rFonts w:asciiTheme="minorHAnsi" w:hAnsiTheme="minorHAnsi" w:cs="Arial"/>
                <w:b/>
                <w:sz w:val="20"/>
                <w:szCs w:val="24"/>
              </w:rPr>
              <w:t>,</w:t>
            </w:r>
            <w:r>
              <w:rPr>
                <w:rFonts w:asciiTheme="minorHAnsi" w:hAnsiTheme="minorHAnsi" w:cs="Arial"/>
                <w:b/>
                <w:sz w:val="20"/>
                <w:szCs w:val="24"/>
              </w:rPr>
              <w:t>2</w:t>
            </w:r>
            <w:r w:rsidRPr="00DC0686">
              <w:rPr>
                <w:rFonts w:asciiTheme="minorHAnsi" w:hAnsiTheme="minorHAnsi" w:cs="Arial"/>
                <w:b/>
                <w:sz w:val="20"/>
                <w:szCs w:val="24"/>
              </w:rPr>
              <w:t> %</w:t>
            </w:r>
          </w:p>
        </w:tc>
      </w:tr>
      <w:tr w:rsidR="000D7192" w:rsidRPr="00DC0686" w14:paraId="0F85A051" w14:textId="77777777" w:rsidTr="00621D94">
        <w:trPr>
          <w:trHeight w:val="284"/>
          <w:jc w:val="center"/>
        </w:trPr>
        <w:tc>
          <w:tcPr>
            <w:tcW w:w="6066" w:type="dxa"/>
            <w:tcBorders>
              <w:top w:val="double" w:sz="6" w:space="0" w:color="auto"/>
              <w:left w:val="double" w:sz="6" w:space="0" w:color="auto"/>
              <w:bottom w:val="single" w:sz="4" w:space="0" w:color="auto"/>
              <w:right w:val="single" w:sz="4" w:space="0" w:color="auto"/>
            </w:tcBorders>
            <w:shd w:val="clear" w:color="auto" w:fill="auto"/>
            <w:vAlign w:val="center"/>
            <w:hideMark/>
          </w:tcPr>
          <w:p w14:paraId="2A6F3A17" w14:textId="77777777" w:rsidR="000D7192" w:rsidRPr="00DC0686" w:rsidRDefault="000D7192" w:rsidP="00621D94">
            <w:pPr>
              <w:rPr>
                <w:rFonts w:asciiTheme="minorHAnsi" w:hAnsiTheme="minorHAnsi" w:cs="Arial"/>
                <w:b/>
                <w:bCs/>
                <w:i/>
                <w:sz w:val="20"/>
                <w:szCs w:val="24"/>
              </w:rPr>
            </w:pPr>
            <w:r w:rsidRPr="00DC0686">
              <w:rPr>
                <w:rFonts w:asciiTheme="minorHAnsi" w:hAnsiTheme="minorHAnsi" w:cs="Arial"/>
                <w:b/>
                <w:bCs/>
                <w:i/>
                <w:sz w:val="20"/>
                <w:szCs w:val="24"/>
              </w:rPr>
              <w:t xml:space="preserve"> Pořadí oddílů podle výše vlivu (v procentních bodech):</w:t>
            </w:r>
          </w:p>
        </w:tc>
        <w:tc>
          <w:tcPr>
            <w:tcW w:w="1529" w:type="dxa"/>
            <w:tcBorders>
              <w:top w:val="double" w:sz="6" w:space="0" w:color="auto"/>
              <w:left w:val="nil"/>
              <w:bottom w:val="single" w:sz="4" w:space="0" w:color="auto"/>
              <w:right w:val="double" w:sz="6" w:space="0" w:color="auto"/>
            </w:tcBorders>
            <w:shd w:val="clear" w:color="auto" w:fill="auto"/>
            <w:noWrap/>
            <w:vAlign w:val="center"/>
            <w:hideMark/>
          </w:tcPr>
          <w:p w14:paraId="08145821" w14:textId="77777777" w:rsidR="000D7192" w:rsidRPr="00DC0686" w:rsidRDefault="000D7192" w:rsidP="00621D94">
            <w:pPr>
              <w:jc w:val="center"/>
              <w:rPr>
                <w:rFonts w:asciiTheme="minorHAnsi" w:hAnsiTheme="minorHAnsi" w:cs="Arial"/>
                <w:sz w:val="20"/>
                <w:szCs w:val="24"/>
              </w:rPr>
            </w:pPr>
          </w:p>
        </w:tc>
      </w:tr>
      <w:tr w:rsidR="000D7192" w:rsidRPr="00DC0686" w14:paraId="61372EA1" w14:textId="77777777" w:rsidTr="00621D94">
        <w:trPr>
          <w:trHeight w:val="284"/>
          <w:jc w:val="center"/>
        </w:trPr>
        <w:tc>
          <w:tcPr>
            <w:tcW w:w="6066"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1463EAFE" w14:textId="77777777" w:rsidR="000D7192" w:rsidRPr="00DC0686" w:rsidRDefault="000D7192" w:rsidP="00621D94">
            <w:pPr>
              <w:tabs>
                <w:tab w:val="left" w:pos="43"/>
              </w:tabs>
              <w:ind w:firstLine="43"/>
              <w:jc w:val="both"/>
              <w:rPr>
                <w:rFonts w:asciiTheme="minorHAnsi" w:hAnsiTheme="minorHAnsi" w:cs="Arial"/>
                <w:sz w:val="20"/>
                <w:szCs w:val="24"/>
              </w:rPr>
            </w:pPr>
            <w:r w:rsidRPr="00DC0686">
              <w:rPr>
                <w:rFonts w:asciiTheme="minorHAnsi" w:hAnsiTheme="minorHAnsi" w:cs="Arial"/>
                <w:sz w:val="20"/>
                <w:szCs w:val="28"/>
              </w:rPr>
              <w:t xml:space="preserve">Potraviny, nealkoholické nápoje </w:t>
            </w:r>
          </w:p>
        </w:tc>
        <w:tc>
          <w:tcPr>
            <w:tcW w:w="1529" w:type="dxa"/>
            <w:tcBorders>
              <w:top w:val="single" w:sz="4" w:space="0" w:color="auto"/>
              <w:left w:val="nil"/>
              <w:bottom w:val="single" w:sz="4" w:space="0" w:color="auto"/>
              <w:right w:val="double" w:sz="6" w:space="0" w:color="auto"/>
            </w:tcBorders>
            <w:shd w:val="clear" w:color="auto" w:fill="auto"/>
            <w:vAlign w:val="center"/>
            <w:hideMark/>
          </w:tcPr>
          <w:p w14:paraId="583AC227" w14:textId="77777777" w:rsidR="000D7192" w:rsidRPr="00DC0686" w:rsidRDefault="000D7192" w:rsidP="00621D94">
            <w:pPr>
              <w:jc w:val="center"/>
              <w:rPr>
                <w:rFonts w:asciiTheme="minorHAnsi" w:hAnsiTheme="minorHAnsi" w:cs="Arial"/>
                <w:sz w:val="20"/>
                <w:szCs w:val="24"/>
              </w:rPr>
            </w:pPr>
            <w:r w:rsidRPr="00DC0686">
              <w:rPr>
                <w:rFonts w:asciiTheme="minorHAnsi" w:hAnsiTheme="minorHAnsi" w:cs="Arial"/>
                <w:sz w:val="20"/>
                <w:szCs w:val="28"/>
              </w:rPr>
              <w:t>+</w:t>
            </w:r>
            <w:r>
              <w:rPr>
                <w:rFonts w:asciiTheme="minorHAnsi" w:hAnsiTheme="minorHAnsi" w:cs="Arial"/>
                <w:sz w:val="20"/>
                <w:szCs w:val="28"/>
              </w:rPr>
              <w:t>0</w:t>
            </w:r>
            <w:r w:rsidRPr="00DC0686">
              <w:rPr>
                <w:rFonts w:asciiTheme="minorHAnsi" w:hAnsiTheme="minorHAnsi" w:cs="Arial"/>
                <w:sz w:val="20"/>
                <w:szCs w:val="28"/>
              </w:rPr>
              <w:t>,</w:t>
            </w:r>
            <w:r>
              <w:rPr>
                <w:rFonts w:asciiTheme="minorHAnsi" w:hAnsiTheme="minorHAnsi" w:cs="Arial"/>
                <w:sz w:val="20"/>
                <w:szCs w:val="28"/>
              </w:rPr>
              <w:t>8</w:t>
            </w:r>
          </w:p>
        </w:tc>
      </w:tr>
      <w:tr w:rsidR="000D7192" w:rsidRPr="00DC0686" w14:paraId="27B79EBD" w14:textId="77777777" w:rsidTr="00621D94">
        <w:trPr>
          <w:trHeight w:val="284"/>
          <w:jc w:val="center"/>
        </w:trPr>
        <w:tc>
          <w:tcPr>
            <w:tcW w:w="6066" w:type="dxa"/>
            <w:tcBorders>
              <w:top w:val="nil"/>
              <w:left w:val="double" w:sz="6" w:space="0" w:color="auto"/>
              <w:bottom w:val="single" w:sz="4" w:space="0" w:color="auto"/>
              <w:right w:val="single" w:sz="4" w:space="0" w:color="auto"/>
            </w:tcBorders>
            <w:shd w:val="clear" w:color="auto" w:fill="auto"/>
            <w:vAlign w:val="center"/>
            <w:hideMark/>
          </w:tcPr>
          <w:p w14:paraId="1D04B5E0" w14:textId="77777777" w:rsidR="000D7192" w:rsidRPr="00DC0686" w:rsidRDefault="000D7192" w:rsidP="00621D94">
            <w:pPr>
              <w:rPr>
                <w:rFonts w:asciiTheme="minorHAnsi" w:hAnsiTheme="minorHAnsi" w:cs="Arial"/>
                <w:sz w:val="20"/>
                <w:szCs w:val="24"/>
              </w:rPr>
            </w:pPr>
            <w:r w:rsidRPr="00DC0686">
              <w:rPr>
                <w:rFonts w:asciiTheme="minorHAnsi" w:hAnsiTheme="minorHAnsi" w:cs="Arial"/>
                <w:sz w:val="20"/>
                <w:szCs w:val="28"/>
              </w:rPr>
              <w:t xml:space="preserve"> Bydlení, voda, energie, paliva</w:t>
            </w:r>
          </w:p>
        </w:tc>
        <w:tc>
          <w:tcPr>
            <w:tcW w:w="1529" w:type="dxa"/>
            <w:tcBorders>
              <w:top w:val="nil"/>
              <w:left w:val="nil"/>
              <w:bottom w:val="single" w:sz="4" w:space="0" w:color="auto"/>
              <w:right w:val="double" w:sz="6" w:space="0" w:color="auto"/>
            </w:tcBorders>
            <w:shd w:val="clear" w:color="auto" w:fill="auto"/>
            <w:vAlign w:val="center"/>
            <w:hideMark/>
          </w:tcPr>
          <w:p w14:paraId="58C20E9E" w14:textId="77777777" w:rsidR="000D7192" w:rsidRPr="00DC0686" w:rsidRDefault="000D7192" w:rsidP="00621D94">
            <w:pPr>
              <w:jc w:val="center"/>
              <w:rPr>
                <w:rFonts w:asciiTheme="minorHAnsi" w:hAnsiTheme="minorHAnsi" w:cs="Arial"/>
                <w:sz w:val="20"/>
                <w:szCs w:val="24"/>
              </w:rPr>
            </w:pPr>
            <w:r w:rsidRPr="00DC0686">
              <w:rPr>
                <w:rFonts w:asciiTheme="minorHAnsi" w:hAnsiTheme="minorHAnsi" w:cs="Arial"/>
                <w:sz w:val="20"/>
                <w:szCs w:val="28"/>
              </w:rPr>
              <w:t>+0,</w:t>
            </w:r>
            <w:r>
              <w:rPr>
                <w:rFonts w:asciiTheme="minorHAnsi" w:hAnsiTheme="minorHAnsi" w:cs="Arial"/>
                <w:sz w:val="20"/>
                <w:szCs w:val="28"/>
              </w:rPr>
              <w:t>7</w:t>
            </w:r>
          </w:p>
        </w:tc>
      </w:tr>
      <w:tr w:rsidR="000D7192" w:rsidRPr="00DC0686" w14:paraId="46D839D9" w14:textId="77777777" w:rsidTr="00621D94">
        <w:trPr>
          <w:trHeight w:val="284"/>
          <w:jc w:val="center"/>
        </w:trPr>
        <w:tc>
          <w:tcPr>
            <w:tcW w:w="6066" w:type="dxa"/>
            <w:tcBorders>
              <w:top w:val="nil"/>
              <w:left w:val="double" w:sz="6" w:space="0" w:color="auto"/>
              <w:bottom w:val="single" w:sz="4" w:space="0" w:color="auto"/>
              <w:right w:val="single" w:sz="4" w:space="0" w:color="auto"/>
            </w:tcBorders>
            <w:shd w:val="clear" w:color="auto" w:fill="auto"/>
            <w:vAlign w:val="center"/>
          </w:tcPr>
          <w:p w14:paraId="4A517C3F" w14:textId="77777777" w:rsidR="000D7192" w:rsidRPr="00DC0686" w:rsidRDefault="000D7192" w:rsidP="00621D94">
            <w:pPr>
              <w:rPr>
                <w:rFonts w:asciiTheme="minorHAnsi" w:hAnsiTheme="minorHAnsi" w:cs="Arial"/>
                <w:sz w:val="20"/>
                <w:szCs w:val="24"/>
              </w:rPr>
            </w:pPr>
            <w:r w:rsidRPr="00DC0686">
              <w:rPr>
                <w:rFonts w:asciiTheme="minorHAnsi" w:hAnsiTheme="minorHAnsi" w:cs="Arial"/>
                <w:sz w:val="20"/>
                <w:szCs w:val="28"/>
              </w:rPr>
              <w:t xml:space="preserve"> Alkoholické nápoje, tabák </w:t>
            </w:r>
          </w:p>
        </w:tc>
        <w:tc>
          <w:tcPr>
            <w:tcW w:w="1529" w:type="dxa"/>
            <w:tcBorders>
              <w:top w:val="nil"/>
              <w:left w:val="nil"/>
              <w:bottom w:val="single" w:sz="4" w:space="0" w:color="auto"/>
              <w:right w:val="double" w:sz="6" w:space="0" w:color="auto"/>
            </w:tcBorders>
            <w:shd w:val="clear" w:color="auto" w:fill="auto"/>
            <w:vAlign w:val="center"/>
          </w:tcPr>
          <w:p w14:paraId="33185095" w14:textId="77777777" w:rsidR="000D7192" w:rsidRPr="00DC0686" w:rsidRDefault="000D7192" w:rsidP="00621D94">
            <w:pPr>
              <w:jc w:val="center"/>
              <w:rPr>
                <w:rFonts w:asciiTheme="minorHAnsi" w:hAnsiTheme="minorHAnsi" w:cs="Arial"/>
                <w:sz w:val="20"/>
                <w:szCs w:val="24"/>
              </w:rPr>
            </w:pPr>
            <w:r w:rsidRPr="00DC0686">
              <w:rPr>
                <w:rFonts w:asciiTheme="minorHAnsi" w:hAnsiTheme="minorHAnsi" w:cs="Arial"/>
                <w:sz w:val="20"/>
                <w:szCs w:val="24"/>
              </w:rPr>
              <w:t>+0,</w:t>
            </w:r>
            <w:r>
              <w:rPr>
                <w:rFonts w:asciiTheme="minorHAnsi" w:hAnsiTheme="minorHAnsi" w:cs="Arial"/>
                <w:sz w:val="20"/>
                <w:szCs w:val="24"/>
              </w:rPr>
              <w:t>6</w:t>
            </w:r>
          </w:p>
        </w:tc>
      </w:tr>
      <w:tr w:rsidR="000D7192" w:rsidRPr="00DC0686" w14:paraId="26D2F672" w14:textId="77777777" w:rsidTr="00621D94">
        <w:trPr>
          <w:trHeight w:val="284"/>
          <w:jc w:val="center"/>
        </w:trPr>
        <w:tc>
          <w:tcPr>
            <w:tcW w:w="6066" w:type="dxa"/>
            <w:tcBorders>
              <w:top w:val="nil"/>
              <w:left w:val="double" w:sz="6" w:space="0" w:color="auto"/>
              <w:bottom w:val="single" w:sz="4" w:space="0" w:color="auto"/>
              <w:right w:val="single" w:sz="4" w:space="0" w:color="auto"/>
            </w:tcBorders>
            <w:shd w:val="clear" w:color="auto" w:fill="auto"/>
            <w:vAlign w:val="center"/>
            <w:hideMark/>
          </w:tcPr>
          <w:p w14:paraId="70300BE0" w14:textId="77777777" w:rsidR="000D7192" w:rsidRPr="00DC0686" w:rsidRDefault="000D7192" w:rsidP="00621D94">
            <w:pPr>
              <w:rPr>
                <w:rFonts w:asciiTheme="minorHAnsi" w:hAnsiTheme="minorHAnsi" w:cs="Arial"/>
                <w:sz w:val="20"/>
                <w:szCs w:val="24"/>
              </w:rPr>
            </w:pPr>
            <w:r w:rsidRPr="00DC0686">
              <w:rPr>
                <w:rFonts w:asciiTheme="minorHAnsi" w:hAnsiTheme="minorHAnsi" w:cs="Arial"/>
                <w:sz w:val="20"/>
                <w:szCs w:val="28"/>
              </w:rPr>
              <w:t xml:space="preserve"> Stravování a ubytování</w:t>
            </w:r>
          </w:p>
        </w:tc>
        <w:tc>
          <w:tcPr>
            <w:tcW w:w="1529" w:type="dxa"/>
            <w:tcBorders>
              <w:top w:val="nil"/>
              <w:left w:val="nil"/>
              <w:bottom w:val="single" w:sz="4" w:space="0" w:color="auto"/>
              <w:right w:val="double" w:sz="6" w:space="0" w:color="auto"/>
            </w:tcBorders>
            <w:shd w:val="clear" w:color="auto" w:fill="auto"/>
            <w:vAlign w:val="center"/>
            <w:hideMark/>
          </w:tcPr>
          <w:p w14:paraId="7E448C9A" w14:textId="77777777" w:rsidR="000D7192" w:rsidRPr="00DC0686" w:rsidRDefault="000D7192" w:rsidP="00621D94">
            <w:pPr>
              <w:jc w:val="center"/>
              <w:rPr>
                <w:rFonts w:asciiTheme="minorHAnsi" w:hAnsiTheme="minorHAnsi" w:cs="Arial"/>
                <w:sz w:val="20"/>
                <w:szCs w:val="24"/>
              </w:rPr>
            </w:pPr>
            <w:r w:rsidRPr="00DC0686">
              <w:rPr>
                <w:rFonts w:asciiTheme="minorHAnsi" w:hAnsiTheme="minorHAnsi" w:cs="Arial"/>
                <w:sz w:val="20"/>
                <w:szCs w:val="28"/>
              </w:rPr>
              <w:t>+0,</w:t>
            </w:r>
            <w:r>
              <w:rPr>
                <w:rFonts w:asciiTheme="minorHAnsi" w:hAnsiTheme="minorHAnsi" w:cs="Arial"/>
                <w:sz w:val="20"/>
                <w:szCs w:val="28"/>
              </w:rPr>
              <w:t>3</w:t>
            </w:r>
          </w:p>
        </w:tc>
      </w:tr>
      <w:tr w:rsidR="000D7192" w:rsidRPr="00DC0686" w14:paraId="1E8C5745" w14:textId="77777777" w:rsidTr="00621D94">
        <w:trPr>
          <w:trHeight w:val="284"/>
          <w:jc w:val="center"/>
        </w:trPr>
        <w:tc>
          <w:tcPr>
            <w:tcW w:w="6066" w:type="dxa"/>
            <w:tcBorders>
              <w:top w:val="nil"/>
              <w:left w:val="double" w:sz="6" w:space="0" w:color="auto"/>
              <w:bottom w:val="single" w:sz="4" w:space="0" w:color="auto"/>
              <w:right w:val="single" w:sz="4" w:space="0" w:color="auto"/>
            </w:tcBorders>
            <w:shd w:val="clear" w:color="auto" w:fill="auto"/>
            <w:vAlign w:val="center"/>
            <w:hideMark/>
          </w:tcPr>
          <w:p w14:paraId="064528B1" w14:textId="77777777" w:rsidR="000D7192" w:rsidRPr="00DC0686" w:rsidRDefault="000D7192" w:rsidP="00621D94">
            <w:pPr>
              <w:rPr>
                <w:rFonts w:asciiTheme="minorHAnsi" w:hAnsiTheme="minorHAnsi" w:cs="Arial"/>
                <w:sz w:val="20"/>
                <w:szCs w:val="24"/>
              </w:rPr>
            </w:pPr>
            <w:r w:rsidRPr="00DC0686">
              <w:rPr>
                <w:rFonts w:asciiTheme="minorHAnsi" w:hAnsiTheme="minorHAnsi" w:cs="Arial"/>
                <w:sz w:val="20"/>
                <w:szCs w:val="28"/>
              </w:rPr>
              <w:t xml:space="preserve"> Odívání a obuv</w:t>
            </w:r>
          </w:p>
        </w:tc>
        <w:tc>
          <w:tcPr>
            <w:tcW w:w="1529" w:type="dxa"/>
            <w:tcBorders>
              <w:top w:val="nil"/>
              <w:left w:val="nil"/>
              <w:bottom w:val="single" w:sz="4" w:space="0" w:color="auto"/>
              <w:right w:val="double" w:sz="6" w:space="0" w:color="auto"/>
            </w:tcBorders>
            <w:shd w:val="clear" w:color="auto" w:fill="auto"/>
            <w:vAlign w:val="center"/>
            <w:hideMark/>
          </w:tcPr>
          <w:p w14:paraId="2636C766" w14:textId="77777777" w:rsidR="000D7192" w:rsidRPr="00DC0686" w:rsidRDefault="000D7192" w:rsidP="00621D94">
            <w:pPr>
              <w:jc w:val="center"/>
              <w:rPr>
                <w:rFonts w:asciiTheme="minorHAnsi" w:hAnsiTheme="minorHAnsi" w:cs="Arial"/>
                <w:sz w:val="20"/>
                <w:szCs w:val="24"/>
              </w:rPr>
            </w:pPr>
            <w:r w:rsidRPr="00DC0686">
              <w:rPr>
                <w:rFonts w:asciiTheme="minorHAnsi" w:hAnsiTheme="minorHAnsi" w:cs="Arial"/>
                <w:sz w:val="20"/>
                <w:szCs w:val="28"/>
              </w:rPr>
              <w:t>+0,2</w:t>
            </w:r>
          </w:p>
        </w:tc>
      </w:tr>
      <w:tr w:rsidR="000D7192" w:rsidRPr="00DC0686" w14:paraId="107EABD7" w14:textId="77777777" w:rsidTr="00621D94">
        <w:trPr>
          <w:trHeight w:val="284"/>
          <w:jc w:val="center"/>
        </w:trPr>
        <w:tc>
          <w:tcPr>
            <w:tcW w:w="6066" w:type="dxa"/>
            <w:tcBorders>
              <w:top w:val="single" w:sz="4" w:space="0" w:color="auto"/>
              <w:left w:val="double" w:sz="6" w:space="0" w:color="auto"/>
              <w:bottom w:val="single" w:sz="4" w:space="0" w:color="auto"/>
              <w:right w:val="single" w:sz="4" w:space="0" w:color="auto"/>
            </w:tcBorders>
            <w:shd w:val="clear" w:color="auto" w:fill="auto"/>
            <w:vAlign w:val="center"/>
          </w:tcPr>
          <w:p w14:paraId="08FCA2EC" w14:textId="77777777" w:rsidR="000D7192" w:rsidRPr="00DC0686" w:rsidRDefault="000D7192" w:rsidP="00621D94">
            <w:pPr>
              <w:rPr>
                <w:rFonts w:asciiTheme="minorHAnsi" w:hAnsiTheme="minorHAnsi" w:cs="Arial"/>
                <w:sz w:val="20"/>
                <w:szCs w:val="24"/>
              </w:rPr>
            </w:pPr>
            <w:r w:rsidRPr="00DC0686">
              <w:rPr>
                <w:rFonts w:asciiTheme="minorHAnsi" w:hAnsiTheme="minorHAnsi" w:cs="Arial"/>
                <w:sz w:val="20"/>
                <w:szCs w:val="28"/>
              </w:rPr>
              <w:t xml:space="preserve"> Bytové vybavení, zařízení domácnosti, opravy</w:t>
            </w:r>
          </w:p>
        </w:tc>
        <w:tc>
          <w:tcPr>
            <w:tcW w:w="1529" w:type="dxa"/>
            <w:tcBorders>
              <w:top w:val="single" w:sz="4" w:space="0" w:color="auto"/>
              <w:left w:val="nil"/>
              <w:bottom w:val="single" w:sz="4" w:space="0" w:color="auto"/>
              <w:right w:val="double" w:sz="6" w:space="0" w:color="auto"/>
            </w:tcBorders>
            <w:shd w:val="clear" w:color="auto" w:fill="auto"/>
            <w:vAlign w:val="center"/>
          </w:tcPr>
          <w:p w14:paraId="5F02FBB1" w14:textId="77777777" w:rsidR="000D7192" w:rsidRPr="00DC0686" w:rsidRDefault="000D7192" w:rsidP="00621D94">
            <w:pPr>
              <w:jc w:val="center"/>
              <w:rPr>
                <w:rFonts w:asciiTheme="minorHAnsi" w:hAnsiTheme="minorHAnsi" w:cs="Arial"/>
                <w:sz w:val="20"/>
                <w:szCs w:val="24"/>
              </w:rPr>
            </w:pPr>
            <w:r w:rsidRPr="00DC0686">
              <w:rPr>
                <w:rFonts w:asciiTheme="minorHAnsi" w:hAnsiTheme="minorHAnsi" w:cs="Arial"/>
                <w:sz w:val="20"/>
                <w:szCs w:val="24"/>
              </w:rPr>
              <w:t>+0,</w:t>
            </w:r>
            <w:r>
              <w:rPr>
                <w:rFonts w:asciiTheme="minorHAnsi" w:hAnsiTheme="minorHAnsi" w:cs="Arial"/>
                <w:sz w:val="20"/>
                <w:szCs w:val="24"/>
              </w:rPr>
              <w:t>2</w:t>
            </w:r>
          </w:p>
        </w:tc>
      </w:tr>
      <w:tr w:rsidR="000D7192" w:rsidRPr="00DC0686" w14:paraId="225224F7" w14:textId="77777777" w:rsidTr="00621D94">
        <w:trPr>
          <w:trHeight w:val="284"/>
          <w:jc w:val="center"/>
        </w:trPr>
        <w:tc>
          <w:tcPr>
            <w:tcW w:w="6066"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66931837" w14:textId="77777777" w:rsidR="000D7192" w:rsidRPr="00DC0686" w:rsidRDefault="000D7192" w:rsidP="00621D94">
            <w:pPr>
              <w:rPr>
                <w:rFonts w:asciiTheme="minorHAnsi" w:hAnsiTheme="minorHAnsi" w:cs="Arial"/>
                <w:sz w:val="20"/>
                <w:szCs w:val="24"/>
              </w:rPr>
            </w:pPr>
            <w:r w:rsidRPr="00DC0686">
              <w:rPr>
                <w:rFonts w:asciiTheme="minorHAnsi" w:hAnsiTheme="minorHAnsi" w:cs="Arial"/>
                <w:sz w:val="20"/>
                <w:szCs w:val="28"/>
              </w:rPr>
              <w:t xml:space="preserve"> Rekreace a kultura </w:t>
            </w:r>
          </w:p>
        </w:tc>
        <w:tc>
          <w:tcPr>
            <w:tcW w:w="1529" w:type="dxa"/>
            <w:tcBorders>
              <w:top w:val="single" w:sz="4" w:space="0" w:color="auto"/>
              <w:left w:val="nil"/>
              <w:bottom w:val="single" w:sz="4" w:space="0" w:color="auto"/>
              <w:right w:val="double" w:sz="6" w:space="0" w:color="auto"/>
            </w:tcBorders>
            <w:shd w:val="clear" w:color="auto" w:fill="auto"/>
            <w:vAlign w:val="center"/>
            <w:hideMark/>
          </w:tcPr>
          <w:p w14:paraId="3414F044" w14:textId="77777777" w:rsidR="000D7192" w:rsidRPr="00DC0686" w:rsidRDefault="000D7192" w:rsidP="00621D94">
            <w:pPr>
              <w:jc w:val="center"/>
              <w:rPr>
                <w:rFonts w:asciiTheme="minorHAnsi" w:hAnsiTheme="minorHAnsi" w:cs="Arial"/>
                <w:sz w:val="20"/>
                <w:szCs w:val="24"/>
              </w:rPr>
            </w:pPr>
            <w:r w:rsidRPr="00DC0686">
              <w:rPr>
                <w:rFonts w:asciiTheme="minorHAnsi" w:hAnsiTheme="minorHAnsi" w:cs="Arial"/>
                <w:sz w:val="20"/>
                <w:szCs w:val="28"/>
              </w:rPr>
              <w:t>+0,</w:t>
            </w:r>
            <w:r>
              <w:rPr>
                <w:rFonts w:asciiTheme="minorHAnsi" w:hAnsiTheme="minorHAnsi" w:cs="Arial"/>
                <w:sz w:val="20"/>
                <w:szCs w:val="28"/>
              </w:rPr>
              <w:t>2</w:t>
            </w:r>
          </w:p>
        </w:tc>
      </w:tr>
      <w:tr w:rsidR="000D7192" w:rsidRPr="00DC0686" w14:paraId="4E3BBDEB" w14:textId="77777777" w:rsidTr="00621D94">
        <w:trPr>
          <w:trHeight w:val="284"/>
          <w:jc w:val="center"/>
        </w:trPr>
        <w:tc>
          <w:tcPr>
            <w:tcW w:w="6066" w:type="dxa"/>
            <w:tcBorders>
              <w:top w:val="nil"/>
              <w:left w:val="double" w:sz="6" w:space="0" w:color="auto"/>
              <w:bottom w:val="single" w:sz="4" w:space="0" w:color="auto"/>
              <w:right w:val="single" w:sz="4" w:space="0" w:color="auto"/>
            </w:tcBorders>
            <w:shd w:val="clear" w:color="auto" w:fill="auto"/>
            <w:vAlign w:val="center"/>
          </w:tcPr>
          <w:p w14:paraId="4460DD6A" w14:textId="77777777" w:rsidR="000D7192" w:rsidRPr="00DC0686" w:rsidRDefault="000D7192" w:rsidP="00621D94">
            <w:pPr>
              <w:rPr>
                <w:rFonts w:asciiTheme="minorHAnsi" w:hAnsiTheme="minorHAnsi" w:cs="Arial"/>
                <w:sz w:val="20"/>
                <w:szCs w:val="24"/>
              </w:rPr>
            </w:pPr>
            <w:r w:rsidRPr="00DC0686">
              <w:rPr>
                <w:rFonts w:asciiTheme="minorHAnsi" w:hAnsiTheme="minorHAnsi" w:cs="Arial"/>
                <w:sz w:val="20"/>
                <w:szCs w:val="28"/>
              </w:rPr>
              <w:t xml:space="preserve"> Ostatní zboží a služby</w:t>
            </w:r>
          </w:p>
        </w:tc>
        <w:tc>
          <w:tcPr>
            <w:tcW w:w="1529" w:type="dxa"/>
            <w:tcBorders>
              <w:top w:val="nil"/>
              <w:left w:val="nil"/>
              <w:bottom w:val="single" w:sz="4" w:space="0" w:color="auto"/>
              <w:right w:val="double" w:sz="6" w:space="0" w:color="auto"/>
            </w:tcBorders>
            <w:shd w:val="clear" w:color="auto" w:fill="auto"/>
            <w:vAlign w:val="center"/>
          </w:tcPr>
          <w:p w14:paraId="531B0280" w14:textId="77777777" w:rsidR="000D7192" w:rsidRPr="00DC0686" w:rsidRDefault="000D7192" w:rsidP="00621D94">
            <w:pPr>
              <w:jc w:val="center"/>
              <w:rPr>
                <w:rFonts w:asciiTheme="minorHAnsi" w:hAnsiTheme="minorHAnsi" w:cs="Arial"/>
                <w:sz w:val="20"/>
                <w:szCs w:val="24"/>
              </w:rPr>
            </w:pPr>
            <w:r w:rsidRPr="00DC0686">
              <w:rPr>
                <w:rFonts w:asciiTheme="minorHAnsi" w:hAnsiTheme="minorHAnsi" w:cs="Arial"/>
                <w:sz w:val="20"/>
                <w:szCs w:val="28"/>
              </w:rPr>
              <w:t>+0,</w:t>
            </w:r>
            <w:r>
              <w:rPr>
                <w:rFonts w:asciiTheme="minorHAnsi" w:hAnsiTheme="minorHAnsi" w:cs="Arial"/>
                <w:sz w:val="20"/>
                <w:szCs w:val="28"/>
              </w:rPr>
              <w:t>2</w:t>
            </w:r>
          </w:p>
        </w:tc>
      </w:tr>
      <w:tr w:rsidR="000D7192" w:rsidRPr="00DC0686" w14:paraId="0C4A8357" w14:textId="77777777" w:rsidTr="00621D94">
        <w:trPr>
          <w:trHeight w:val="284"/>
          <w:jc w:val="center"/>
        </w:trPr>
        <w:tc>
          <w:tcPr>
            <w:tcW w:w="6066" w:type="dxa"/>
            <w:tcBorders>
              <w:top w:val="single" w:sz="4" w:space="0" w:color="auto"/>
              <w:left w:val="double" w:sz="6" w:space="0" w:color="auto"/>
              <w:bottom w:val="single" w:sz="4" w:space="0" w:color="auto"/>
              <w:right w:val="single" w:sz="4" w:space="0" w:color="auto"/>
            </w:tcBorders>
            <w:shd w:val="clear" w:color="auto" w:fill="auto"/>
            <w:vAlign w:val="center"/>
          </w:tcPr>
          <w:p w14:paraId="64F1BCE8" w14:textId="77777777" w:rsidR="000D7192" w:rsidRPr="00DC0686" w:rsidRDefault="000D7192" w:rsidP="00621D94">
            <w:pPr>
              <w:rPr>
                <w:rFonts w:asciiTheme="minorHAnsi" w:hAnsiTheme="minorHAnsi" w:cs="Arial"/>
                <w:sz w:val="20"/>
                <w:szCs w:val="24"/>
              </w:rPr>
            </w:pPr>
            <w:r w:rsidRPr="00DC0686">
              <w:rPr>
                <w:rFonts w:asciiTheme="minorHAnsi" w:hAnsiTheme="minorHAnsi" w:cs="Arial"/>
                <w:sz w:val="20"/>
                <w:szCs w:val="24"/>
              </w:rPr>
              <w:t xml:space="preserve"> </w:t>
            </w:r>
            <w:r w:rsidRPr="00DC0686">
              <w:rPr>
                <w:rFonts w:asciiTheme="minorHAnsi" w:hAnsiTheme="minorHAnsi" w:cs="Arial"/>
                <w:sz w:val="20"/>
                <w:szCs w:val="28"/>
              </w:rPr>
              <w:t xml:space="preserve">Zdraví </w:t>
            </w:r>
          </w:p>
        </w:tc>
        <w:tc>
          <w:tcPr>
            <w:tcW w:w="1529" w:type="dxa"/>
            <w:tcBorders>
              <w:top w:val="single" w:sz="4" w:space="0" w:color="auto"/>
              <w:left w:val="nil"/>
              <w:bottom w:val="single" w:sz="4" w:space="0" w:color="auto"/>
              <w:right w:val="double" w:sz="6" w:space="0" w:color="auto"/>
            </w:tcBorders>
            <w:shd w:val="clear" w:color="auto" w:fill="auto"/>
            <w:vAlign w:val="center"/>
          </w:tcPr>
          <w:p w14:paraId="28E8F6A3" w14:textId="77777777" w:rsidR="000D7192" w:rsidRPr="00DC0686" w:rsidRDefault="000D7192" w:rsidP="00621D94">
            <w:pPr>
              <w:jc w:val="center"/>
              <w:rPr>
                <w:rFonts w:asciiTheme="minorHAnsi" w:hAnsiTheme="minorHAnsi" w:cs="Arial"/>
                <w:sz w:val="20"/>
                <w:szCs w:val="24"/>
              </w:rPr>
            </w:pPr>
            <w:r w:rsidRPr="00DC0686">
              <w:rPr>
                <w:rFonts w:asciiTheme="minorHAnsi" w:hAnsiTheme="minorHAnsi" w:cs="Arial"/>
                <w:sz w:val="20"/>
                <w:szCs w:val="24"/>
              </w:rPr>
              <w:t xml:space="preserve"> </w:t>
            </w:r>
            <w:r>
              <w:rPr>
                <w:rFonts w:asciiTheme="minorHAnsi" w:hAnsiTheme="minorHAnsi" w:cs="Arial"/>
                <w:sz w:val="20"/>
                <w:szCs w:val="24"/>
              </w:rPr>
              <w:t>+</w:t>
            </w:r>
            <w:r w:rsidRPr="00DC0686">
              <w:rPr>
                <w:rFonts w:asciiTheme="minorHAnsi" w:hAnsiTheme="minorHAnsi" w:cs="Arial"/>
                <w:sz w:val="20"/>
                <w:szCs w:val="24"/>
              </w:rPr>
              <w:t>0,</w:t>
            </w:r>
            <w:r>
              <w:rPr>
                <w:rFonts w:asciiTheme="minorHAnsi" w:hAnsiTheme="minorHAnsi" w:cs="Arial"/>
                <w:sz w:val="20"/>
                <w:szCs w:val="24"/>
              </w:rPr>
              <w:t>1</w:t>
            </w:r>
          </w:p>
        </w:tc>
      </w:tr>
      <w:tr w:rsidR="000D7192" w:rsidRPr="00DC0686" w14:paraId="4AFA69A1" w14:textId="77777777" w:rsidTr="00621D94">
        <w:trPr>
          <w:trHeight w:val="284"/>
          <w:jc w:val="center"/>
        </w:trPr>
        <w:tc>
          <w:tcPr>
            <w:tcW w:w="6066" w:type="dxa"/>
            <w:tcBorders>
              <w:top w:val="single" w:sz="4" w:space="0" w:color="auto"/>
              <w:left w:val="double" w:sz="6" w:space="0" w:color="auto"/>
              <w:bottom w:val="single" w:sz="4" w:space="0" w:color="auto"/>
              <w:right w:val="single" w:sz="4" w:space="0" w:color="auto"/>
            </w:tcBorders>
            <w:shd w:val="clear" w:color="auto" w:fill="auto"/>
            <w:vAlign w:val="center"/>
          </w:tcPr>
          <w:p w14:paraId="219D55F5" w14:textId="77777777" w:rsidR="000D7192" w:rsidRPr="00DC0686" w:rsidRDefault="000D7192" w:rsidP="00621D94">
            <w:pPr>
              <w:rPr>
                <w:rFonts w:asciiTheme="minorHAnsi" w:hAnsiTheme="minorHAnsi" w:cs="Arial"/>
                <w:sz w:val="20"/>
                <w:szCs w:val="24"/>
              </w:rPr>
            </w:pPr>
            <w:r w:rsidRPr="00DC0686">
              <w:rPr>
                <w:rFonts w:asciiTheme="minorHAnsi" w:hAnsiTheme="minorHAnsi" w:cs="Arial"/>
                <w:sz w:val="20"/>
                <w:szCs w:val="28"/>
              </w:rPr>
              <w:t xml:space="preserve"> Doprava </w:t>
            </w:r>
          </w:p>
        </w:tc>
        <w:tc>
          <w:tcPr>
            <w:tcW w:w="1529" w:type="dxa"/>
            <w:tcBorders>
              <w:top w:val="single" w:sz="4" w:space="0" w:color="auto"/>
              <w:left w:val="nil"/>
              <w:bottom w:val="single" w:sz="4" w:space="0" w:color="auto"/>
              <w:right w:val="double" w:sz="6" w:space="0" w:color="auto"/>
            </w:tcBorders>
            <w:shd w:val="clear" w:color="auto" w:fill="auto"/>
            <w:vAlign w:val="center"/>
          </w:tcPr>
          <w:p w14:paraId="2BF75812" w14:textId="77777777" w:rsidR="000D7192" w:rsidRPr="00DC0686" w:rsidRDefault="000D7192" w:rsidP="00621D94">
            <w:pPr>
              <w:jc w:val="center"/>
              <w:rPr>
                <w:rFonts w:asciiTheme="minorHAnsi" w:hAnsiTheme="minorHAnsi" w:cs="Arial"/>
                <w:sz w:val="20"/>
                <w:szCs w:val="24"/>
              </w:rPr>
            </w:pPr>
            <w:r w:rsidRPr="00DC0686">
              <w:rPr>
                <w:rFonts w:asciiTheme="minorHAnsi" w:hAnsiTheme="minorHAnsi" w:cs="Arial"/>
                <w:sz w:val="20"/>
                <w:szCs w:val="28"/>
              </w:rPr>
              <w:t xml:space="preserve">  0,0</w:t>
            </w:r>
          </w:p>
        </w:tc>
      </w:tr>
      <w:tr w:rsidR="000D7192" w:rsidRPr="00DC0686" w14:paraId="1304C11C" w14:textId="77777777" w:rsidTr="00621D94">
        <w:trPr>
          <w:trHeight w:val="284"/>
          <w:jc w:val="center"/>
        </w:trPr>
        <w:tc>
          <w:tcPr>
            <w:tcW w:w="6066"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03B31D15" w14:textId="77777777" w:rsidR="000D7192" w:rsidRPr="00DC0686" w:rsidRDefault="000D7192" w:rsidP="00621D94">
            <w:pPr>
              <w:jc w:val="both"/>
              <w:rPr>
                <w:rFonts w:asciiTheme="minorHAnsi" w:hAnsiTheme="minorHAnsi" w:cs="Arial"/>
                <w:sz w:val="20"/>
                <w:szCs w:val="24"/>
              </w:rPr>
            </w:pPr>
            <w:r w:rsidRPr="00DC0686">
              <w:rPr>
                <w:rFonts w:asciiTheme="minorHAnsi" w:hAnsiTheme="minorHAnsi" w:cs="Arial"/>
                <w:sz w:val="20"/>
                <w:szCs w:val="28"/>
              </w:rPr>
              <w:t xml:space="preserve"> </w:t>
            </w:r>
            <w:r w:rsidRPr="00DC0686">
              <w:rPr>
                <w:rFonts w:asciiTheme="minorHAnsi" w:hAnsiTheme="minorHAnsi" w:cs="Arial"/>
                <w:sz w:val="20"/>
                <w:szCs w:val="24"/>
              </w:rPr>
              <w:t>Vzdělávání</w:t>
            </w:r>
          </w:p>
        </w:tc>
        <w:tc>
          <w:tcPr>
            <w:tcW w:w="1529" w:type="dxa"/>
            <w:tcBorders>
              <w:top w:val="single" w:sz="4" w:space="0" w:color="auto"/>
              <w:left w:val="nil"/>
              <w:bottom w:val="single" w:sz="4" w:space="0" w:color="auto"/>
              <w:right w:val="double" w:sz="6" w:space="0" w:color="auto"/>
            </w:tcBorders>
            <w:shd w:val="clear" w:color="auto" w:fill="auto"/>
            <w:vAlign w:val="center"/>
            <w:hideMark/>
          </w:tcPr>
          <w:p w14:paraId="096F6F12" w14:textId="77777777" w:rsidR="000D7192" w:rsidRPr="00DC0686" w:rsidRDefault="000D7192" w:rsidP="00621D94">
            <w:pPr>
              <w:jc w:val="center"/>
              <w:rPr>
                <w:rFonts w:asciiTheme="minorHAnsi" w:hAnsiTheme="minorHAnsi" w:cs="Arial"/>
                <w:sz w:val="20"/>
                <w:szCs w:val="24"/>
              </w:rPr>
            </w:pPr>
            <w:r w:rsidRPr="00DC0686">
              <w:rPr>
                <w:rFonts w:asciiTheme="minorHAnsi" w:hAnsiTheme="minorHAnsi" w:cs="Arial"/>
                <w:sz w:val="20"/>
                <w:szCs w:val="28"/>
              </w:rPr>
              <w:t xml:space="preserve">  0,0</w:t>
            </w:r>
          </w:p>
        </w:tc>
      </w:tr>
      <w:tr w:rsidR="000D7192" w:rsidRPr="00DC0686" w14:paraId="784DCE93" w14:textId="77777777" w:rsidTr="00621D94">
        <w:trPr>
          <w:trHeight w:val="284"/>
          <w:jc w:val="center"/>
        </w:trPr>
        <w:tc>
          <w:tcPr>
            <w:tcW w:w="6066" w:type="dxa"/>
            <w:tcBorders>
              <w:top w:val="nil"/>
              <w:left w:val="double" w:sz="6" w:space="0" w:color="auto"/>
              <w:bottom w:val="double" w:sz="4" w:space="0" w:color="auto"/>
              <w:right w:val="single" w:sz="4" w:space="0" w:color="auto"/>
            </w:tcBorders>
            <w:shd w:val="clear" w:color="auto" w:fill="auto"/>
            <w:vAlign w:val="center"/>
            <w:hideMark/>
          </w:tcPr>
          <w:p w14:paraId="38711229" w14:textId="77777777" w:rsidR="000D7192" w:rsidRPr="00DC0686" w:rsidRDefault="000D7192" w:rsidP="00621D94">
            <w:pPr>
              <w:rPr>
                <w:rFonts w:asciiTheme="minorHAnsi" w:hAnsiTheme="minorHAnsi" w:cs="Arial"/>
                <w:sz w:val="20"/>
                <w:szCs w:val="24"/>
              </w:rPr>
            </w:pPr>
            <w:r w:rsidRPr="00DC0686">
              <w:rPr>
                <w:rFonts w:asciiTheme="minorHAnsi" w:hAnsiTheme="minorHAnsi" w:cs="Arial"/>
                <w:sz w:val="20"/>
                <w:szCs w:val="28"/>
              </w:rPr>
              <w:t xml:space="preserve"> Pošty a telekomunikace</w:t>
            </w:r>
          </w:p>
        </w:tc>
        <w:tc>
          <w:tcPr>
            <w:tcW w:w="1529" w:type="dxa"/>
            <w:tcBorders>
              <w:top w:val="nil"/>
              <w:left w:val="nil"/>
              <w:bottom w:val="double" w:sz="4" w:space="0" w:color="auto"/>
              <w:right w:val="double" w:sz="6" w:space="0" w:color="auto"/>
            </w:tcBorders>
            <w:shd w:val="clear" w:color="auto" w:fill="auto"/>
            <w:vAlign w:val="center"/>
            <w:hideMark/>
          </w:tcPr>
          <w:p w14:paraId="64D27134" w14:textId="77777777" w:rsidR="000D7192" w:rsidRPr="00DC0686" w:rsidRDefault="000D7192" w:rsidP="00621D94">
            <w:pPr>
              <w:jc w:val="center"/>
              <w:rPr>
                <w:rFonts w:asciiTheme="minorHAnsi" w:hAnsiTheme="minorHAnsi" w:cs="Arial"/>
                <w:sz w:val="20"/>
                <w:szCs w:val="24"/>
              </w:rPr>
            </w:pPr>
            <w:r w:rsidRPr="00DC0686">
              <w:rPr>
                <w:rFonts w:asciiTheme="minorHAnsi" w:hAnsiTheme="minorHAnsi" w:cs="Arial"/>
                <w:sz w:val="20"/>
                <w:szCs w:val="28"/>
              </w:rPr>
              <w:t xml:space="preserve"> -0,1</w:t>
            </w:r>
          </w:p>
        </w:tc>
      </w:tr>
    </w:tbl>
    <w:p w14:paraId="5BFAD2D0" w14:textId="77777777" w:rsidR="000D7192" w:rsidRPr="00DC0686" w:rsidRDefault="000D7192" w:rsidP="000D7192">
      <w:pPr>
        <w:spacing w:before="120" w:line="360" w:lineRule="auto"/>
        <w:ind w:firstLine="709"/>
        <w:jc w:val="both"/>
        <w:rPr>
          <w:rFonts w:asciiTheme="minorHAnsi" w:hAnsiTheme="minorHAnsi" w:cs="Arial"/>
          <w:sz w:val="20"/>
          <w:szCs w:val="28"/>
        </w:rPr>
      </w:pPr>
      <w:r w:rsidRPr="00DC0686">
        <w:rPr>
          <w:rFonts w:asciiTheme="minorHAnsi" w:hAnsiTheme="minorHAnsi" w:cs="Arial"/>
          <w:sz w:val="20"/>
          <w:szCs w:val="28"/>
        </w:rPr>
        <w:t>Zpracováno z</w:t>
      </w:r>
      <w:r>
        <w:rPr>
          <w:rFonts w:asciiTheme="minorHAnsi" w:hAnsiTheme="minorHAnsi" w:cs="Arial"/>
          <w:sz w:val="20"/>
          <w:szCs w:val="28"/>
        </w:rPr>
        <w:t xml:space="preserve"> </w:t>
      </w:r>
      <w:r w:rsidRPr="00DC0686">
        <w:rPr>
          <w:rFonts w:asciiTheme="minorHAnsi" w:hAnsiTheme="minorHAnsi" w:cs="Arial"/>
          <w:sz w:val="20"/>
          <w:szCs w:val="28"/>
        </w:rPr>
        <w:t>dat ČSÚ</w:t>
      </w:r>
    </w:p>
    <w:p w14:paraId="407667AE" w14:textId="77777777" w:rsidR="000D7192" w:rsidRPr="00E14F02" w:rsidRDefault="000D7192" w:rsidP="000D7192">
      <w:pPr>
        <w:spacing w:line="360" w:lineRule="auto"/>
        <w:jc w:val="both"/>
        <w:rPr>
          <w:rFonts w:asciiTheme="minorHAnsi" w:hAnsiTheme="minorHAnsi" w:cs="Arial"/>
          <w:b/>
          <w:szCs w:val="28"/>
        </w:rPr>
      </w:pPr>
    </w:p>
    <w:p w14:paraId="19744A31" w14:textId="79ACC5E0" w:rsidR="000D7192" w:rsidRPr="00E14F02" w:rsidRDefault="000D7192" w:rsidP="000D7192">
      <w:pPr>
        <w:spacing w:after="240" w:line="360" w:lineRule="auto"/>
        <w:jc w:val="both"/>
        <w:rPr>
          <w:rFonts w:asciiTheme="minorHAnsi" w:hAnsiTheme="minorHAnsi" w:cs="Arial"/>
          <w:sz w:val="26"/>
          <w:szCs w:val="26"/>
        </w:rPr>
      </w:pPr>
      <w:r w:rsidRPr="00E14F02">
        <w:rPr>
          <w:rFonts w:asciiTheme="minorHAnsi" w:hAnsiTheme="minorHAnsi" w:cs="Arial"/>
          <w:b/>
          <w:sz w:val="26"/>
          <w:szCs w:val="26"/>
        </w:rPr>
        <w:tab/>
      </w:r>
      <w:r w:rsidRPr="00E14F02">
        <w:rPr>
          <w:rFonts w:asciiTheme="minorHAnsi" w:hAnsiTheme="minorHAnsi" w:cs="Arial"/>
          <w:sz w:val="26"/>
          <w:szCs w:val="26"/>
        </w:rPr>
        <w:t>Z přehledu je zřejmé, že</w:t>
      </w:r>
      <w:r w:rsidRPr="00E14F02">
        <w:rPr>
          <w:rFonts w:asciiTheme="minorHAnsi" w:hAnsiTheme="minorHAnsi" w:cs="Arial"/>
          <w:b/>
          <w:sz w:val="26"/>
          <w:szCs w:val="26"/>
        </w:rPr>
        <w:t xml:space="preserve"> největší vliv na růst cenové hladiny </w:t>
      </w:r>
      <w:r w:rsidRPr="00E14F02">
        <w:rPr>
          <w:rFonts w:asciiTheme="minorHAnsi" w:hAnsiTheme="minorHAnsi" w:cs="Arial"/>
          <w:bCs/>
          <w:sz w:val="26"/>
          <w:szCs w:val="26"/>
        </w:rPr>
        <w:t>v roce 2020</w:t>
      </w:r>
      <w:r w:rsidRPr="00E14F02">
        <w:rPr>
          <w:rFonts w:asciiTheme="minorHAnsi" w:hAnsiTheme="minorHAnsi" w:cs="Arial"/>
          <w:b/>
          <w:sz w:val="26"/>
          <w:szCs w:val="26"/>
        </w:rPr>
        <w:t xml:space="preserve"> měl oddíl </w:t>
      </w:r>
      <w:r w:rsidRPr="00E14F02">
        <w:rPr>
          <w:rFonts w:asciiTheme="minorHAnsi" w:hAnsiTheme="minorHAnsi" w:cs="Arial"/>
          <w:b/>
          <w:bCs/>
          <w:sz w:val="26"/>
          <w:szCs w:val="26"/>
        </w:rPr>
        <w:t>potraviny a nealkoholické nápoje,</w:t>
      </w:r>
      <w:r w:rsidRPr="00E14F02">
        <w:rPr>
          <w:rFonts w:asciiTheme="minorHAnsi" w:hAnsiTheme="minorHAnsi" w:cs="Arial"/>
          <w:b/>
          <w:sz w:val="26"/>
          <w:szCs w:val="26"/>
        </w:rPr>
        <w:t xml:space="preserve"> </w:t>
      </w:r>
      <w:r w:rsidR="00CF4484">
        <w:rPr>
          <w:rFonts w:asciiTheme="minorHAnsi" w:hAnsiTheme="minorHAnsi" w:cs="Arial"/>
          <w:sz w:val="26"/>
          <w:szCs w:val="26"/>
        </w:rPr>
        <w:t>rovněž</w:t>
      </w:r>
      <w:r w:rsidRPr="00E14F02">
        <w:rPr>
          <w:rFonts w:asciiTheme="minorHAnsi" w:hAnsiTheme="minorHAnsi" w:cs="Arial"/>
          <w:sz w:val="26"/>
          <w:szCs w:val="26"/>
        </w:rPr>
        <w:t xml:space="preserve"> došlo ke zvýšení cen v oddíle</w:t>
      </w:r>
      <w:r w:rsidRPr="00E14F02">
        <w:rPr>
          <w:rFonts w:asciiTheme="minorHAnsi" w:hAnsiTheme="minorHAnsi" w:cs="Arial"/>
          <w:b/>
          <w:sz w:val="26"/>
          <w:szCs w:val="26"/>
        </w:rPr>
        <w:t xml:space="preserve"> bydlení</w:t>
      </w:r>
      <w:r w:rsidRPr="00E14F02">
        <w:rPr>
          <w:rFonts w:asciiTheme="minorHAnsi" w:hAnsiTheme="minorHAnsi" w:cs="Arial"/>
          <w:sz w:val="26"/>
          <w:szCs w:val="26"/>
        </w:rPr>
        <w:t xml:space="preserve">, oba tyto vlivy jsou více rozebrány dále v textu. </w:t>
      </w:r>
      <w:r w:rsidRPr="00E14F02">
        <w:rPr>
          <w:rFonts w:asciiTheme="minorHAnsi" w:hAnsiTheme="minorHAnsi" w:cs="Arial"/>
          <w:b/>
          <w:sz w:val="26"/>
          <w:szCs w:val="26"/>
        </w:rPr>
        <w:t>Vyšší náklady</w:t>
      </w:r>
      <w:r w:rsidRPr="00E14F02">
        <w:rPr>
          <w:rFonts w:asciiTheme="minorHAnsi" w:hAnsiTheme="minorHAnsi" w:cs="Arial"/>
          <w:sz w:val="26"/>
          <w:szCs w:val="26"/>
        </w:rPr>
        <w:t xml:space="preserve"> měly domácnosti například také v oddílech </w:t>
      </w:r>
      <w:r w:rsidRPr="00E14F02">
        <w:rPr>
          <w:rFonts w:asciiTheme="minorHAnsi" w:hAnsiTheme="minorHAnsi" w:cs="Arial"/>
          <w:b/>
          <w:bCs/>
          <w:sz w:val="26"/>
          <w:szCs w:val="26"/>
        </w:rPr>
        <w:t>alkoholické nápoje, tabák</w:t>
      </w:r>
      <w:r w:rsidRPr="00E14F02">
        <w:rPr>
          <w:rFonts w:asciiTheme="minorHAnsi" w:hAnsiTheme="minorHAnsi" w:cs="Arial"/>
          <w:sz w:val="26"/>
          <w:szCs w:val="26"/>
        </w:rPr>
        <w:t xml:space="preserve"> (cenová skupin</w:t>
      </w:r>
      <w:r w:rsidR="00CF4484">
        <w:rPr>
          <w:rFonts w:asciiTheme="minorHAnsi" w:hAnsiTheme="minorHAnsi" w:cs="Arial"/>
          <w:sz w:val="26"/>
          <w:szCs w:val="26"/>
        </w:rPr>
        <w:t>a</w:t>
      </w:r>
      <w:r w:rsidRPr="00E14F02">
        <w:rPr>
          <w:rFonts w:asciiTheme="minorHAnsi" w:hAnsiTheme="minorHAnsi" w:cs="Arial"/>
          <w:sz w:val="26"/>
          <w:szCs w:val="26"/>
        </w:rPr>
        <w:t xml:space="preserve"> tabák vzrostla o 9,8 % a alkoholické nápoje o 4,8 %) a </w:t>
      </w:r>
      <w:r w:rsidRPr="00E14F02">
        <w:rPr>
          <w:rFonts w:asciiTheme="minorHAnsi" w:hAnsiTheme="minorHAnsi" w:cs="Arial"/>
          <w:b/>
          <w:sz w:val="26"/>
          <w:szCs w:val="26"/>
        </w:rPr>
        <w:t>stravování a ubytování</w:t>
      </w:r>
      <w:r w:rsidRPr="00E14F02">
        <w:rPr>
          <w:rFonts w:asciiTheme="minorHAnsi" w:hAnsiTheme="minorHAnsi" w:cs="Arial"/>
          <w:sz w:val="26"/>
          <w:szCs w:val="26"/>
        </w:rPr>
        <w:t xml:space="preserve"> (náklady domácností na stravovací služby byly vyšší o 5,4 %, na ubytovací služby o 2,2 %).</w:t>
      </w:r>
    </w:p>
    <w:p w14:paraId="1D4EF452" w14:textId="77777777" w:rsidR="000D7192" w:rsidRPr="00E14F02" w:rsidRDefault="000D7192" w:rsidP="000D7192">
      <w:pPr>
        <w:spacing w:after="240"/>
        <w:ind w:left="709"/>
        <w:jc w:val="both"/>
        <w:rPr>
          <w:rFonts w:asciiTheme="minorHAnsi" w:hAnsiTheme="minorHAnsi"/>
          <w:sz w:val="26"/>
          <w:szCs w:val="26"/>
        </w:rPr>
      </w:pPr>
      <w:r w:rsidRPr="00E14F02">
        <w:rPr>
          <w:rFonts w:asciiTheme="minorHAnsi" w:hAnsiTheme="minorHAnsi"/>
          <w:b/>
          <w:sz w:val="26"/>
          <w:szCs w:val="26"/>
        </w:rPr>
        <w:t>Růst regulovaných cen pokračoval ve zpomalení,</w:t>
      </w:r>
      <w:r w:rsidRPr="00E14F02">
        <w:rPr>
          <w:rFonts w:asciiTheme="minorHAnsi" w:hAnsiTheme="minorHAnsi"/>
          <w:sz w:val="26"/>
          <w:szCs w:val="26"/>
        </w:rPr>
        <w:t xml:space="preserve"> tento trend byl sledovatelný</w:t>
      </w:r>
      <w:r w:rsidRPr="00E14F02">
        <w:rPr>
          <w:rFonts w:asciiTheme="minorHAnsi" w:hAnsiTheme="minorHAnsi"/>
          <w:bCs/>
          <w:sz w:val="26"/>
          <w:szCs w:val="26"/>
        </w:rPr>
        <w:t xml:space="preserve"> po celý rok 2020.</w:t>
      </w:r>
      <w:r w:rsidRPr="00E14F02">
        <w:rPr>
          <w:rFonts w:asciiTheme="minorHAnsi" w:hAnsiTheme="minorHAnsi"/>
          <w:sz w:val="26"/>
          <w:szCs w:val="26"/>
        </w:rPr>
        <w:t xml:space="preserve"> Zatímco ve třetím čtvrtletí 2020 dosáhl tento růst 3,4 % meziročně, tak ve čtvrtém čtvrtletí se snížil na 1,7 %.</w:t>
      </w:r>
    </w:p>
    <w:p w14:paraId="78FFC24E" w14:textId="74DC62D2" w:rsidR="000D7192" w:rsidRPr="00E14F02" w:rsidRDefault="000D7192" w:rsidP="000D7192">
      <w:pPr>
        <w:ind w:left="708"/>
        <w:jc w:val="both"/>
        <w:rPr>
          <w:rFonts w:asciiTheme="minorHAnsi" w:hAnsiTheme="minorHAnsi" w:cs="Arial"/>
          <w:sz w:val="26"/>
          <w:szCs w:val="26"/>
        </w:rPr>
      </w:pPr>
      <w:r w:rsidRPr="00E14F02">
        <w:rPr>
          <w:rFonts w:asciiTheme="minorHAnsi" w:hAnsiTheme="minorHAnsi" w:cs="Arial"/>
          <w:sz w:val="26"/>
          <w:szCs w:val="26"/>
        </w:rPr>
        <w:t xml:space="preserve">Na </w:t>
      </w:r>
      <w:r w:rsidRPr="00E14F02">
        <w:rPr>
          <w:rFonts w:asciiTheme="minorHAnsi" w:hAnsiTheme="minorHAnsi" w:cs="Arial"/>
          <w:b/>
          <w:sz w:val="26"/>
          <w:szCs w:val="26"/>
        </w:rPr>
        <w:t>růstu cen v oddíle potraviny a nealkoholické nápoje o 4,5 %</w:t>
      </w:r>
      <w:r w:rsidRPr="00E14F02">
        <w:rPr>
          <w:rFonts w:asciiTheme="minorHAnsi" w:hAnsiTheme="minorHAnsi" w:cs="Arial"/>
          <w:sz w:val="26"/>
          <w:szCs w:val="26"/>
        </w:rPr>
        <w:t xml:space="preserve"> </w:t>
      </w:r>
      <w:r w:rsidRPr="00E14F02">
        <w:rPr>
          <w:rFonts w:asciiTheme="minorHAnsi" w:hAnsiTheme="minorHAnsi" w:cs="Arial"/>
          <w:bCs/>
          <w:sz w:val="26"/>
          <w:szCs w:val="26"/>
        </w:rPr>
        <w:t>se podílely nejvíce ceny pekárenských výrobků a obilovin</w:t>
      </w:r>
      <w:r w:rsidRPr="00E14F02">
        <w:rPr>
          <w:rFonts w:asciiTheme="minorHAnsi" w:hAnsiTheme="minorHAnsi" w:cs="Arial"/>
          <w:b/>
          <w:sz w:val="26"/>
          <w:szCs w:val="26"/>
        </w:rPr>
        <w:t xml:space="preserve"> </w:t>
      </w:r>
      <w:r w:rsidRPr="00E14F02">
        <w:rPr>
          <w:rFonts w:asciiTheme="minorHAnsi" w:hAnsiTheme="minorHAnsi" w:cs="Arial"/>
          <w:bCs/>
          <w:sz w:val="26"/>
          <w:szCs w:val="26"/>
        </w:rPr>
        <w:t>(</w:t>
      </w:r>
      <w:r w:rsidRPr="00E14F02">
        <w:rPr>
          <w:rFonts w:asciiTheme="minorHAnsi" w:hAnsiTheme="minorHAnsi" w:cs="Arial"/>
          <w:sz w:val="26"/>
          <w:szCs w:val="26"/>
        </w:rPr>
        <w:t>o 2,3 %</w:t>
      </w:r>
      <w:r w:rsidRPr="00E14F02">
        <w:rPr>
          <w:rFonts w:asciiTheme="minorHAnsi" w:hAnsiTheme="minorHAnsi" w:cs="Arial"/>
          <w:bCs/>
          <w:sz w:val="26"/>
          <w:szCs w:val="26"/>
        </w:rPr>
        <w:t>).</w:t>
      </w:r>
      <w:r w:rsidRPr="00E14F02">
        <w:rPr>
          <w:rFonts w:asciiTheme="minorHAnsi" w:hAnsiTheme="minorHAnsi" w:cs="Arial"/>
          <w:sz w:val="26"/>
          <w:szCs w:val="26"/>
        </w:rPr>
        <w:t xml:space="preserve"> Dále také došlo k</w:t>
      </w:r>
      <w:r w:rsidR="00CF4484">
        <w:rPr>
          <w:rFonts w:asciiTheme="minorHAnsi" w:hAnsiTheme="minorHAnsi" w:cs="Arial"/>
          <w:sz w:val="26"/>
          <w:szCs w:val="26"/>
        </w:rPr>
        <w:t>e</w:t>
      </w:r>
      <w:r w:rsidRPr="00E14F02">
        <w:rPr>
          <w:rFonts w:asciiTheme="minorHAnsi" w:hAnsiTheme="minorHAnsi" w:cs="Arial"/>
          <w:sz w:val="26"/>
          <w:szCs w:val="26"/>
        </w:rPr>
        <w:t> znatelnému nárůstu cen masa (ceny masa se zvýšily o 7,7 %) či</w:t>
      </w:r>
      <w:r>
        <w:rPr>
          <w:rFonts w:asciiTheme="minorHAnsi" w:hAnsiTheme="minorHAnsi" w:cs="Arial"/>
          <w:sz w:val="26"/>
          <w:szCs w:val="26"/>
        </w:rPr>
        <w:t xml:space="preserve"> </w:t>
      </w:r>
      <w:r w:rsidRPr="00E14F02">
        <w:rPr>
          <w:rFonts w:asciiTheme="minorHAnsi" w:hAnsiTheme="minorHAnsi" w:cs="Arial"/>
          <w:sz w:val="26"/>
          <w:szCs w:val="26"/>
        </w:rPr>
        <w:t xml:space="preserve">ovoce (nárůst o 18,2 %). Minulý rok naopak v průměru mírně poklesly například ceny olejů a tuků (o 1,3 %). </w:t>
      </w:r>
    </w:p>
    <w:p w14:paraId="06CE2659" w14:textId="77777777" w:rsidR="000D7192" w:rsidRPr="00E14F02" w:rsidRDefault="000D7192" w:rsidP="000D7192">
      <w:pPr>
        <w:spacing w:after="240"/>
        <w:ind w:left="709"/>
        <w:jc w:val="both"/>
        <w:rPr>
          <w:rFonts w:asciiTheme="minorHAnsi" w:hAnsiTheme="minorHAnsi"/>
          <w:bCs/>
          <w:spacing w:val="-3"/>
          <w:sz w:val="26"/>
          <w:szCs w:val="26"/>
        </w:rPr>
      </w:pPr>
    </w:p>
    <w:p w14:paraId="2DA1C920" w14:textId="77777777" w:rsidR="000D7192" w:rsidRPr="00E14F02" w:rsidRDefault="000D7192" w:rsidP="000D7192">
      <w:pPr>
        <w:spacing w:after="120"/>
        <w:ind w:left="708"/>
        <w:jc w:val="both"/>
        <w:rPr>
          <w:rFonts w:asciiTheme="minorHAnsi" w:hAnsiTheme="minorHAnsi"/>
          <w:bCs/>
          <w:spacing w:val="-3"/>
          <w:sz w:val="26"/>
          <w:szCs w:val="26"/>
        </w:rPr>
      </w:pPr>
      <w:r w:rsidRPr="00E14F02">
        <w:rPr>
          <w:rFonts w:asciiTheme="minorHAnsi" w:hAnsiTheme="minorHAnsi"/>
          <w:b/>
          <w:bCs/>
          <w:spacing w:val="-3"/>
          <w:sz w:val="26"/>
          <w:szCs w:val="26"/>
        </w:rPr>
        <w:lastRenderedPageBreak/>
        <w:t>Změny cen v oblasti bydlení byly</w:t>
      </w:r>
      <w:r w:rsidRPr="00E14F02">
        <w:rPr>
          <w:rFonts w:asciiTheme="minorHAnsi" w:hAnsiTheme="minorHAnsi"/>
          <w:bCs/>
          <w:spacing w:val="-3"/>
          <w:sz w:val="26"/>
          <w:szCs w:val="26"/>
        </w:rPr>
        <w:t xml:space="preserve"> </w:t>
      </w:r>
      <w:r w:rsidRPr="00E14F02">
        <w:rPr>
          <w:rFonts w:asciiTheme="minorHAnsi" w:hAnsiTheme="minorHAnsi"/>
          <w:b/>
          <w:bCs/>
          <w:spacing w:val="-3"/>
          <w:sz w:val="26"/>
          <w:szCs w:val="26"/>
        </w:rPr>
        <w:t>v roce 2020</w:t>
      </w:r>
      <w:r w:rsidRPr="00E14F02">
        <w:rPr>
          <w:rFonts w:asciiTheme="minorHAnsi" w:hAnsiTheme="minorHAnsi"/>
          <w:bCs/>
          <w:spacing w:val="-3"/>
          <w:sz w:val="26"/>
          <w:szCs w:val="26"/>
        </w:rPr>
        <w:t xml:space="preserve"> </w:t>
      </w:r>
      <w:r w:rsidRPr="00E14F02">
        <w:rPr>
          <w:rFonts w:asciiTheme="minorHAnsi" w:hAnsiTheme="minorHAnsi"/>
          <w:b/>
          <w:bCs/>
          <w:spacing w:val="-3"/>
          <w:sz w:val="26"/>
          <w:szCs w:val="26"/>
        </w:rPr>
        <w:t>nižší</w:t>
      </w:r>
      <w:r w:rsidRPr="00E14F02">
        <w:rPr>
          <w:rFonts w:asciiTheme="minorHAnsi" w:hAnsiTheme="minorHAnsi"/>
          <w:bCs/>
          <w:spacing w:val="-3"/>
          <w:sz w:val="26"/>
          <w:szCs w:val="26"/>
        </w:rPr>
        <w:t xml:space="preserve"> než</w:t>
      </w:r>
      <w:r w:rsidRPr="00E14F02">
        <w:rPr>
          <w:rFonts w:asciiTheme="minorHAnsi" w:hAnsiTheme="minorHAnsi"/>
          <w:b/>
          <w:bCs/>
          <w:spacing w:val="-3"/>
          <w:sz w:val="26"/>
          <w:szCs w:val="26"/>
        </w:rPr>
        <w:t xml:space="preserve"> </w:t>
      </w:r>
      <w:r w:rsidRPr="00E14F02">
        <w:rPr>
          <w:rFonts w:asciiTheme="minorHAnsi" w:hAnsiTheme="minorHAnsi"/>
          <w:bCs/>
          <w:spacing w:val="-3"/>
          <w:sz w:val="26"/>
          <w:szCs w:val="26"/>
        </w:rPr>
        <w:t>o rok dříve. Ceny nájemného z bytu se zvýšily o 3,1 %, vodného o 2,9 %, stočného o 2,5 % a elektřiny o 7,1 %. Naopak poklesly ceny zemního plynu o</w:t>
      </w:r>
      <w:r>
        <w:rPr>
          <w:rFonts w:asciiTheme="minorHAnsi" w:hAnsiTheme="minorHAnsi"/>
          <w:bCs/>
          <w:spacing w:val="-3"/>
          <w:sz w:val="26"/>
          <w:szCs w:val="26"/>
        </w:rPr>
        <w:t xml:space="preserve"> </w:t>
      </w:r>
      <w:r w:rsidRPr="00E14F02">
        <w:rPr>
          <w:rFonts w:asciiTheme="minorHAnsi" w:hAnsiTheme="minorHAnsi"/>
          <w:bCs/>
          <w:spacing w:val="-3"/>
          <w:sz w:val="26"/>
          <w:szCs w:val="26"/>
        </w:rPr>
        <w:t>0,5 % a tepelné energie o</w:t>
      </w:r>
      <w:r>
        <w:rPr>
          <w:rFonts w:asciiTheme="minorHAnsi" w:hAnsiTheme="minorHAnsi"/>
          <w:bCs/>
          <w:spacing w:val="-3"/>
          <w:sz w:val="26"/>
          <w:szCs w:val="26"/>
        </w:rPr>
        <w:t xml:space="preserve"> </w:t>
      </w:r>
      <w:r w:rsidRPr="00E14F02">
        <w:rPr>
          <w:rFonts w:asciiTheme="minorHAnsi" w:hAnsiTheme="minorHAnsi"/>
          <w:bCs/>
          <w:spacing w:val="-3"/>
          <w:sz w:val="26"/>
          <w:szCs w:val="26"/>
        </w:rPr>
        <w:t xml:space="preserve">1,2 %. </w:t>
      </w:r>
      <w:r w:rsidRPr="00E14F02">
        <w:rPr>
          <w:rFonts w:asciiTheme="minorHAnsi" w:hAnsiTheme="minorHAnsi"/>
          <w:b/>
          <w:bCs/>
          <w:spacing w:val="-3"/>
          <w:sz w:val="26"/>
          <w:szCs w:val="26"/>
        </w:rPr>
        <w:t>V průměru byly ceny v oddíle bydlení</w:t>
      </w:r>
      <w:r w:rsidRPr="00E14F02">
        <w:rPr>
          <w:rFonts w:asciiTheme="minorHAnsi" w:hAnsiTheme="minorHAnsi"/>
          <w:bCs/>
          <w:spacing w:val="-3"/>
          <w:sz w:val="26"/>
          <w:szCs w:val="26"/>
        </w:rPr>
        <w:t xml:space="preserve"> </w:t>
      </w:r>
      <w:r w:rsidRPr="00E14F02">
        <w:rPr>
          <w:rFonts w:asciiTheme="minorHAnsi" w:hAnsiTheme="minorHAnsi"/>
          <w:b/>
          <w:bCs/>
          <w:spacing w:val="-3"/>
          <w:sz w:val="26"/>
          <w:szCs w:val="26"/>
        </w:rPr>
        <w:t>meziročně vyšší</w:t>
      </w:r>
      <w:r w:rsidRPr="00E14F02">
        <w:rPr>
          <w:rFonts w:asciiTheme="minorHAnsi" w:hAnsiTheme="minorHAnsi"/>
          <w:bCs/>
          <w:spacing w:val="-3"/>
          <w:sz w:val="26"/>
          <w:szCs w:val="26"/>
        </w:rPr>
        <w:t xml:space="preserve"> </w:t>
      </w:r>
      <w:r w:rsidRPr="00E14F02">
        <w:rPr>
          <w:rFonts w:asciiTheme="minorHAnsi" w:hAnsiTheme="minorHAnsi"/>
          <w:b/>
          <w:bCs/>
          <w:spacing w:val="-3"/>
          <w:sz w:val="26"/>
          <w:szCs w:val="26"/>
        </w:rPr>
        <w:t>o</w:t>
      </w:r>
      <w:r w:rsidRPr="00E14F02">
        <w:rPr>
          <w:rFonts w:asciiTheme="minorHAnsi" w:hAnsiTheme="minorHAnsi"/>
          <w:bCs/>
          <w:spacing w:val="-3"/>
          <w:sz w:val="26"/>
          <w:szCs w:val="26"/>
        </w:rPr>
        <w:t xml:space="preserve"> </w:t>
      </w:r>
      <w:r w:rsidRPr="00E14F02">
        <w:rPr>
          <w:rFonts w:asciiTheme="minorHAnsi" w:hAnsiTheme="minorHAnsi"/>
          <w:b/>
          <w:bCs/>
          <w:spacing w:val="-3"/>
          <w:sz w:val="26"/>
          <w:szCs w:val="26"/>
        </w:rPr>
        <w:t xml:space="preserve">2,9 % </w:t>
      </w:r>
      <w:r w:rsidRPr="00E14F02">
        <w:rPr>
          <w:rFonts w:asciiTheme="minorHAnsi" w:hAnsiTheme="minorHAnsi"/>
          <w:bCs/>
          <w:spacing w:val="-3"/>
          <w:sz w:val="26"/>
          <w:szCs w:val="26"/>
        </w:rPr>
        <w:t>(v</w:t>
      </w:r>
      <w:r>
        <w:rPr>
          <w:rFonts w:asciiTheme="minorHAnsi" w:hAnsiTheme="minorHAnsi"/>
          <w:bCs/>
          <w:spacing w:val="-3"/>
          <w:sz w:val="26"/>
          <w:szCs w:val="26"/>
        </w:rPr>
        <w:t xml:space="preserve"> r</w:t>
      </w:r>
      <w:r w:rsidRPr="00E14F02">
        <w:rPr>
          <w:rFonts w:asciiTheme="minorHAnsi" w:hAnsiTheme="minorHAnsi"/>
          <w:bCs/>
          <w:spacing w:val="-3"/>
          <w:sz w:val="26"/>
          <w:szCs w:val="26"/>
        </w:rPr>
        <w:t>oce 2019 to bylo o 5,3 %) – příslušné indexy jsou součástí tabulky č. 23 v příloze.</w:t>
      </w:r>
    </w:p>
    <w:p w14:paraId="32AD8B38" w14:textId="77777777" w:rsidR="000D7192" w:rsidRPr="00E14F02" w:rsidRDefault="000D7192" w:rsidP="000D7192">
      <w:pPr>
        <w:spacing w:line="360" w:lineRule="auto"/>
        <w:ind w:left="708"/>
        <w:jc w:val="both"/>
        <w:rPr>
          <w:rFonts w:asciiTheme="minorHAnsi" w:hAnsiTheme="minorHAnsi" w:cs="Arial"/>
          <w:sz w:val="26"/>
          <w:szCs w:val="26"/>
        </w:rPr>
      </w:pPr>
    </w:p>
    <w:p w14:paraId="46C2BED5" w14:textId="3AE11357" w:rsidR="000D7192" w:rsidRPr="00E14F02" w:rsidRDefault="000D7192" w:rsidP="000D7192">
      <w:pPr>
        <w:spacing w:after="240" w:line="360" w:lineRule="auto"/>
        <w:jc w:val="both"/>
        <w:rPr>
          <w:rFonts w:asciiTheme="minorHAnsi" w:hAnsiTheme="minorHAnsi" w:cs="Arial"/>
          <w:sz w:val="26"/>
          <w:szCs w:val="26"/>
        </w:rPr>
      </w:pPr>
      <w:r w:rsidRPr="00E14F02">
        <w:rPr>
          <w:rFonts w:asciiTheme="minorHAnsi" w:hAnsiTheme="minorHAnsi" w:cs="Arial"/>
          <w:sz w:val="26"/>
          <w:szCs w:val="26"/>
        </w:rPr>
        <w:tab/>
        <w:t xml:space="preserve">Životní náklady domácností důchodců vzrostly v roce 2020 o 0,7 p. b. více než v předcházejícím roce a </w:t>
      </w:r>
      <w:r w:rsidRPr="00E14F02">
        <w:rPr>
          <w:rFonts w:asciiTheme="minorHAnsi" w:hAnsiTheme="minorHAnsi" w:cs="Arial"/>
          <w:b/>
          <w:sz w:val="26"/>
          <w:szCs w:val="26"/>
        </w:rPr>
        <w:t>index spotřebitelských cen domácností důchodců se v průměru za celý rok zvýšil o 3,5 %.</w:t>
      </w:r>
      <w:r w:rsidRPr="00E14F02">
        <w:rPr>
          <w:rFonts w:asciiTheme="minorHAnsi" w:hAnsiTheme="minorHAnsi" w:cs="Arial"/>
          <w:sz w:val="26"/>
          <w:szCs w:val="26"/>
        </w:rPr>
        <w:t xml:space="preserve"> Při srovnání s celkovým indexem domácností se důchodcům mírně více zvýšily náklady v oddílech </w:t>
      </w:r>
      <w:r w:rsidRPr="00E14F02">
        <w:rPr>
          <w:rFonts w:asciiTheme="minorHAnsi" w:hAnsiTheme="minorHAnsi" w:cs="Arial"/>
          <w:b/>
          <w:bCs/>
          <w:sz w:val="26"/>
          <w:szCs w:val="26"/>
        </w:rPr>
        <w:t>potraviny a nealkoholické nápoje</w:t>
      </w:r>
      <w:r w:rsidRPr="00E14F02">
        <w:rPr>
          <w:rFonts w:asciiTheme="minorHAnsi" w:hAnsiTheme="minorHAnsi" w:cs="Arial"/>
          <w:sz w:val="26"/>
          <w:szCs w:val="26"/>
        </w:rPr>
        <w:t xml:space="preserve"> (o 0,2 p. b.), </w:t>
      </w:r>
      <w:r w:rsidRPr="00E14F02">
        <w:rPr>
          <w:rFonts w:asciiTheme="minorHAnsi" w:hAnsiTheme="minorHAnsi" w:cs="Arial"/>
          <w:b/>
          <w:bCs/>
          <w:sz w:val="26"/>
          <w:szCs w:val="26"/>
        </w:rPr>
        <w:t>bydlení</w:t>
      </w:r>
      <w:r w:rsidRPr="00E14F02">
        <w:rPr>
          <w:rFonts w:asciiTheme="minorHAnsi" w:hAnsiTheme="minorHAnsi" w:cs="Arial"/>
          <w:sz w:val="26"/>
          <w:szCs w:val="26"/>
        </w:rPr>
        <w:t xml:space="preserve"> (o</w:t>
      </w:r>
      <w:r>
        <w:rPr>
          <w:rFonts w:asciiTheme="minorHAnsi" w:hAnsiTheme="minorHAnsi" w:cs="Arial"/>
          <w:sz w:val="26"/>
          <w:szCs w:val="26"/>
        </w:rPr>
        <w:t xml:space="preserve"> </w:t>
      </w:r>
      <w:r w:rsidRPr="00E14F02">
        <w:rPr>
          <w:rFonts w:asciiTheme="minorHAnsi" w:hAnsiTheme="minorHAnsi" w:cs="Arial"/>
          <w:sz w:val="26"/>
          <w:szCs w:val="26"/>
        </w:rPr>
        <w:t xml:space="preserve">0,1 p. b.), </w:t>
      </w:r>
      <w:r w:rsidRPr="00E14F02">
        <w:rPr>
          <w:rFonts w:asciiTheme="minorHAnsi" w:hAnsiTheme="minorHAnsi" w:cs="Arial"/>
          <w:b/>
          <w:bCs/>
          <w:sz w:val="26"/>
          <w:szCs w:val="26"/>
        </w:rPr>
        <w:t>rekreace a kultura</w:t>
      </w:r>
      <w:r w:rsidRPr="00E14F02">
        <w:rPr>
          <w:rFonts w:asciiTheme="minorHAnsi" w:hAnsiTheme="minorHAnsi" w:cs="Arial"/>
          <w:sz w:val="26"/>
          <w:szCs w:val="26"/>
        </w:rPr>
        <w:t xml:space="preserve"> (o</w:t>
      </w:r>
      <w:r>
        <w:rPr>
          <w:rFonts w:asciiTheme="minorHAnsi" w:hAnsiTheme="minorHAnsi" w:cs="Arial"/>
          <w:sz w:val="26"/>
          <w:szCs w:val="26"/>
        </w:rPr>
        <w:t xml:space="preserve"> </w:t>
      </w:r>
      <w:r w:rsidRPr="00E14F02">
        <w:rPr>
          <w:rFonts w:asciiTheme="minorHAnsi" w:hAnsiTheme="minorHAnsi" w:cs="Arial"/>
          <w:sz w:val="26"/>
          <w:szCs w:val="26"/>
        </w:rPr>
        <w:t xml:space="preserve">0,2 p. b.), </w:t>
      </w:r>
      <w:r w:rsidRPr="00E14F02">
        <w:rPr>
          <w:rFonts w:asciiTheme="minorHAnsi" w:hAnsiTheme="minorHAnsi" w:cs="Arial"/>
          <w:b/>
          <w:bCs/>
          <w:sz w:val="26"/>
          <w:szCs w:val="26"/>
        </w:rPr>
        <w:t>ostatní zboží a služby</w:t>
      </w:r>
      <w:r w:rsidRPr="00E14F02">
        <w:rPr>
          <w:rFonts w:asciiTheme="minorHAnsi" w:hAnsiTheme="minorHAnsi" w:cs="Arial"/>
          <w:sz w:val="26"/>
          <w:szCs w:val="26"/>
        </w:rPr>
        <w:t xml:space="preserve"> (o 0,6 p. b.). V</w:t>
      </w:r>
      <w:r>
        <w:rPr>
          <w:rFonts w:asciiTheme="minorHAnsi" w:hAnsiTheme="minorHAnsi" w:cs="Arial"/>
          <w:sz w:val="26"/>
          <w:szCs w:val="26"/>
        </w:rPr>
        <w:t xml:space="preserve"> </w:t>
      </w:r>
      <w:r w:rsidRPr="00E14F02">
        <w:rPr>
          <w:rFonts w:asciiTheme="minorHAnsi" w:hAnsiTheme="minorHAnsi" w:cs="Arial"/>
          <w:sz w:val="26"/>
          <w:szCs w:val="26"/>
        </w:rPr>
        <w:t>roce 2020 byly domácnosti důchodců více zasaženy rostoucími cenami i </w:t>
      </w:r>
      <w:r w:rsidR="00CF4484">
        <w:rPr>
          <w:rFonts w:asciiTheme="minorHAnsi" w:hAnsiTheme="minorHAnsi" w:cs="Arial"/>
          <w:sz w:val="26"/>
          <w:szCs w:val="26"/>
        </w:rPr>
        <w:t>kvůli</w:t>
      </w:r>
      <w:r w:rsidRPr="00E14F02">
        <w:rPr>
          <w:rFonts w:asciiTheme="minorHAnsi" w:hAnsiTheme="minorHAnsi" w:cs="Arial"/>
          <w:sz w:val="26"/>
          <w:szCs w:val="26"/>
        </w:rPr>
        <w:t xml:space="preserve"> tomu, že váha potravin ve spotřebním koši těchto domácností je vyšší než u domácností celkem. </w:t>
      </w:r>
      <w:r w:rsidR="00CF4484">
        <w:rPr>
          <w:rFonts w:asciiTheme="minorHAnsi" w:hAnsiTheme="minorHAnsi" w:cs="Arial"/>
          <w:sz w:val="26"/>
          <w:szCs w:val="26"/>
        </w:rPr>
        <w:t>Tato</w:t>
      </w:r>
      <w:r w:rsidRPr="00E14F02">
        <w:rPr>
          <w:rFonts w:asciiTheme="minorHAnsi" w:hAnsiTheme="minorHAnsi" w:cs="Arial"/>
          <w:sz w:val="26"/>
          <w:szCs w:val="26"/>
        </w:rPr>
        <w:t xml:space="preserve"> cenová skupina byla zároveň nejvýraznějším proinflačním vlivem.</w:t>
      </w:r>
    </w:p>
    <w:p w14:paraId="381FC2E7" w14:textId="67AFC0ED" w:rsidR="000D7192" w:rsidRPr="00E14F02" w:rsidRDefault="000D7192" w:rsidP="000D7192">
      <w:pPr>
        <w:spacing w:after="120" w:line="360" w:lineRule="auto"/>
        <w:jc w:val="both"/>
        <w:rPr>
          <w:rFonts w:asciiTheme="minorHAnsi" w:hAnsiTheme="minorHAnsi"/>
          <w:bCs/>
          <w:sz w:val="26"/>
          <w:szCs w:val="26"/>
        </w:rPr>
      </w:pPr>
      <w:r w:rsidRPr="00E14F02">
        <w:rPr>
          <w:rFonts w:asciiTheme="minorHAnsi" w:hAnsiTheme="minorHAnsi"/>
          <w:bCs/>
          <w:sz w:val="26"/>
          <w:szCs w:val="26"/>
        </w:rPr>
        <w:tab/>
      </w:r>
      <w:r w:rsidRPr="00E14F02">
        <w:rPr>
          <w:rFonts w:asciiTheme="minorHAnsi" w:hAnsiTheme="minorHAnsi"/>
          <w:b/>
          <w:bCs/>
          <w:sz w:val="26"/>
          <w:szCs w:val="26"/>
        </w:rPr>
        <w:t>V hl. m. Praze</w:t>
      </w:r>
      <w:r w:rsidRPr="00E14F02">
        <w:rPr>
          <w:rFonts w:asciiTheme="minorHAnsi" w:hAnsiTheme="minorHAnsi"/>
          <w:sz w:val="26"/>
          <w:szCs w:val="26"/>
        </w:rPr>
        <w:t xml:space="preserve"> </w:t>
      </w:r>
      <w:r w:rsidRPr="00E14F02">
        <w:rPr>
          <w:rFonts w:asciiTheme="minorHAnsi" w:hAnsiTheme="minorHAnsi"/>
          <w:b/>
          <w:sz w:val="26"/>
          <w:szCs w:val="26"/>
        </w:rPr>
        <w:t>činilo meziroční</w:t>
      </w:r>
      <w:r w:rsidRPr="00E14F02">
        <w:rPr>
          <w:rFonts w:asciiTheme="minorHAnsi" w:hAnsiTheme="minorHAnsi"/>
          <w:sz w:val="26"/>
          <w:szCs w:val="26"/>
        </w:rPr>
        <w:t xml:space="preserve"> </w:t>
      </w:r>
      <w:r w:rsidRPr="00E14F02">
        <w:rPr>
          <w:rFonts w:asciiTheme="minorHAnsi" w:hAnsiTheme="minorHAnsi"/>
          <w:b/>
          <w:sz w:val="26"/>
          <w:szCs w:val="26"/>
        </w:rPr>
        <w:t>navýšení životních nákladů</w:t>
      </w:r>
      <w:r w:rsidRPr="00E14F02">
        <w:rPr>
          <w:rFonts w:asciiTheme="minorHAnsi" w:hAnsiTheme="minorHAnsi"/>
          <w:sz w:val="26"/>
          <w:szCs w:val="26"/>
        </w:rPr>
        <w:t xml:space="preserve"> domácností </w:t>
      </w:r>
      <w:r w:rsidRPr="00E14F02">
        <w:rPr>
          <w:rFonts w:asciiTheme="minorHAnsi" w:hAnsiTheme="minorHAnsi"/>
          <w:b/>
          <w:sz w:val="26"/>
          <w:szCs w:val="26"/>
        </w:rPr>
        <w:t>3,2 </w:t>
      </w:r>
      <w:r w:rsidRPr="00E14F02">
        <w:rPr>
          <w:rFonts w:asciiTheme="minorHAnsi" w:hAnsiTheme="minorHAnsi"/>
          <w:b/>
          <w:bCs/>
          <w:sz w:val="26"/>
          <w:szCs w:val="26"/>
        </w:rPr>
        <w:t xml:space="preserve">% </w:t>
      </w:r>
      <w:r w:rsidRPr="00E14F02">
        <w:rPr>
          <w:rFonts w:asciiTheme="minorHAnsi" w:hAnsiTheme="minorHAnsi"/>
          <w:bCs/>
          <w:sz w:val="26"/>
          <w:szCs w:val="26"/>
        </w:rPr>
        <w:t>a bylo tak o 0,4 p. b. vyšší než v roce 2019.</w:t>
      </w:r>
      <w:r w:rsidRPr="00E14F02">
        <w:rPr>
          <w:rFonts w:asciiTheme="minorHAnsi" w:hAnsiTheme="minorHAnsi"/>
          <w:b/>
          <w:bCs/>
          <w:sz w:val="26"/>
          <w:szCs w:val="26"/>
        </w:rPr>
        <w:t xml:space="preserve"> </w:t>
      </w:r>
      <w:r w:rsidRPr="00E14F02">
        <w:rPr>
          <w:rFonts w:asciiTheme="minorHAnsi" w:hAnsiTheme="minorHAnsi"/>
          <w:bCs/>
          <w:sz w:val="26"/>
          <w:szCs w:val="26"/>
        </w:rPr>
        <w:t>Výrazněji se,</w:t>
      </w:r>
      <w:r w:rsidRPr="00E14F02">
        <w:rPr>
          <w:rFonts w:asciiTheme="minorHAnsi" w:hAnsiTheme="minorHAnsi"/>
          <w:b/>
          <w:bCs/>
          <w:sz w:val="26"/>
          <w:szCs w:val="26"/>
        </w:rPr>
        <w:t xml:space="preserve"> </w:t>
      </w:r>
      <w:r w:rsidRPr="00E14F02">
        <w:rPr>
          <w:rFonts w:asciiTheme="minorHAnsi" w:hAnsiTheme="minorHAnsi"/>
          <w:bCs/>
          <w:sz w:val="26"/>
          <w:szCs w:val="26"/>
        </w:rPr>
        <w:t xml:space="preserve">oproti průměrnému indexu všech domácností, zvýšily ceny zejména v oddílu </w:t>
      </w:r>
      <w:r w:rsidRPr="00E14F02">
        <w:rPr>
          <w:rFonts w:asciiTheme="minorHAnsi" w:hAnsiTheme="minorHAnsi"/>
          <w:b/>
          <w:sz w:val="26"/>
          <w:szCs w:val="26"/>
        </w:rPr>
        <w:t>odívání a obuv</w:t>
      </w:r>
      <w:r w:rsidRPr="00E14F02">
        <w:rPr>
          <w:rFonts w:asciiTheme="minorHAnsi" w:hAnsiTheme="minorHAnsi"/>
          <w:bCs/>
          <w:sz w:val="26"/>
          <w:szCs w:val="26"/>
        </w:rPr>
        <w:t xml:space="preserve"> (o</w:t>
      </w:r>
      <w:r>
        <w:rPr>
          <w:rFonts w:asciiTheme="minorHAnsi" w:hAnsiTheme="minorHAnsi"/>
          <w:bCs/>
          <w:sz w:val="26"/>
          <w:szCs w:val="26"/>
        </w:rPr>
        <w:t xml:space="preserve"> </w:t>
      </w:r>
      <w:r w:rsidRPr="00E14F02">
        <w:rPr>
          <w:rFonts w:asciiTheme="minorHAnsi" w:hAnsiTheme="minorHAnsi"/>
          <w:bCs/>
          <w:sz w:val="26"/>
          <w:szCs w:val="26"/>
        </w:rPr>
        <w:t xml:space="preserve">2,1 p. b.), kde se však jednalo výhradně o vliv nákladů na odívání, a </w:t>
      </w:r>
      <w:r w:rsidRPr="00E14F02">
        <w:rPr>
          <w:rFonts w:asciiTheme="minorHAnsi" w:hAnsiTheme="minorHAnsi"/>
          <w:b/>
          <w:sz w:val="26"/>
          <w:szCs w:val="26"/>
        </w:rPr>
        <w:t>ostatní zboží a služby</w:t>
      </w:r>
      <w:r w:rsidRPr="00E14F02">
        <w:rPr>
          <w:rFonts w:asciiTheme="minorHAnsi" w:hAnsiTheme="minorHAnsi"/>
          <w:bCs/>
          <w:sz w:val="26"/>
          <w:szCs w:val="26"/>
        </w:rPr>
        <w:t xml:space="preserve"> (o</w:t>
      </w:r>
      <w:r>
        <w:rPr>
          <w:rFonts w:asciiTheme="minorHAnsi" w:hAnsiTheme="minorHAnsi"/>
          <w:bCs/>
          <w:sz w:val="26"/>
          <w:szCs w:val="26"/>
        </w:rPr>
        <w:t xml:space="preserve"> </w:t>
      </w:r>
      <w:r w:rsidRPr="00E14F02">
        <w:rPr>
          <w:rFonts w:asciiTheme="minorHAnsi" w:hAnsiTheme="minorHAnsi"/>
          <w:bCs/>
          <w:sz w:val="26"/>
          <w:szCs w:val="26"/>
        </w:rPr>
        <w:t xml:space="preserve">2,0 p. b.). Naopak nižší růst nákladů byl sledován hlavně u oddílů </w:t>
      </w:r>
      <w:r w:rsidRPr="00E14F02">
        <w:rPr>
          <w:rFonts w:asciiTheme="minorHAnsi" w:hAnsiTheme="minorHAnsi"/>
          <w:b/>
          <w:sz w:val="26"/>
          <w:szCs w:val="26"/>
        </w:rPr>
        <w:t>rekreace a kultura</w:t>
      </w:r>
      <w:r w:rsidRPr="00E14F02">
        <w:rPr>
          <w:rFonts w:asciiTheme="minorHAnsi" w:hAnsiTheme="minorHAnsi"/>
          <w:bCs/>
          <w:sz w:val="26"/>
          <w:szCs w:val="26"/>
        </w:rPr>
        <w:t xml:space="preserve"> či </w:t>
      </w:r>
      <w:r w:rsidRPr="00E14F02">
        <w:rPr>
          <w:rFonts w:asciiTheme="minorHAnsi" w:hAnsiTheme="minorHAnsi"/>
          <w:b/>
          <w:sz w:val="26"/>
          <w:szCs w:val="26"/>
        </w:rPr>
        <w:t>stravování a</w:t>
      </w:r>
      <w:r>
        <w:rPr>
          <w:rFonts w:asciiTheme="minorHAnsi" w:hAnsiTheme="minorHAnsi"/>
          <w:b/>
          <w:sz w:val="26"/>
          <w:szCs w:val="26"/>
        </w:rPr>
        <w:t xml:space="preserve"> </w:t>
      </w:r>
      <w:r w:rsidRPr="00E14F02">
        <w:rPr>
          <w:rFonts w:asciiTheme="minorHAnsi" w:hAnsiTheme="minorHAnsi"/>
          <w:b/>
          <w:sz w:val="26"/>
          <w:szCs w:val="26"/>
        </w:rPr>
        <w:t>ubytování</w:t>
      </w:r>
      <w:r w:rsidRPr="00E14F02">
        <w:rPr>
          <w:rFonts w:asciiTheme="minorHAnsi" w:hAnsiTheme="minorHAnsi"/>
          <w:bCs/>
          <w:sz w:val="26"/>
          <w:szCs w:val="26"/>
        </w:rPr>
        <w:t xml:space="preserve"> – podrobnější data obsahuje tabulka č. 23 v příloze.</w:t>
      </w:r>
    </w:p>
    <w:p w14:paraId="3584E35F" w14:textId="77777777" w:rsidR="000D7192" w:rsidRPr="00E14F02" w:rsidRDefault="000D7192" w:rsidP="000D7192">
      <w:pPr>
        <w:ind w:left="708"/>
        <w:jc w:val="both"/>
        <w:rPr>
          <w:rFonts w:asciiTheme="minorHAnsi" w:hAnsiTheme="minorHAnsi"/>
        </w:rPr>
      </w:pPr>
      <w:r w:rsidRPr="00E14F02">
        <w:rPr>
          <w:rFonts w:asciiTheme="minorHAnsi" w:hAnsiTheme="minorHAnsi"/>
          <w:sz w:val="26"/>
          <w:szCs w:val="26"/>
        </w:rPr>
        <w:t>V</w:t>
      </w:r>
      <w:r>
        <w:rPr>
          <w:rFonts w:asciiTheme="minorHAnsi" w:hAnsiTheme="minorHAnsi"/>
          <w:sz w:val="26"/>
          <w:szCs w:val="26"/>
        </w:rPr>
        <w:t xml:space="preserve"> </w:t>
      </w:r>
      <w:r w:rsidRPr="00E14F02">
        <w:rPr>
          <w:rFonts w:asciiTheme="minorHAnsi" w:hAnsiTheme="minorHAnsi"/>
          <w:sz w:val="26"/>
          <w:szCs w:val="26"/>
        </w:rPr>
        <w:t>EU</w:t>
      </w:r>
      <w:r>
        <w:rPr>
          <w:rFonts w:asciiTheme="minorHAnsi" w:hAnsiTheme="minorHAnsi"/>
          <w:sz w:val="26"/>
          <w:szCs w:val="26"/>
        </w:rPr>
        <w:t> </w:t>
      </w:r>
      <w:r w:rsidRPr="00E14F02">
        <w:rPr>
          <w:rFonts w:asciiTheme="minorHAnsi" w:hAnsiTheme="minorHAnsi"/>
          <w:sz w:val="26"/>
          <w:szCs w:val="26"/>
        </w:rPr>
        <w:t>27 meziročně stoupl harmonizovaný index spotřebitelských cen o</w:t>
      </w:r>
      <w:r>
        <w:rPr>
          <w:rFonts w:asciiTheme="minorHAnsi" w:hAnsiTheme="minorHAnsi"/>
          <w:sz w:val="26"/>
          <w:szCs w:val="26"/>
        </w:rPr>
        <w:t xml:space="preserve"> </w:t>
      </w:r>
      <w:r w:rsidRPr="00E14F02">
        <w:rPr>
          <w:rFonts w:asciiTheme="minorHAnsi" w:hAnsiTheme="minorHAnsi"/>
          <w:sz w:val="26"/>
          <w:szCs w:val="26"/>
        </w:rPr>
        <w:t xml:space="preserve">0,7 %, což bylo o 0,7 p. b. méně než v roce 2019. ČR dosáhla meziroční změny ve výši 3,3 % (o 0,7 p. b. více než v předcházejícím roce). Nejvyšší pokles tohoto indexu zaznamenalo dle </w:t>
      </w:r>
      <w:proofErr w:type="spellStart"/>
      <w:r w:rsidRPr="00E14F02">
        <w:rPr>
          <w:rFonts w:asciiTheme="minorHAnsi" w:hAnsiTheme="minorHAnsi"/>
          <w:sz w:val="26"/>
          <w:szCs w:val="26"/>
        </w:rPr>
        <w:t>Eurostatu</w:t>
      </w:r>
      <w:proofErr w:type="spellEnd"/>
      <w:r w:rsidRPr="00E14F02">
        <w:rPr>
          <w:rFonts w:asciiTheme="minorHAnsi" w:hAnsiTheme="minorHAnsi"/>
          <w:sz w:val="26"/>
          <w:szCs w:val="26"/>
        </w:rPr>
        <w:t xml:space="preserve"> Řecko (-1,3 %), Kypr (-1,1 %) a Estonsko </w:t>
      </w:r>
      <w:r w:rsidRPr="00E14F02">
        <w:rPr>
          <w:rFonts w:asciiTheme="minorHAnsi" w:hAnsiTheme="minorHAnsi"/>
          <w:sz w:val="26"/>
          <w:szCs w:val="26"/>
        </w:rPr>
        <w:br/>
        <w:t>(-0,6 %), nejvyšší cenový růst byl naopak zaznamenán v Polsku (3,7 %), Maďarsku (3,4 %) a ČR – viz tabulku č. 24 v příloze.</w:t>
      </w:r>
    </w:p>
    <w:p w14:paraId="461389FB" w14:textId="77777777" w:rsidR="000D7192" w:rsidRPr="00D365B7" w:rsidRDefault="000D7192" w:rsidP="000D7192"/>
    <w:p w14:paraId="4929A9C6" w14:textId="77777777" w:rsidR="004471FB" w:rsidRPr="00D365B7" w:rsidRDefault="004471FB" w:rsidP="004471FB">
      <w:r w:rsidRPr="00D365B7">
        <w:br w:type="page"/>
      </w:r>
    </w:p>
    <w:p w14:paraId="5E62F2DC" w14:textId="77777777" w:rsidR="000F09FF" w:rsidRPr="00710980" w:rsidRDefault="000F09FF" w:rsidP="00730D63">
      <w:pPr>
        <w:spacing w:after="360"/>
        <w:jc w:val="both"/>
        <w:rPr>
          <w:rFonts w:asciiTheme="minorHAnsi" w:hAnsiTheme="minorHAnsi"/>
          <w:b/>
          <w:bCs/>
          <w:smallCaps/>
          <w:color w:val="1F497D"/>
          <w:sz w:val="40"/>
          <w:szCs w:val="40"/>
        </w:rPr>
      </w:pPr>
      <w:r w:rsidRPr="00710980">
        <w:rPr>
          <w:rFonts w:asciiTheme="minorHAnsi" w:hAnsiTheme="minorHAnsi"/>
          <w:b/>
          <w:bCs/>
          <w:smallCaps/>
          <w:color w:val="1F497D"/>
          <w:sz w:val="40"/>
          <w:szCs w:val="40"/>
        </w:rPr>
        <w:lastRenderedPageBreak/>
        <w:t>3. Peněžní výdaje, úvěry a úspory domácností</w:t>
      </w:r>
    </w:p>
    <w:p w14:paraId="150BCB46" w14:textId="76684C64" w:rsidR="000F09FF" w:rsidRPr="00710980" w:rsidRDefault="000F09FF" w:rsidP="00730D63">
      <w:pPr>
        <w:spacing w:after="360"/>
        <w:jc w:val="both"/>
        <w:rPr>
          <w:rFonts w:asciiTheme="minorHAnsi" w:hAnsiTheme="minorHAnsi"/>
          <w:b/>
          <w:bCs/>
          <w:i/>
          <w:smallCaps/>
          <w:color w:val="1F497D"/>
          <w:sz w:val="36"/>
          <w:szCs w:val="36"/>
        </w:rPr>
      </w:pPr>
      <w:r w:rsidRPr="00710980">
        <w:rPr>
          <w:rFonts w:asciiTheme="minorHAnsi" w:hAnsiTheme="minorHAnsi"/>
          <w:b/>
          <w:bCs/>
          <w:i/>
          <w:smallCaps/>
          <w:color w:val="1F497D"/>
          <w:sz w:val="36"/>
          <w:szCs w:val="36"/>
        </w:rPr>
        <w:t>3. 1 Peněžní výdaje</w:t>
      </w:r>
    </w:p>
    <w:p w14:paraId="1BA65968" w14:textId="77777777" w:rsidR="00710980" w:rsidRPr="00760CBD" w:rsidRDefault="00710980" w:rsidP="00710980">
      <w:pPr>
        <w:spacing w:after="360" w:line="360" w:lineRule="auto"/>
        <w:jc w:val="both"/>
        <w:rPr>
          <w:rFonts w:asciiTheme="minorHAnsi" w:hAnsiTheme="minorHAnsi"/>
          <w:sz w:val="26"/>
          <w:szCs w:val="26"/>
        </w:rPr>
      </w:pPr>
      <w:r w:rsidRPr="00760CBD">
        <w:rPr>
          <w:rFonts w:asciiTheme="minorHAnsi" w:hAnsiTheme="minorHAnsi"/>
          <w:sz w:val="26"/>
          <w:szCs w:val="26"/>
        </w:rPr>
        <w:tab/>
        <w:t>Pokles výkonosti ekonomiky se projevil nejen na příjmové situaci domácností, ale ještě výrazněji na nominálních i reálných vydáních tohoto sektoru národního hospodářství, což potvrzují data ČSÚ vykázaná na makroúrovni – viz tabulku č. 1 v příloze.</w:t>
      </w:r>
    </w:p>
    <w:p w14:paraId="57C0A3CD" w14:textId="77777777" w:rsidR="00710980" w:rsidRPr="00760CBD" w:rsidRDefault="00710980" w:rsidP="00710980">
      <w:pPr>
        <w:spacing w:after="240" w:line="360" w:lineRule="auto"/>
        <w:jc w:val="both"/>
        <w:rPr>
          <w:rFonts w:asciiTheme="minorHAnsi" w:hAnsiTheme="minorHAnsi"/>
          <w:b/>
          <w:sz w:val="26"/>
          <w:szCs w:val="26"/>
        </w:rPr>
      </w:pPr>
      <w:r w:rsidRPr="00760CBD">
        <w:rPr>
          <w:rFonts w:asciiTheme="minorHAnsi" w:hAnsiTheme="minorHAnsi"/>
          <w:sz w:val="26"/>
          <w:szCs w:val="26"/>
        </w:rPr>
        <w:tab/>
      </w:r>
      <w:r w:rsidRPr="00760CBD">
        <w:rPr>
          <w:rFonts w:asciiTheme="minorHAnsi" w:hAnsiTheme="minorHAnsi"/>
          <w:b/>
          <w:sz w:val="26"/>
          <w:szCs w:val="26"/>
        </w:rPr>
        <w:t>Ve výdajích domácností</w:t>
      </w:r>
      <w:r w:rsidRPr="00760CBD">
        <w:rPr>
          <w:rFonts w:asciiTheme="minorHAnsi" w:hAnsiTheme="minorHAnsi"/>
          <w:sz w:val="26"/>
          <w:szCs w:val="26"/>
        </w:rPr>
        <w:t xml:space="preserve"> se projevily zejména tyto </w:t>
      </w:r>
      <w:r w:rsidRPr="00760CBD">
        <w:rPr>
          <w:rFonts w:asciiTheme="minorHAnsi" w:hAnsiTheme="minorHAnsi"/>
          <w:b/>
          <w:sz w:val="26"/>
          <w:szCs w:val="26"/>
        </w:rPr>
        <w:t>hlavní tendence:</w:t>
      </w:r>
    </w:p>
    <w:p w14:paraId="1458D215" w14:textId="77777777" w:rsidR="00710980" w:rsidRPr="00760CBD" w:rsidRDefault="00710980" w:rsidP="00710980">
      <w:pPr>
        <w:numPr>
          <w:ilvl w:val="0"/>
          <w:numId w:val="19"/>
        </w:numPr>
        <w:spacing w:after="240" w:line="360" w:lineRule="auto"/>
        <w:ind w:left="357" w:hanging="357"/>
        <w:jc w:val="both"/>
        <w:rPr>
          <w:rFonts w:asciiTheme="minorHAnsi" w:hAnsiTheme="minorHAnsi"/>
          <w:bCs/>
          <w:sz w:val="26"/>
          <w:szCs w:val="26"/>
        </w:rPr>
      </w:pPr>
      <w:r w:rsidRPr="00760CBD">
        <w:rPr>
          <w:rFonts w:asciiTheme="minorHAnsi" w:hAnsiTheme="minorHAnsi"/>
          <w:b/>
          <w:bCs/>
          <w:sz w:val="26"/>
          <w:szCs w:val="26"/>
        </w:rPr>
        <w:t>2 602,5 mld. Kč vynaložil sektor domácností na výdaje spojené s individuální spotřebou</w:t>
      </w:r>
      <w:r w:rsidRPr="00760CBD">
        <w:rPr>
          <w:rFonts w:asciiTheme="minorHAnsi" w:hAnsiTheme="minorHAnsi"/>
          <w:bCs/>
          <w:sz w:val="26"/>
          <w:szCs w:val="26"/>
        </w:rPr>
        <w:t xml:space="preserve"> (o 2,5 % méně než o rok dříve); </w:t>
      </w:r>
      <w:r w:rsidRPr="00760CBD">
        <w:rPr>
          <w:rFonts w:asciiTheme="minorHAnsi" w:hAnsiTheme="minorHAnsi"/>
          <w:b/>
          <w:bCs/>
          <w:sz w:val="26"/>
          <w:szCs w:val="26"/>
        </w:rPr>
        <w:t>domácnosti</w:t>
      </w:r>
      <w:r w:rsidRPr="00760CBD">
        <w:rPr>
          <w:rFonts w:asciiTheme="minorHAnsi" w:hAnsiTheme="minorHAnsi"/>
          <w:bCs/>
          <w:sz w:val="26"/>
          <w:szCs w:val="26"/>
        </w:rPr>
        <w:t xml:space="preserve"> tak </w:t>
      </w:r>
      <w:r w:rsidRPr="00760CBD">
        <w:rPr>
          <w:rFonts w:asciiTheme="minorHAnsi" w:hAnsiTheme="minorHAnsi"/>
          <w:b/>
          <w:bCs/>
          <w:sz w:val="26"/>
          <w:szCs w:val="26"/>
        </w:rPr>
        <w:t>nakoupily zboží a služeb</w:t>
      </w:r>
      <w:r w:rsidRPr="00760CBD">
        <w:rPr>
          <w:rFonts w:asciiTheme="minorHAnsi" w:hAnsiTheme="minorHAnsi"/>
          <w:bCs/>
          <w:sz w:val="26"/>
          <w:szCs w:val="26"/>
        </w:rPr>
        <w:t xml:space="preserve"> nominálně o 68,1 mld. Kč méně, reálně – po zohlednění cenové inflace – to bylo o cca 148,8 mld. Kč (o 5,5 %)</w:t>
      </w:r>
      <w:r w:rsidRPr="00760CBD">
        <w:rPr>
          <w:rFonts w:asciiTheme="minorHAnsi" w:hAnsiTheme="minorHAnsi"/>
          <w:b/>
          <w:bCs/>
          <w:sz w:val="26"/>
          <w:szCs w:val="26"/>
        </w:rPr>
        <w:t xml:space="preserve"> méně než před rokem,</w:t>
      </w:r>
    </w:p>
    <w:p w14:paraId="2E80249B" w14:textId="77777777" w:rsidR="00710980" w:rsidRPr="00760CBD" w:rsidRDefault="00710980" w:rsidP="00710980">
      <w:pPr>
        <w:pStyle w:val="Odstavecseseznamem"/>
        <w:numPr>
          <w:ilvl w:val="0"/>
          <w:numId w:val="19"/>
        </w:numPr>
        <w:spacing w:after="240" w:line="360" w:lineRule="auto"/>
        <w:ind w:left="357" w:hanging="357"/>
        <w:jc w:val="both"/>
        <w:rPr>
          <w:rFonts w:asciiTheme="minorHAnsi" w:hAnsiTheme="minorHAnsi" w:cs="Arial"/>
          <w:sz w:val="26"/>
          <w:szCs w:val="26"/>
        </w:rPr>
      </w:pPr>
      <w:r w:rsidRPr="00760CBD">
        <w:rPr>
          <w:rFonts w:asciiTheme="minorHAnsi" w:hAnsiTheme="minorHAnsi" w:cs="Arial"/>
          <w:bCs/>
          <w:sz w:val="26"/>
          <w:szCs w:val="26"/>
        </w:rPr>
        <w:t xml:space="preserve">na základě údajů ČSÚ ze čtvrtletních sektorových účtů poklesla v roce 2020 </w:t>
      </w:r>
      <w:r w:rsidRPr="00760CBD">
        <w:rPr>
          <w:rFonts w:ascii="Calibri" w:hAnsi="Calibri" w:cs="Calibri"/>
          <w:b/>
          <w:bCs/>
          <w:sz w:val="26"/>
          <w:szCs w:val="26"/>
        </w:rPr>
        <w:t xml:space="preserve">reálná spotřeba domácností </w:t>
      </w:r>
      <w:r w:rsidRPr="00760CBD">
        <w:rPr>
          <w:rFonts w:ascii="Calibri" w:hAnsi="Calibri" w:cs="Calibri"/>
          <w:sz w:val="26"/>
          <w:szCs w:val="26"/>
        </w:rPr>
        <w:t>a</w:t>
      </w:r>
      <w:r>
        <w:rPr>
          <w:rFonts w:ascii="Calibri" w:hAnsi="Calibri" w:cs="Calibri"/>
          <w:sz w:val="26"/>
          <w:szCs w:val="26"/>
        </w:rPr>
        <w:t xml:space="preserve"> </w:t>
      </w:r>
      <w:r w:rsidRPr="00760CBD">
        <w:rPr>
          <w:rFonts w:ascii="Calibri" w:hAnsi="Calibri" w:cs="Calibri"/>
          <w:sz w:val="26"/>
          <w:szCs w:val="26"/>
        </w:rPr>
        <w:t xml:space="preserve">meziročně </w:t>
      </w:r>
      <w:r w:rsidRPr="00760CBD">
        <w:rPr>
          <w:rFonts w:ascii="Calibri" w:hAnsi="Calibri" w:cs="Calibri"/>
          <w:b/>
          <w:bCs/>
          <w:sz w:val="26"/>
          <w:szCs w:val="26"/>
        </w:rPr>
        <w:t>se snížila proti roku 2019 o 2,9 %</w:t>
      </w:r>
      <w:r w:rsidRPr="00760CBD">
        <w:rPr>
          <w:rFonts w:asciiTheme="minorHAnsi" w:hAnsiTheme="minorHAnsi" w:cs="Arial"/>
          <w:b/>
          <w:bCs/>
          <w:sz w:val="26"/>
          <w:szCs w:val="26"/>
        </w:rPr>
        <w:t>,</w:t>
      </w:r>
    </w:p>
    <w:p w14:paraId="050911E6" w14:textId="77777777" w:rsidR="00710980" w:rsidRPr="00760CBD" w:rsidRDefault="00710980" w:rsidP="00710980">
      <w:pPr>
        <w:pStyle w:val="Odstavecseseznamem"/>
        <w:numPr>
          <w:ilvl w:val="0"/>
          <w:numId w:val="19"/>
        </w:numPr>
        <w:spacing w:after="120" w:line="360" w:lineRule="auto"/>
        <w:ind w:left="357" w:hanging="357"/>
        <w:jc w:val="both"/>
        <w:rPr>
          <w:rFonts w:asciiTheme="minorHAnsi" w:hAnsiTheme="minorHAnsi" w:cs="Arial"/>
          <w:sz w:val="26"/>
          <w:szCs w:val="26"/>
        </w:rPr>
      </w:pPr>
      <w:r w:rsidRPr="00760CBD">
        <w:rPr>
          <w:rFonts w:asciiTheme="minorHAnsi" w:hAnsiTheme="minorHAnsi" w:cs="Arial"/>
          <w:b/>
          <w:bCs/>
          <w:sz w:val="26"/>
          <w:szCs w:val="26"/>
        </w:rPr>
        <w:t xml:space="preserve">míra investic domácností </w:t>
      </w:r>
      <w:r w:rsidRPr="00760CBD">
        <w:rPr>
          <w:rFonts w:asciiTheme="minorHAnsi" w:hAnsiTheme="minorHAnsi" w:cs="Arial"/>
          <w:bCs/>
          <w:sz w:val="26"/>
          <w:szCs w:val="26"/>
        </w:rPr>
        <w:t xml:space="preserve">(jako podíl k hrubému disponibilnímu důchodu) </w:t>
      </w:r>
      <w:r w:rsidRPr="00760CBD">
        <w:rPr>
          <w:rFonts w:asciiTheme="minorHAnsi" w:hAnsiTheme="minorHAnsi" w:cs="Arial"/>
          <w:b/>
          <w:bCs/>
          <w:sz w:val="26"/>
          <w:szCs w:val="26"/>
        </w:rPr>
        <w:t>činila 8,6 %</w:t>
      </w:r>
      <w:r w:rsidRPr="00760CBD">
        <w:rPr>
          <w:rFonts w:asciiTheme="minorHAnsi" w:hAnsiTheme="minorHAnsi" w:cs="Arial"/>
          <w:b/>
          <w:sz w:val="26"/>
          <w:szCs w:val="26"/>
        </w:rPr>
        <w:t>,</w:t>
      </w:r>
      <w:r w:rsidRPr="00760CBD">
        <w:rPr>
          <w:rFonts w:asciiTheme="minorHAnsi" w:hAnsiTheme="minorHAnsi" w:cs="Arial"/>
          <w:sz w:val="26"/>
          <w:szCs w:val="26"/>
        </w:rPr>
        <w:t xml:space="preserve"> což bylo o 1,0 p. b. méně než průměr za rok 2019. </w:t>
      </w:r>
    </w:p>
    <w:p w14:paraId="480051E3" w14:textId="77777777" w:rsidR="00710980" w:rsidRPr="00760CBD" w:rsidRDefault="00710980" w:rsidP="00710980">
      <w:pPr>
        <w:spacing w:after="120" w:line="360" w:lineRule="auto"/>
        <w:jc w:val="both"/>
        <w:rPr>
          <w:rFonts w:asciiTheme="minorHAnsi" w:hAnsiTheme="minorHAnsi"/>
          <w:sz w:val="26"/>
          <w:szCs w:val="26"/>
        </w:rPr>
      </w:pPr>
    </w:p>
    <w:p w14:paraId="4F52472F" w14:textId="77777777" w:rsidR="00710980" w:rsidRPr="00780E5D" w:rsidRDefault="00710980" w:rsidP="00710980">
      <w:pPr>
        <w:spacing w:after="120" w:line="360" w:lineRule="auto"/>
        <w:jc w:val="both"/>
        <w:rPr>
          <w:rFonts w:asciiTheme="minorHAnsi" w:hAnsiTheme="minorHAnsi"/>
          <w:b/>
          <w:bCs/>
          <w:i/>
          <w:color w:val="FF0000"/>
          <w:sz w:val="32"/>
          <w:szCs w:val="32"/>
        </w:rPr>
      </w:pPr>
      <w:r w:rsidRPr="00760CBD">
        <w:rPr>
          <w:rFonts w:asciiTheme="minorHAnsi" w:hAnsiTheme="minorHAnsi"/>
          <w:sz w:val="26"/>
          <w:szCs w:val="26"/>
        </w:rPr>
        <w:tab/>
        <w:t xml:space="preserve">V roce 2020 </w:t>
      </w:r>
      <w:r w:rsidRPr="00760CBD">
        <w:rPr>
          <w:rFonts w:asciiTheme="minorHAnsi" w:hAnsiTheme="minorHAnsi"/>
          <w:b/>
          <w:sz w:val="26"/>
          <w:szCs w:val="26"/>
        </w:rPr>
        <w:t xml:space="preserve">klesly tržby v maloobchodě </w:t>
      </w:r>
      <w:r w:rsidRPr="002B50AF">
        <w:rPr>
          <w:rFonts w:asciiTheme="minorHAnsi" w:hAnsiTheme="minorHAnsi"/>
          <w:sz w:val="26"/>
          <w:szCs w:val="26"/>
        </w:rPr>
        <w:t xml:space="preserve">bez segmentu motorových vozidel </w:t>
      </w:r>
      <w:r w:rsidRPr="002B50AF">
        <w:rPr>
          <w:rFonts w:asciiTheme="minorHAnsi" w:hAnsiTheme="minorHAnsi"/>
          <w:b/>
          <w:sz w:val="26"/>
          <w:szCs w:val="26"/>
        </w:rPr>
        <w:t xml:space="preserve">meziročně reálně o 0,6 % </w:t>
      </w:r>
      <w:r w:rsidRPr="002B50AF">
        <w:rPr>
          <w:rFonts w:asciiTheme="minorHAnsi" w:hAnsiTheme="minorHAnsi"/>
          <w:bCs/>
          <w:sz w:val="26"/>
          <w:szCs w:val="26"/>
        </w:rPr>
        <w:t>(bez očištění o kalendářní vlivy),</w:t>
      </w:r>
      <w:r w:rsidRPr="002B50AF">
        <w:rPr>
          <w:rFonts w:asciiTheme="minorHAnsi" w:hAnsiTheme="minorHAnsi"/>
          <w:sz w:val="26"/>
          <w:szCs w:val="26"/>
        </w:rPr>
        <w:t xml:space="preserve"> což byl výrazný rozdíl oproti předchozímu roku 2019 (růst o 4,8 %). Tržby za prodej nepotravinářského zboží vzrostly o 0,6 %, v</w:t>
      </w:r>
      <w:r>
        <w:rPr>
          <w:rFonts w:asciiTheme="minorHAnsi" w:hAnsiTheme="minorHAnsi"/>
          <w:sz w:val="26"/>
          <w:szCs w:val="26"/>
        </w:rPr>
        <w:t xml:space="preserve"> </w:t>
      </w:r>
      <w:r w:rsidRPr="002B50AF">
        <w:rPr>
          <w:rFonts w:asciiTheme="minorHAnsi" w:hAnsiTheme="minorHAnsi"/>
          <w:sz w:val="26"/>
          <w:szCs w:val="26"/>
        </w:rPr>
        <w:t xml:space="preserve">případě potravin reálné tržby meziročně stagnovaly a u pohonných hmot byl zaznamenán pokles o 7,9 %. </w:t>
      </w:r>
      <w:r w:rsidRPr="002B50AF">
        <w:rPr>
          <w:rFonts w:asciiTheme="minorHAnsi" w:hAnsiTheme="minorHAnsi"/>
          <w:b/>
          <w:sz w:val="26"/>
          <w:szCs w:val="26"/>
        </w:rPr>
        <w:t>Vyšší tržby</w:t>
      </w:r>
      <w:r w:rsidRPr="002B50AF">
        <w:rPr>
          <w:rFonts w:asciiTheme="minorHAnsi" w:hAnsiTheme="minorHAnsi"/>
          <w:sz w:val="26"/>
          <w:szCs w:val="26"/>
        </w:rPr>
        <w:t xml:space="preserve"> byly vykázány zejména v </w:t>
      </w:r>
      <w:r w:rsidRPr="002B50AF">
        <w:rPr>
          <w:rFonts w:asciiTheme="minorHAnsi" w:hAnsiTheme="minorHAnsi"/>
          <w:b/>
          <w:bCs/>
          <w:sz w:val="26"/>
          <w:szCs w:val="26"/>
        </w:rPr>
        <w:t>internetových a zásilkových službách</w:t>
      </w:r>
      <w:r w:rsidRPr="002B50AF">
        <w:rPr>
          <w:rFonts w:asciiTheme="minorHAnsi" w:hAnsiTheme="minorHAnsi"/>
          <w:sz w:val="26"/>
          <w:szCs w:val="26"/>
        </w:rPr>
        <w:t xml:space="preserve"> (nárůst o 28,2 %).  </w:t>
      </w:r>
      <w:r w:rsidRPr="002B50AF">
        <w:rPr>
          <w:rFonts w:asciiTheme="minorHAnsi" w:hAnsiTheme="minorHAnsi"/>
          <w:b/>
          <w:bCs/>
          <w:sz w:val="26"/>
          <w:szCs w:val="26"/>
        </w:rPr>
        <w:t>Pokles tržeb</w:t>
      </w:r>
      <w:r w:rsidRPr="002B50AF">
        <w:rPr>
          <w:rFonts w:asciiTheme="minorHAnsi" w:hAnsiTheme="minorHAnsi"/>
          <w:sz w:val="26"/>
          <w:szCs w:val="26"/>
        </w:rPr>
        <w:t xml:space="preserve"> </w:t>
      </w:r>
      <w:r>
        <w:rPr>
          <w:rFonts w:asciiTheme="minorHAnsi" w:hAnsiTheme="minorHAnsi"/>
          <w:sz w:val="26"/>
          <w:szCs w:val="26"/>
        </w:rPr>
        <w:t xml:space="preserve">naopak </w:t>
      </w:r>
      <w:r w:rsidRPr="002B50AF">
        <w:rPr>
          <w:rFonts w:asciiTheme="minorHAnsi" w:hAnsiTheme="minorHAnsi"/>
          <w:sz w:val="26"/>
          <w:szCs w:val="26"/>
        </w:rPr>
        <w:t xml:space="preserve">zaznamenaly </w:t>
      </w:r>
      <w:r>
        <w:rPr>
          <w:rFonts w:asciiTheme="minorHAnsi" w:hAnsiTheme="minorHAnsi"/>
          <w:sz w:val="26"/>
          <w:szCs w:val="26"/>
        </w:rPr>
        <w:t xml:space="preserve">hlavně </w:t>
      </w:r>
      <w:r w:rsidRPr="002B50AF">
        <w:rPr>
          <w:rFonts w:asciiTheme="minorHAnsi" w:hAnsiTheme="minorHAnsi"/>
          <w:sz w:val="26"/>
          <w:szCs w:val="26"/>
        </w:rPr>
        <w:t>prodejny s</w:t>
      </w:r>
      <w:r>
        <w:rPr>
          <w:rFonts w:asciiTheme="minorHAnsi" w:hAnsiTheme="minorHAnsi"/>
          <w:sz w:val="26"/>
          <w:szCs w:val="26"/>
        </w:rPr>
        <w:t xml:space="preserve"> </w:t>
      </w:r>
      <w:r w:rsidRPr="002B50AF">
        <w:rPr>
          <w:rFonts w:asciiTheme="minorHAnsi" w:hAnsiTheme="minorHAnsi"/>
          <w:b/>
          <w:bCs/>
          <w:sz w:val="26"/>
          <w:szCs w:val="26"/>
        </w:rPr>
        <w:t>výrobky pro kulturu, sport a rekreaci</w:t>
      </w:r>
      <w:r w:rsidRPr="002B50AF">
        <w:rPr>
          <w:rFonts w:asciiTheme="minorHAnsi" w:hAnsiTheme="minorHAnsi"/>
          <w:sz w:val="26"/>
          <w:szCs w:val="26"/>
        </w:rPr>
        <w:t xml:space="preserve"> (o 10,9 %) a s </w:t>
      </w:r>
      <w:r w:rsidRPr="002B50AF">
        <w:rPr>
          <w:rFonts w:asciiTheme="minorHAnsi" w:hAnsiTheme="minorHAnsi"/>
          <w:b/>
          <w:bCs/>
          <w:sz w:val="26"/>
          <w:szCs w:val="26"/>
        </w:rPr>
        <w:t>oděvy a obuví</w:t>
      </w:r>
      <w:r w:rsidRPr="002B50AF">
        <w:rPr>
          <w:rFonts w:asciiTheme="minorHAnsi" w:hAnsiTheme="minorHAnsi"/>
          <w:sz w:val="26"/>
          <w:szCs w:val="26"/>
        </w:rPr>
        <w:t xml:space="preserve"> (o</w:t>
      </w:r>
      <w:r>
        <w:rPr>
          <w:rFonts w:asciiTheme="minorHAnsi" w:hAnsiTheme="minorHAnsi"/>
          <w:sz w:val="26"/>
          <w:szCs w:val="26"/>
        </w:rPr>
        <w:t> </w:t>
      </w:r>
      <w:r w:rsidRPr="002B50AF">
        <w:rPr>
          <w:rFonts w:asciiTheme="minorHAnsi" w:hAnsiTheme="minorHAnsi"/>
          <w:sz w:val="26"/>
          <w:szCs w:val="26"/>
        </w:rPr>
        <w:t>29,6 %). V</w:t>
      </w:r>
      <w:r>
        <w:rPr>
          <w:rFonts w:asciiTheme="minorHAnsi" w:hAnsiTheme="minorHAnsi"/>
          <w:sz w:val="26"/>
          <w:szCs w:val="26"/>
        </w:rPr>
        <w:t xml:space="preserve"> </w:t>
      </w:r>
      <w:r w:rsidRPr="002B50AF">
        <w:rPr>
          <w:rFonts w:asciiTheme="minorHAnsi" w:hAnsiTheme="minorHAnsi"/>
          <w:sz w:val="26"/>
          <w:szCs w:val="26"/>
        </w:rPr>
        <w:t>motoristickém segmentu se tržby reálně meziročně snížily o 15,3 %.</w:t>
      </w:r>
      <w:bookmarkStart w:id="1" w:name="_Hlk38471745"/>
      <w:r w:rsidRPr="00780E5D">
        <w:rPr>
          <w:rFonts w:asciiTheme="minorHAnsi" w:hAnsiTheme="minorHAnsi"/>
          <w:b/>
          <w:bCs/>
          <w:i/>
          <w:color w:val="FF0000"/>
          <w:sz w:val="32"/>
          <w:szCs w:val="32"/>
        </w:rPr>
        <w:br w:type="page"/>
      </w:r>
    </w:p>
    <w:bookmarkEnd w:id="1"/>
    <w:p w14:paraId="2281A81F" w14:textId="77777777" w:rsidR="00710980" w:rsidRPr="00710980" w:rsidRDefault="00710980" w:rsidP="00710980">
      <w:pPr>
        <w:spacing w:after="360" w:line="360" w:lineRule="auto"/>
        <w:jc w:val="both"/>
        <w:rPr>
          <w:rFonts w:asciiTheme="minorHAnsi" w:hAnsiTheme="minorHAnsi"/>
          <w:b/>
          <w:bCs/>
          <w:smallCaps/>
          <w:color w:val="1F497D"/>
          <w:sz w:val="36"/>
          <w:szCs w:val="36"/>
        </w:rPr>
      </w:pPr>
      <w:r w:rsidRPr="00710980">
        <w:rPr>
          <w:rFonts w:asciiTheme="minorHAnsi" w:hAnsiTheme="minorHAnsi"/>
          <w:b/>
          <w:bCs/>
          <w:i/>
          <w:smallCaps/>
          <w:color w:val="1F497D"/>
          <w:sz w:val="36"/>
          <w:szCs w:val="36"/>
        </w:rPr>
        <w:lastRenderedPageBreak/>
        <w:t>3. 2 Peněžní úvěry, půjčky</w:t>
      </w:r>
    </w:p>
    <w:p w14:paraId="631B8321" w14:textId="77777777" w:rsidR="00710980" w:rsidRDefault="00710980" w:rsidP="00710980">
      <w:pPr>
        <w:spacing w:line="360" w:lineRule="auto"/>
        <w:jc w:val="both"/>
        <w:rPr>
          <w:rFonts w:asciiTheme="minorHAnsi" w:hAnsiTheme="minorHAnsi"/>
          <w:sz w:val="26"/>
          <w:szCs w:val="26"/>
        </w:rPr>
      </w:pPr>
      <w:r w:rsidRPr="00326C2B">
        <w:rPr>
          <w:rFonts w:asciiTheme="minorHAnsi" w:hAnsiTheme="minorHAnsi" w:cs="Arial"/>
          <w:sz w:val="26"/>
          <w:szCs w:val="26"/>
        </w:rPr>
        <w:tab/>
      </w:r>
      <w:r w:rsidRPr="00326C2B">
        <w:rPr>
          <w:rFonts w:asciiTheme="minorHAnsi" w:hAnsiTheme="minorHAnsi"/>
          <w:bCs/>
          <w:sz w:val="26"/>
          <w:szCs w:val="26"/>
        </w:rPr>
        <w:t>P</w:t>
      </w:r>
      <w:r w:rsidRPr="00326C2B">
        <w:rPr>
          <w:rFonts w:asciiTheme="minorHAnsi" w:hAnsiTheme="minorHAnsi"/>
          <w:sz w:val="26"/>
          <w:szCs w:val="26"/>
        </w:rPr>
        <w:t>odle údajů ČNB činil ke konci roku</w:t>
      </w:r>
      <w:r w:rsidRPr="00326C2B">
        <w:rPr>
          <w:rFonts w:asciiTheme="minorHAnsi" w:hAnsiTheme="minorHAnsi"/>
          <w:b/>
          <w:bCs/>
          <w:sz w:val="26"/>
          <w:szCs w:val="26"/>
        </w:rPr>
        <w:t xml:space="preserve"> </w:t>
      </w:r>
      <w:r w:rsidRPr="00326C2B">
        <w:rPr>
          <w:rFonts w:asciiTheme="minorHAnsi" w:hAnsiTheme="minorHAnsi"/>
          <w:bCs/>
          <w:sz w:val="26"/>
          <w:szCs w:val="26"/>
        </w:rPr>
        <w:t>2020</w:t>
      </w:r>
      <w:r w:rsidRPr="00326C2B">
        <w:rPr>
          <w:rFonts w:asciiTheme="minorHAnsi" w:hAnsiTheme="minorHAnsi"/>
          <w:b/>
          <w:bCs/>
          <w:sz w:val="26"/>
          <w:szCs w:val="26"/>
        </w:rPr>
        <w:t xml:space="preserve"> úhrnný objem půjček domácností </w:t>
      </w:r>
      <w:r w:rsidRPr="00326C2B">
        <w:rPr>
          <w:rFonts w:asciiTheme="minorHAnsi" w:hAnsiTheme="minorHAnsi"/>
          <w:sz w:val="26"/>
          <w:szCs w:val="26"/>
        </w:rPr>
        <w:t xml:space="preserve">evidovaných u peněžních ústavů </w:t>
      </w:r>
      <w:r w:rsidRPr="00326C2B">
        <w:rPr>
          <w:rFonts w:asciiTheme="minorHAnsi" w:hAnsiTheme="minorHAnsi"/>
          <w:b/>
          <w:sz w:val="26"/>
          <w:szCs w:val="26"/>
        </w:rPr>
        <w:t>1 862,4 </w:t>
      </w:r>
      <w:r w:rsidRPr="00326C2B">
        <w:rPr>
          <w:rFonts w:asciiTheme="minorHAnsi" w:hAnsiTheme="minorHAnsi"/>
          <w:b/>
          <w:bCs/>
          <w:sz w:val="26"/>
          <w:szCs w:val="26"/>
        </w:rPr>
        <w:t>mld. Kč,</w:t>
      </w:r>
      <w:r w:rsidRPr="00326C2B">
        <w:rPr>
          <w:rFonts w:asciiTheme="minorHAnsi" w:hAnsiTheme="minorHAnsi"/>
          <w:sz w:val="26"/>
          <w:szCs w:val="26"/>
        </w:rPr>
        <w:t xml:space="preserve"> </w:t>
      </w:r>
      <w:r w:rsidRPr="00326C2B">
        <w:rPr>
          <w:rFonts w:asciiTheme="minorHAnsi" w:hAnsiTheme="minorHAnsi"/>
          <w:b/>
          <w:bCs/>
          <w:sz w:val="26"/>
          <w:szCs w:val="26"/>
        </w:rPr>
        <w:t>což bylo</w:t>
      </w:r>
      <w:r w:rsidRPr="00326C2B">
        <w:rPr>
          <w:rFonts w:asciiTheme="minorHAnsi" w:hAnsiTheme="minorHAnsi"/>
          <w:sz w:val="26"/>
          <w:szCs w:val="26"/>
        </w:rPr>
        <w:t xml:space="preserve"> </w:t>
      </w:r>
      <w:r w:rsidRPr="00326C2B">
        <w:rPr>
          <w:rFonts w:asciiTheme="minorHAnsi" w:hAnsiTheme="minorHAnsi"/>
          <w:b/>
          <w:bCs/>
          <w:sz w:val="26"/>
          <w:szCs w:val="26"/>
        </w:rPr>
        <w:t>o 114,3 mld. Kč více než k 31. 12. 2019</w:t>
      </w:r>
      <w:r w:rsidRPr="00326C2B">
        <w:rPr>
          <w:rFonts w:asciiTheme="minorHAnsi" w:hAnsiTheme="minorHAnsi"/>
          <w:sz w:val="26"/>
          <w:szCs w:val="26"/>
        </w:rPr>
        <w:t xml:space="preserve"> (kdy ve stejném srovnání představoval tento přírůstek 102,3 mld. Kč) – viz </w:t>
      </w:r>
      <w:r w:rsidRPr="00326C2B">
        <w:rPr>
          <w:rFonts w:asciiTheme="minorHAnsi" w:hAnsiTheme="minorHAnsi"/>
          <w:bCs/>
          <w:sz w:val="26"/>
          <w:szCs w:val="26"/>
        </w:rPr>
        <w:t>tabulku č. 25 v příloze</w:t>
      </w:r>
      <w:r w:rsidRPr="00326C2B">
        <w:rPr>
          <w:rFonts w:asciiTheme="minorHAnsi" w:hAnsiTheme="minorHAnsi"/>
          <w:sz w:val="26"/>
          <w:szCs w:val="26"/>
        </w:rPr>
        <w:t>. Meziročně se celkový objem bankovních úvěrů zvýšil o 6,5</w:t>
      </w:r>
      <w:r>
        <w:rPr>
          <w:rFonts w:asciiTheme="minorHAnsi" w:hAnsiTheme="minorHAnsi"/>
          <w:sz w:val="26"/>
          <w:szCs w:val="26"/>
        </w:rPr>
        <w:t> </w:t>
      </w:r>
      <w:r w:rsidRPr="00326C2B">
        <w:rPr>
          <w:rFonts w:asciiTheme="minorHAnsi" w:hAnsiTheme="minorHAnsi"/>
          <w:sz w:val="26"/>
          <w:szCs w:val="26"/>
        </w:rPr>
        <w:t xml:space="preserve">%, což bylo o 0,3 p. b. více než předcházející rok. </w:t>
      </w:r>
      <w:r w:rsidRPr="00C97785">
        <w:rPr>
          <w:rFonts w:asciiTheme="minorHAnsi" w:hAnsiTheme="minorHAnsi"/>
          <w:sz w:val="26"/>
          <w:szCs w:val="26"/>
        </w:rPr>
        <w:t xml:space="preserve">Mezičtvrtletní dynamika růstu úvěrování českých domácností byla srovnatelná s rokem 2019. Výrazně nižší byla oproti předchozímu roku míra růstu spotřebních úvěrů domácnostem, které ale </w:t>
      </w:r>
      <w:r>
        <w:rPr>
          <w:rFonts w:asciiTheme="minorHAnsi" w:hAnsiTheme="minorHAnsi"/>
          <w:sz w:val="26"/>
          <w:szCs w:val="26"/>
        </w:rPr>
        <w:t>vzhledem ke </w:t>
      </w:r>
      <w:r w:rsidRPr="009E56D0">
        <w:rPr>
          <w:rFonts w:asciiTheme="minorHAnsi" w:hAnsiTheme="minorHAnsi"/>
          <w:sz w:val="26"/>
          <w:szCs w:val="26"/>
        </w:rPr>
        <w:t>svému malému objemu neovlivňují celkové množství úvěrů tak výrazně, jako úvěry na bydlení – viz následující graf.</w:t>
      </w:r>
    </w:p>
    <w:p w14:paraId="318268F9" w14:textId="77777777" w:rsidR="00710980" w:rsidRPr="004830EC" w:rsidRDefault="00710980" w:rsidP="00710980">
      <w:pPr>
        <w:spacing w:line="360" w:lineRule="auto"/>
        <w:jc w:val="both"/>
        <w:rPr>
          <w:rFonts w:asciiTheme="minorHAnsi" w:hAnsiTheme="minorHAnsi"/>
          <w:sz w:val="26"/>
          <w:szCs w:val="26"/>
        </w:rPr>
      </w:pPr>
    </w:p>
    <w:p w14:paraId="7301E614" w14:textId="77777777" w:rsidR="00710980" w:rsidRPr="00F94A9C" w:rsidRDefault="00710980" w:rsidP="00710980">
      <w:pPr>
        <w:spacing w:after="120"/>
        <w:jc w:val="both"/>
        <w:rPr>
          <w:rFonts w:asciiTheme="minorHAnsi" w:hAnsiTheme="minorHAnsi"/>
          <w:b/>
          <w:bCs/>
        </w:rPr>
      </w:pPr>
      <w:r>
        <w:rPr>
          <w:rFonts w:asciiTheme="minorHAnsi" w:hAnsiTheme="minorHAnsi"/>
          <w:b/>
          <w:bCs/>
          <w:noProof/>
        </w:rPr>
        <w:drawing>
          <wp:inline distT="0" distB="0" distL="0" distR="0" wp14:anchorId="73E7EC41" wp14:editId="235F6E6E">
            <wp:extent cx="5821045" cy="3284701"/>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54211" cy="3303416"/>
                    </a:xfrm>
                    <a:prstGeom prst="rect">
                      <a:avLst/>
                    </a:prstGeom>
                    <a:noFill/>
                  </pic:spPr>
                </pic:pic>
              </a:graphicData>
            </a:graphic>
          </wp:inline>
        </w:drawing>
      </w:r>
    </w:p>
    <w:p w14:paraId="2AE4945D" w14:textId="77777777" w:rsidR="00710980" w:rsidRPr="00F94A9C" w:rsidRDefault="00710980" w:rsidP="00710980">
      <w:pPr>
        <w:spacing w:after="120"/>
        <w:rPr>
          <w:rFonts w:asciiTheme="minorHAnsi" w:hAnsiTheme="minorHAnsi"/>
          <w:sz w:val="20"/>
        </w:rPr>
      </w:pPr>
      <w:r w:rsidRPr="00F94A9C">
        <w:rPr>
          <w:rFonts w:asciiTheme="minorHAnsi" w:hAnsiTheme="minorHAnsi"/>
          <w:sz w:val="20"/>
        </w:rPr>
        <w:t>Zpracováno z dat ČNB</w:t>
      </w:r>
    </w:p>
    <w:p w14:paraId="1E1C7A72" w14:textId="77777777" w:rsidR="00710980" w:rsidRPr="00F94A9C" w:rsidRDefault="00710980" w:rsidP="00710980">
      <w:pPr>
        <w:spacing w:after="120"/>
        <w:jc w:val="both"/>
        <w:rPr>
          <w:rFonts w:asciiTheme="minorHAnsi" w:hAnsiTheme="minorHAnsi"/>
          <w:bCs/>
          <w:sz w:val="20"/>
        </w:rPr>
      </w:pPr>
      <w:r w:rsidRPr="00F94A9C">
        <w:rPr>
          <w:rFonts w:asciiTheme="minorHAnsi" w:hAnsiTheme="minorHAnsi"/>
          <w:bCs/>
          <w:sz w:val="20"/>
        </w:rPr>
        <w:t>* Definována jako mezičtvrtletní pokles sezónně očištěného reálného HDP v alespoň dvou po sobě následujících čtvrtletích.</w:t>
      </w:r>
    </w:p>
    <w:p w14:paraId="459225E7" w14:textId="77777777" w:rsidR="00710980" w:rsidRPr="00F94A9C" w:rsidRDefault="00710980" w:rsidP="00710980">
      <w:pPr>
        <w:spacing w:after="120"/>
        <w:jc w:val="both"/>
        <w:rPr>
          <w:rFonts w:asciiTheme="minorHAnsi" w:hAnsiTheme="minorHAnsi"/>
          <w:b/>
          <w:bCs/>
        </w:rPr>
      </w:pPr>
      <w:r w:rsidRPr="00F94A9C">
        <w:rPr>
          <w:rFonts w:asciiTheme="minorHAnsi" w:hAnsiTheme="minorHAnsi"/>
          <w:bCs/>
          <w:sz w:val="20"/>
        </w:rPr>
        <w:t>Pozn. Ve druhém čtvrtletí 2015 došlo k jednorázovému zvýšení bilanční sumy bank a spotřební úvěry obyvatelstvu se zvýšily o 18 mld. Kč. Graf je o tuto změnu očištěn.</w:t>
      </w:r>
      <w:r w:rsidRPr="00F94A9C">
        <w:rPr>
          <w:rFonts w:asciiTheme="minorHAnsi" w:hAnsiTheme="minorHAnsi"/>
          <w:sz w:val="20"/>
        </w:rPr>
        <w:t xml:space="preserve"> </w:t>
      </w:r>
    </w:p>
    <w:p w14:paraId="12C4FB7E" w14:textId="77777777" w:rsidR="00710980" w:rsidRPr="00C41073" w:rsidRDefault="00710980" w:rsidP="00710980">
      <w:pPr>
        <w:spacing w:after="200" w:line="276" w:lineRule="auto"/>
        <w:rPr>
          <w:rFonts w:asciiTheme="minorHAnsi" w:hAnsiTheme="minorHAnsi"/>
          <w:b/>
          <w:bCs/>
          <w:i/>
          <w:sz w:val="32"/>
          <w:szCs w:val="32"/>
        </w:rPr>
      </w:pPr>
      <w:r w:rsidRPr="00C41073">
        <w:rPr>
          <w:rFonts w:asciiTheme="minorHAnsi" w:hAnsiTheme="minorHAnsi"/>
          <w:b/>
          <w:bCs/>
          <w:i/>
          <w:sz w:val="32"/>
          <w:szCs w:val="32"/>
        </w:rPr>
        <w:br w:type="page"/>
      </w:r>
    </w:p>
    <w:p w14:paraId="29F0CBD2" w14:textId="77777777" w:rsidR="00710980" w:rsidRPr="005D7A29" w:rsidRDefault="00710980" w:rsidP="00710980">
      <w:pPr>
        <w:spacing w:after="360" w:line="360" w:lineRule="auto"/>
        <w:jc w:val="both"/>
        <w:rPr>
          <w:rFonts w:asciiTheme="minorHAnsi" w:hAnsiTheme="minorHAnsi"/>
          <w:b/>
          <w:bCs/>
          <w:sz w:val="26"/>
          <w:szCs w:val="26"/>
        </w:rPr>
      </w:pPr>
      <w:r w:rsidRPr="005D7A29">
        <w:rPr>
          <w:rFonts w:asciiTheme="minorHAnsi" w:hAnsiTheme="minorHAnsi"/>
          <w:sz w:val="26"/>
          <w:szCs w:val="26"/>
        </w:rPr>
        <w:lastRenderedPageBreak/>
        <w:tab/>
      </w:r>
      <w:r w:rsidRPr="005D7A29">
        <w:rPr>
          <w:rFonts w:asciiTheme="minorHAnsi" w:hAnsiTheme="minorHAnsi"/>
          <w:b/>
          <w:sz w:val="26"/>
          <w:szCs w:val="26"/>
        </w:rPr>
        <w:t>Podíl úvěrů na bydlení na celkovém objemu bankovních půjček</w:t>
      </w:r>
      <w:r w:rsidRPr="005D7A29">
        <w:rPr>
          <w:rFonts w:asciiTheme="minorHAnsi" w:hAnsiTheme="minorHAnsi"/>
          <w:sz w:val="26"/>
          <w:szCs w:val="26"/>
        </w:rPr>
        <w:t xml:space="preserve"> domácností dlouhodobě roste a ke konci roku 2020 </w:t>
      </w:r>
      <w:r w:rsidRPr="005D7A29">
        <w:rPr>
          <w:rFonts w:asciiTheme="minorHAnsi" w:hAnsiTheme="minorHAnsi"/>
          <w:b/>
          <w:sz w:val="26"/>
          <w:szCs w:val="26"/>
        </w:rPr>
        <w:t>činil 77,1 %,</w:t>
      </w:r>
      <w:r w:rsidRPr="005D7A29">
        <w:rPr>
          <w:rFonts w:asciiTheme="minorHAnsi" w:hAnsiTheme="minorHAnsi"/>
          <w:sz w:val="26"/>
          <w:szCs w:val="26"/>
        </w:rPr>
        <w:t xml:space="preserve"> což bylo o 1,0</w:t>
      </w:r>
      <w:r>
        <w:rPr>
          <w:rFonts w:asciiTheme="minorHAnsi" w:hAnsiTheme="minorHAnsi"/>
          <w:sz w:val="26"/>
          <w:szCs w:val="26"/>
        </w:rPr>
        <w:t> </w:t>
      </w:r>
      <w:r w:rsidRPr="005D7A29">
        <w:rPr>
          <w:rFonts w:asciiTheme="minorHAnsi" w:hAnsiTheme="minorHAnsi"/>
          <w:sz w:val="26"/>
          <w:szCs w:val="26"/>
        </w:rPr>
        <w:t xml:space="preserve">p. b. více než předcházející rok. </w:t>
      </w:r>
      <w:r w:rsidRPr="005D7A29">
        <w:rPr>
          <w:rFonts w:asciiTheme="minorHAnsi" w:hAnsiTheme="minorHAnsi"/>
          <w:b/>
          <w:bCs/>
          <w:sz w:val="26"/>
          <w:szCs w:val="26"/>
        </w:rPr>
        <w:t>Úvěry na bydlení dosáhly 1 435,8 mld. Kč,</w:t>
      </w:r>
      <w:r w:rsidRPr="005D7A29">
        <w:rPr>
          <w:rFonts w:asciiTheme="minorHAnsi" w:hAnsiTheme="minorHAnsi"/>
          <w:sz w:val="26"/>
          <w:szCs w:val="26"/>
        </w:rPr>
        <w:t xml:space="preserve"> z toho </w:t>
      </w:r>
      <w:r w:rsidRPr="005D7A29">
        <w:rPr>
          <w:rFonts w:asciiTheme="minorHAnsi" w:hAnsiTheme="minorHAnsi"/>
          <w:b/>
          <w:bCs/>
          <w:sz w:val="26"/>
          <w:szCs w:val="26"/>
        </w:rPr>
        <w:t xml:space="preserve">na hypoteční úvěry připadal 93,5 % podíl </w:t>
      </w:r>
      <w:r w:rsidRPr="005D7A29">
        <w:rPr>
          <w:rFonts w:asciiTheme="minorHAnsi" w:hAnsiTheme="minorHAnsi"/>
          <w:bCs/>
          <w:sz w:val="26"/>
          <w:szCs w:val="26"/>
        </w:rPr>
        <w:t xml:space="preserve">(1 342,9 mld. Kč). Množství nově poskytnutých hypotečních úvěrů </w:t>
      </w:r>
      <w:r>
        <w:rPr>
          <w:rFonts w:asciiTheme="minorHAnsi" w:hAnsiTheme="minorHAnsi"/>
          <w:bCs/>
          <w:sz w:val="26"/>
          <w:szCs w:val="26"/>
        </w:rPr>
        <w:t xml:space="preserve">v posledním čtvrtletí </w:t>
      </w:r>
      <w:r w:rsidRPr="005D7A29">
        <w:rPr>
          <w:rFonts w:asciiTheme="minorHAnsi" w:hAnsiTheme="minorHAnsi"/>
          <w:bCs/>
          <w:sz w:val="26"/>
          <w:szCs w:val="26"/>
        </w:rPr>
        <w:t xml:space="preserve">2020 vzrostlo </w:t>
      </w:r>
      <w:r>
        <w:rPr>
          <w:rFonts w:asciiTheme="minorHAnsi" w:hAnsiTheme="minorHAnsi"/>
          <w:bCs/>
          <w:sz w:val="26"/>
          <w:szCs w:val="26"/>
        </w:rPr>
        <w:t xml:space="preserve">meziročně </w:t>
      </w:r>
      <w:r w:rsidRPr="005D7A29">
        <w:rPr>
          <w:rFonts w:asciiTheme="minorHAnsi" w:hAnsiTheme="minorHAnsi"/>
          <w:bCs/>
          <w:sz w:val="26"/>
          <w:szCs w:val="26"/>
        </w:rPr>
        <w:t xml:space="preserve">o 34,9 %, souhrnný počet (nesplacených) hypoték se ve stejném období zvýšil o 4,2 %. </w:t>
      </w:r>
      <w:r w:rsidRPr="005D7A29">
        <w:rPr>
          <w:rFonts w:asciiTheme="minorHAnsi" w:hAnsiTheme="minorHAnsi"/>
          <w:sz w:val="26"/>
          <w:szCs w:val="26"/>
        </w:rPr>
        <w:t xml:space="preserve">Celkový </w:t>
      </w:r>
      <w:r w:rsidRPr="005D7A29">
        <w:rPr>
          <w:rFonts w:asciiTheme="minorHAnsi" w:hAnsiTheme="minorHAnsi"/>
          <w:b/>
          <w:bCs/>
          <w:sz w:val="26"/>
          <w:szCs w:val="26"/>
        </w:rPr>
        <w:t>objem</w:t>
      </w:r>
      <w:r w:rsidRPr="005D7A29">
        <w:rPr>
          <w:rFonts w:asciiTheme="minorHAnsi" w:hAnsiTheme="minorHAnsi"/>
          <w:sz w:val="26"/>
          <w:szCs w:val="26"/>
        </w:rPr>
        <w:t xml:space="preserve"> </w:t>
      </w:r>
      <w:r w:rsidRPr="005D7A29">
        <w:rPr>
          <w:rFonts w:asciiTheme="minorHAnsi" w:hAnsiTheme="minorHAnsi"/>
          <w:b/>
          <w:sz w:val="26"/>
          <w:szCs w:val="26"/>
        </w:rPr>
        <w:t>spotřebních</w:t>
      </w:r>
      <w:r w:rsidRPr="005D7A29">
        <w:rPr>
          <w:rFonts w:asciiTheme="minorHAnsi" w:hAnsiTheme="minorHAnsi"/>
          <w:b/>
          <w:bCs/>
          <w:sz w:val="26"/>
          <w:szCs w:val="26"/>
        </w:rPr>
        <w:t xml:space="preserve"> úvěrů obyvatelstvu v minulém roce vzrostl meziročně pouze o 0,8 %</w:t>
      </w:r>
      <w:r w:rsidRPr="005D7A29">
        <w:rPr>
          <w:rFonts w:asciiTheme="minorHAnsi" w:hAnsiTheme="minorHAnsi"/>
          <w:b/>
          <w:sz w:val="26"/>
          <w:szCs w:val="26"/>
        </w:rPr>
        <w:t>.</w:t>
      </w:r>
    </w:p>
    <w:p w14:paraId="15C7EFDD" w14:textId="5C893982" w:rsidR="00710980" w:rsidRPr="00760CBD" w:rsidRDefault="00710980" w:rsidP="00710980">
      <w:pPr>
        <w:spacing w:after="120"/>
        <w:ind w:left="708"/>
        <w:jc w:val="both"/>
        <w:rPr>
          <w:rFonts w:asciiTheme="minorHAnsi" w:hAnsiTheme="minorHAnsi" w:cs="Arial"/>
          <w:sz w:val="26"/>
          <w:szCs w:val="26"/>
        </w:rPr>
      </w:pPr>
      <w:r w:rsidRPr="005D7A29">
        <w:rPr>
          <w:rFonts w:asciiTheme="minorHAnsi" w:hAnsiTheme="minorHAnsi" w:cs="Arial"/>
          <w:sz w:val="26"/>
          <w:szCs w:val="26"/>
        </w:rPr>
        <w:t xml:space="preserve">Podle údajů CBCB spravujícího Bankovní a Nebankovní registr činila </w:t>
      </w:r>
      <w:r w:rsidRPr="005D7A29">
        <w:rPr>
          <w:rFonts w:asciiTheme="minorHAnsi" w:hAnsiTheme="minorHAnsi" w:cs="Arial"/>
          <w:b/>
          <w:bCs/>
          <w:sz w:val="26"/>
          <w:szCs w:val="26"/>
        </w:rPr>
        <w:t>p</w:t>
      </w:r>
      <w:r w:rsidRPr="005D7A29">
        <w:rPr>
          <w:rFonts w:asciiTheme="minorHAnsi" w:hAnsiTheme="minorHAnsi" w:cs="Arial"/>
          <w:b/>
          <w:sz w:val="26"/>
          <w:szCs w:val="26"/>
        </w:rPr>
        <w:t>růměrná dlužná částka u dlouhodobého dluhu 1,9 mil. Kč</w:t>
      </w:r>
      <w:r w:rsidRPr="005D7A29">
        <w:rPr>
          <w:rFonts w:asciiTheme="minorHAnsi" w:hAnsiTheme="minorHAnsi" w:cs="Arial"/>
          <w:sz w:val="26"/>
          <w:szCs w:val="26"/>
        </w:rPr>
        <w:t xml:space="preserve"> (meziroční nárůst o 8,8 %) </w:t>
      </w:r>
      <w:r w:rsidRPr="00760CBD">
        <w:rPr>
          <w:rFonts w:asciiTheme="minorHAnsi" w:hAnsiTheme="minorHAnsi" w:cs="Arial"/>
          <w:b/>
          <w:sz w:val="26"/>
          <w:szCs w:val="26"/>
        </w:rPr>
        <w:t>a u krátkodobého dluhu 212,4 tis. Kč</w:t>
      </w:r>
      <w:r w:rsidRPr="00760CBD">
        <w:rPr>
          <w:rFonts w:asciiTheme="minorHAnsi" w:hAnsiTheme="minorHAnsi" w:cs="Arial"/>
          <w:sz w:val="26"/>
          <w:szCs w:val="26"/>
        </w:rPr>
        <w:t xml:space="preserve"> (meziroční nárůst o 5,1 %).</w:t>
      </w:r>
    </w:p>
    <w:p w14:paraId="3249AA15" w14:textId="77777777" w:rsidR="00710980" w:rsidRPr="00760CBD" w:rsidRDefault="00710980" w:rsidP="00710980">
      <w:pPr>
        <w:spacing w:after="360"/>
        <w:ind w:left="703"/>
        <w:jc w:val="both"/>
        <w:rPr>
          <w:rFonts w:asciiTheme="minorHAnsi" w:hAnsiTheme="minorHAnsi" w:cs="Arial"/>
          <w:sz w:val="26"/>
          <w:szCs w:val="26"/>
        </w:rPr>
      </w:pPr>
      <w:r w:rsidRPr="00760CBD">
        <w:rPr>
          <w:rFonts w:asciiTheme="minorHAnsi" w:hAnsiTheme="minorHAnsi" w:cs="Arial"/>
          <w:b/>
          <w:sz w:val="26"/>
          <w:szCs w:val="26"/>
        </w:rPr>
        <w:t>V roce 2020 si</w:t>
      </w:r>
      <w:r w:rsidRPr="00760CBD">
        <w:rPr>
          <w:rFonts w:asciiTheme="minorHAnsi" w:hAnsiTheme="minorHAnsi" w:cs="Arial"/>
          <w:sz w:val="26"/>
          <w:szCs w:val="26"/>
        </w:rPr>
        <w:t xml:space="preserve"> </w:t>
      </w:r>
      <w:r w:rsidRPr="00760CBD">
        <w:rPr>
          <w:rFonts w:asciiTheme="minorHAnsi" w:hAnsiTheme="minorHAnsi" w:cs="Arial"/>
          <w:b/>
          <w:sz w:val="26"/>
          <w:szCs w:val="26"/>
        </w:rPr>
        <w:t>domácnosti</w:t>
      </w:r>
      <w:r w:rsidRPr="00760CBD">
        <w:rPr>
          <w:rFonts w:asciiTheme="minorHAnsi" w:hAnsiTheme="minorHAnsi" w:cs="Arial"/>
          <w:sz w:val="26"/>
          <w:szCs w:val="26"/>
        </w:rPr>
        <w:t xml:space="preserve"> dle dat ČLFA </w:t>
      </w:r>
      <w:r w:rsidRPr="00760CBD">
        <w:rPr>
          <w:rFonts w:asciiTheme="minorHAnsi" w:hAnsiTheme="minorHAnsi" w:cs="Arial"/>
          <w:b/>
          <w:bCs/>
          <w:sz w:val="26"/>
          <w:szCs w:val="26"/>
        </w:rPr>
        <w:t>formou spotřebitelských úvěrů</w:t>
      </w:r>
      <w:r w:rsidRPr="00760CBD">
        <w:rPr>
          <w:rFonts w:asciiTheme="minorHAnsi" w:hAnsiTheme="minorHAnsi" w:cs="Arial"/>
          <w:sz w:val="26"/>
          <w:szCs w:val="26"/>
        </w:rPr>
        <w:t xml:space="preserve"> </w:t>
      </w:r>
      <w:r w:rsidRPr="00760CBD">
        <w:rPr>
          <w:rFonts w:asciiTheme="minorHAnsi" w:hAnsiTheme="minorHAnsi" w:cs="Arial"/>
          <w:b/>
          <w:bCs/>
          <w:sz w:val="26"/>
          <w:szCs w:val="26"/>
        </w:rPr>
        <w:t>a leasingu</w:t>
      </w:r>
      <w:r w:rsidRPr="00760CBD">
        <w:rPr>
          <w:rFonts w:asciiTheme="minorHAnsi" w:hAnsiTheme="minorHAnsi" w:cs="Arial"/>
          <w:sz w:val="26"/>
          <w:szCs w:val="26"/>
        </w:rPr>
        <w:t xml:space="preserve"> </w:t>
      </w:r>
      <w:r w:rsidRPr="00760CBD">
        <w:rPr>
          <w:rFonts w:asciiTheme="minorHAnsi" w:hAnsiTheme="minorHAnsi" w:cs="Arial"/>
          <w:b/>
          <w:sz w:val="26"/>
          <w:szCs w:val="26"/>
        </w:rPr>
        <w:t>půjčily celkem 23,1 mld. Kč, tj. o 17,3 % meziročně méně</w:t>
      </w:r>
      <w:r w:rsidRPr="00760CBD">
        <w:rPr>
          <w:rFonts w:asciiTheme="minorHAnsi" w:hAnsiTheme="minorHAnsi" w:cs="Arial"/>
          <w:sz w:val="26"/>
          <w:szCs w:val="26"/>
        </w:rPr>
        <w:t xml:space="preserve"> a jednalo se téměř výhradně o spotřebitelské úvěry.</w:t>
      </w:r>
    </w:p>
    <w:p w14:paraId="4F0EB554" w14:textId="77777777" w:rsidR="00710980" w:rsidRPr="00760CBD" w:rsidRDefault="00710980" w:rsidP="00710980">
      <w:pPr>
        <w:spacing w:after="240" w:line="360" w:lineRule="auto"/>
        <w:jc w:val="both"/>
        <w:rPr>
          <w:rFonts w:asciiTheme="minorHAnsi" w:hAnsiTheme="minorHAnsi" w:cs="Arial"/>
          <w:sz w:val="26"/>
          <w:szCs w:val="26"/>
        </w:rPr>
      </w:pPr>
      <w:r w:rsidRPr="00760CBD">
        <w:rPr>
          <w:rFonts w:asciiTheme="minorHAnsi" w:hAnsiTheme="minorHAnsi" w:cs="Arial"/>
          <w:sz w:val="26"/>
          <w:szCs w:val="26"/>
        </w:rPr>
        <w:tab/>
        <w:t>V průběhu minulého roku ČNB v</w:t>
      </w:r>
      <w:r>
        <w:rPr>
          <w:rFonts w:asciiTheme="minorHAnsi" w:hAnsiTheme="minorHAnsi" w:cs="Arial"/>
          <w:sz w:val="26"/>
          <w:szCs w:val="26"/>
        </w:rPr>
        <w:t xml:space="preserve"> </w:t>
      </w:r>
      <w:r w:rsidRPr="00760CBD">
        <w:rPr>
          <w:rFonts w:asciiTheme="minorHAnsi" w:hAnsiTheme="minorHAnsi" w:cs="Arial"/>
          <w:sz w:val="26"/>
          <w:szCs w:val="26"/>
        </w:rPr>
        <w:t xml:space="preserve">reakci na zpomalení ekonomiky snížila úrokové sazby (oproti prosinci 2019 o 95 bazických bodů), následkem toho finanční sektor rovněž snižoval úročení většiny nově poskytnutých bankovních úvěrů. </w:t>
      </w:r>
      <w:r w:rsidRPr="00760CBD">
        <w:rPr>
          <w:rFonts w:asciiTheme="minorHAnsi" w:hAnsiTheme="minorHAnsi" w:cs="Arial"/>
          <w:b/>
          <w:sz w:val="26"/>
          <w:szCs w:val="26"/>
        </w:rPr>
        <w:t>Úrokové sazby na nákup bytových nemovitostí se</w:t>
      </w:r>
      <w:r w:rsidRPr="00760CBD">
        <w:rPr>
          <w:rFonts w:asciiTheme="minorHAnsi" w:hAnsiTheme="minorHAnsi" w:cs="Arial"/>
          <w:sz w:val="26"/>
          <w:szCs w:val="26"/>
        </w:rPr>
        <w:t xml:space="preserve"> proto ke konci roku 2020</w:t>
      </w:r>
      <w:r w:rsidRPr="00760CBD">
        <w:rPr>
          <w:rFonts w:asciiTheme="minorHAnsi" w:hAnsiTheme="minorHAnsi" w:cs="Arial"/>
          <w:b/>
          <w:sz w:val="26"/>
          <w:szCs w:val="26"/>
        </w:rPr>
        <w:t xml:space="preserve"> </w:t>
      </w:r>
      <w:r w:rsidRPr="00760CBD">
        <w:rPr>
          <w:rFonts w:asciiTheme="minorHAnsi" w:hAnsiTheme="minorHAnsi" w:cs="Arial"/>
          <w:sz w:val="26"/>
          <w:szCs w:val="26"/>
        </w:rPr>
        <w:t xml:space="preserve">meziročně </w:t>
      </w:r>
      <w:r w:rsidRPr="00760CBD">
        <w:rPr>
          <w:rFonts w:asciiTheme="minorHAnsi" w:hAnsiTheme="minorHAnsi" w:cs="Arial"/>
          <w:b/>
          <w:sz w:val="26"/>
          <w:szCs w:val="26"/>
        </w:rPr>
        <w:t xml:space="preserve">snížily </w:t>
      </w:r>
      <w:r w:rsidRPr="00760CBD">
        <w:rPr>
          <w:rFonts w:asciiTheme="minorHAnsi" w:hAnsiTheme="minorHAnsi" w:cs="Arial"/>
          <w:sz w:val="26"/>
          <w:szCs w:val="26"/>
        </w:rPr>
        <w:t>o 0,39 p. b.</w:t>
      </w:r>
      <w:r w:rsidRPr="00760CBD">
        <w:rPr>
          <w:rFonts w:asciiTheme="minorHAnsi" w:hAnsiTheme="minorHAnsi" w:cs="Arial"/>
          <w:b/>
          <w:sz w:val="26"/>
          <w:szCs w:val="26"/>
        </w:rPr>
        <w:t xml:space="preserve"> na 2,10 %. </w:t>
      </w:r>
      <w:r w:rsidRPr="00760CBD">
        <w:rPr>
          <w:rFonts w:asciiTheme="minorHAnsi" w:hAnsiTheme="minorHAnsi" w:cs="Arial"/>
          <w:sz w:val="26"/>
          <w:szCs w:val="26"/>
        </w:rPr>
        <w:t>Jednalo se o nejnižší zaznamenanou úroveň od začátku století. Naopak nejvyšší hodnoty tato sazba dosáhla na konci roku 2008</w:t>
      </w:r>
      <w:r w:rsidRPr="00760CBD">
        <w:rPr>
          <w:rFonts w:asciiTheme="minorHAnsi" w:hAnsiTheme="minorHAnsi" w:cs="Arial"/>
          <w:b/>
          <w:sz w:val="26"/>
          <w:szCs w:val="26"/>
        </w:rPr>
        <w:t xml:space="preserve"> </w:t>
      </w:r>
      <w:r w:rsidRPr="00760CBD">
        <w:rPr>
          <w:rFonts w:asciiTheme="minorHAnsi" w:hAnsiTheme="minorHAnsi" w:cs="Arial"/>
          <w:bCs/>
          <w:sz w:val="26"/>
          <w:szCs w:val="26"/>
        </w:rPr>
        <w:t>(</w:t>
      </w:r>
      <w:r w:rsidRPr="00760CBD">
        <w:rPr>
          <w:rFonts w:asciiTheme="minorHAnsi" w:hAnsiTheme="minorHAnsi" w:cs="Arial"/>
          <w:sz w:val="26"/>
          <w:szCs w:val="26"/>
        </w:rPr>
        <w:t>5,59 %). Taktéž došlo k mírnému meziročnímu poklesu úrokových sazeb úvěrů na spotřebu, které se v minulém roce snížily na 7,69 % (což bylo o 0,59 p. b. méně než v prosinci 2019).</w:t>
      </w:r>
    </w:p>
    <w:p w14:paraId="024F3F38" w14:textId="17702245" w:rsidR="00710980" w:rsidRPr="00454C16" w:rsidRDefault="00710980" w:rsidP="00710980">
      <w:pPr>
        <w:spacing w:after="240" w:line="360" w:lineRule="auto"/>
        <w:jc w:val="both"/>
        <w:rPr>
          <w:rFonts w:asciiTheme="minorHAnsi" w:hAnsiTheme="minorHAnsi" w:cs="Arial"/>
          <w:sz w:val="26"/>
          <w:szCs w:val="26"/>
        </w:rPr>
      </w:pPr>
      <w:r w:rsidRPr="00760CBD">
        <w:rPr>
          <w:rFonts w:asciiTheme="minorHAnsi" w:hAnsiTheme="minorHAnsi" w:cs="Arial"/>
          <w:sz w:val="26"/>
          <w:szCs w:val="26"/>
        </w:rPr>
        <w:tab/>
        <w:t>Objem</w:t>
      </w:r>
      <w:r w:rsidRPr="00760CBD">
        <w:rPr>
          <w:rFonts w:asciiTheme="minorHAnsi" w:hAnsiTheme="minorHAnsi" w:cs="Arial"/>
          <w:b/>
          <w:sz w:val="26"/>
          <w:szCs w:val="26"/>
        </w:rPr>
        <w:t xml:space="preserve"> nevýkonných bankovních úvěrů domácnostem </w:t>
      </w:r>
      <w:r w:rsidRPr="00760CBD">
        <w:rPr>
          <w:rFonts w:asciiTheme="minorHAnsi" w:hAnsiTheme="minorHAnsi" w:cs="Arial"/>
          <w:sz w:val="26"/>
          <w:szCs w:val="26"/>
        </w:rPr>
        <w:t xml:space="preserve">(nesplaceny tři po sobě jdoucí splátky úvěru či došlo </w:t>
      </w:r>
      <w:r w:rsidRPr="00454C16">
        <w:rPr>
          <w:rFonts w:asciiTheme="minorHAnsi" w:hAnsiTheme="minorHAnsi" w:cs="Arial"/>
          <w:sz w:val="26"/>
          <w:szCs w:val="26"/>
        </w:rPr>
        <w:t>k zesplatnění),</w:t>
      </w:r>
      <w:r w:rsidRPr="00454C16">
        <w:rPr>
          <w:rFonts w:asciiTheme="minorHAnsi" w:hAnsiTheme="minorHAnsi" w:cs="Arial"/>
          <w:b/>
          <w:sz w:val="26"/>
          <w:szCs w:val="26"/>
        </w:rPr>
        <w:t xml:space="preserve"> </w:t>
      </w:r>
      <w:r w:rsidRPr="00454C16">
        <w:rPr>
          <w:rFonts w:asciiTheme="minorHAnsi" w:hAnsiTheme="minorHAnsi" w:cs="Arial"/>
          <w:bCs/>
          <w:sz w:val="26"/>
          <w:szCs w:val="26"/>
        </w:rPr>
        <w:t>který dosáhl na konci minulého roku úrovně 32,7 mld. Kč</w:t>
      </w:r>
      <w:r w:rsidRPr="00454C16">
        <w:rPr>
          <w:rFonts w:asciiTheme="minorHAnsi" w:hAnsiTheme="minorHAnsi" w:cs="Arial"/>
          <w:sz w:val="26"/>
          <w:szCs w:val="26"/>
        </w:rPr>
        <w:t xml:space="preserve">, se </w:t>
      </w:r>
      <w:r w:rsidRPr="00454C16">
        <w:rPr>
          <w:rFonts w:asciiTheme="minorHAnsi" w:hAnsiTheme="minorHAnsi" w:cs="Arial"/>
          <w:b/>
          <w:bCs/>
          <w:sz w:val="26"/>
          <w:szCs w:val="26"/>
        </w:rPr>
        <w:t>meziročně zvýšil o 3,6 mld. Kč</w:t>
      </w:r>
      <w:r w:rsidRPr="00454C16">
        <w:rPr>
          <w:rFonts w:asciiTheme="minorHAnsi" w:hAnsiTheme="minorHAnsi" w:cs="Arial"/>
          <w:sz w:val="26"/>
          <w:szCs w:val="26"/>
        </w:rPr>
        <w:t xml:space="preserve"> (tzn. o 12,5 %)</w:t>
      </w:r>
      <w:r w:rsidRPr="00454C16">
        <w:rPr>
          <w:rFonts w:asciiTheme="minorHAnsi" w:hAnsiTheme="minorHAnsi" w:cs="Arial"/>
          <w:b/>
          <w:sz w:val="26"/>
          <w:szCs w:val="26"/>
        </w:rPr>
        <w:t xml:space="preserve"> </w:t>
      </w:r>
      <w:r w:rsidRPr="00454C16">
        <w:rPr>
          <w:rFonts w:asciiTheme="minorHAnsi" w:hAnsiTheme="minorHAnsi" w:cs="Arial"/>
          <w:sz w:val="26"/>
          <w:szCs w:val="26"/>
        </w:rPr>
        <w:t xml:space="preserve">– z toho výše nevýkonných úvěrů domácnostem na bydlení činila celkem 15,2 mld. Kč. </w:t>
      </w:r>
      <w:r w:rsidRPr="00454C16">
        <w:rPr>
          <w:rFonts w:asciiTheme="minorHAnsi" w:hAnsiTheme="minorHAnsi" w:cs="Arial"/>
          <w:b/>
          <w:sz w:val="26"/>
          <w:szCs w:val="26"/>
        </w:rPr>
        <w:t>Podíl nevýkonných úvěrů na celkovém objemu bankovních úvěrů domácnostem</w:t>
      </w:r>
      <w:r w:rsidRPr="00454C16">
        <w:rPr>
          <w:rFonts w:asciiTheme="minorHAnsi" w:hAnsiTheme="minorHAnsi" w:cs="Arial"/>
          <w:sz w:val="26"/>
          <w:szCs w:val="26"/>
        </w:rPr>
        <w:t xml:space="preserve"> se meziročně snižoval od roku 201</w:t>
      </w:r>
      <w:r>
        <w:rPr>
          <w:rFonts w:asciiTheme="minorHAnsi" w:hAnsiTheme="minorHAnsi" w:cs="Arial"/>
          <w:sz w:val="26"/>
          <w:szCs w:val="26"/>
        </w:rPr>
        <w:t>3</w:t>
      </w:r>
      <w:r w:rsidRPr="00454C16">
        <w:rPr>
          <w:rFonts w:asciiTheme="minorHAnsi" w:hAnsiTheme="minorHAnsi" w:cs="Arial"/>
          <w:sz w:val="26"/>
          <w:szCs w:val="26"/>
        </w:rPr>
        <w:t xml:space="preserve"> (v prosinci 2012 dosáhl 5,2 %) a nejnižší úrovně dosáhl na konci třetího čtvrtletí 2020 (1,6 %), </w:t>
      </w:r>
      <w:r w:rsidRPr="00454C16">
        <w:rPr>
          <w:rFonts w:asciiTheme="minorHAnsi" w:hAnsiTheme="minorHAnsi" w:cs="Arial"/>
          <w:b/>
          <w:bCs/>
          <w:sz w:val="26"/>
          <w:szCs w:val="26"/>
        </w:rPr>
        <w:t>v</w:t>
      </w:r>
      <w:r>
        <w:rPr>
          <w:rFonts w:asciiTheme="minorHAnsi" w:hAnsiTheme="minorHAnsi" w:cs="Arial"/>
          <w:b/>
          <w:bCs/>
          <w:sz w:val="26"/>
          <w:szCs w:val="26"/>
        </w:rPr>
        <w:t xml:space="preserve"> </w:t>
      </w:r>
      <w:r w:rsidRPr="00454C16">
        <w:rPr>
          <w:rFonts w:asciiTheme="minorHAnsi" w:hAnsiTheme="minorHAnsi" w:cs="Arial"/>
          <w:b/>
          <w:bCs/>
          <w:sz w:val="26"/>
          <w:szCs w:val="26"/>
        </w:rPr>
        <w:t xml:space="preserve">posledním čtvrtletí minulého roku však došlo k nárůstu na </w:t>
      </w:r>
      <w:r w:rsidRPr="00454C16">
        <w:rPr>
          <w:rFonts w:asciiTheme="minorHAnsi" w:hAnsiTheme="minorHAnsi" w:cs="Arial"/>
          <w:b/>
          <w:sz w:val="26"/>
          <w:szCs w:val="26"/>
        </w:rPr>
        <w:t xml:space="preserve">1,8 %. </w:t>
      </w:r>
    </w:p>
    <w:p w14:paraId="353909CE" w14:textId="77777777" w:rsidR="00710980" w:rsidRPr="00710980" w:rsidRDefault="00710980" w:rsidP="00710980">
      <w:pPr>
        <w:spacing w:after="360"/>
        <w:jc w:val="both"/>
        <w:rPr>
          <w:rFonts w:asciiTheme="minorHAnsi" w:hAnsiTheme="minorHAnsi"/>
          <w:b/>
          <w:bCs/>
          <w:i/>
          <w:smallCaps/>
          <w:color w:val="1F497D"/>
          <w:sz w:val="36"/>
          <w:szCs w:val="36"/>
        </w:rPr>
      </w:pPr>
      <w:r w:rsidRPr="00710980">
        <w:rPr>
          <w:rFonts w:asciiTheme="minorHAnsi" w:hAnsiTheme="minorHAnsi"/>
          <w:b/>
          <w:bCs/>
          <w:i/>
          <w:smallCaps/>
          <w:color w:val="1F497D"/>
          <w:sz w:val="36"/>
          <w:szCs w:val="36"/>
        </w:rPr>
        <w:lastRenderedPageBreak/>
        <w:t>3. 3 Úspory</w:t>
      </w:r>
    </w:p>
    <w:p w14:paraId="683A0219" w14:textId="77777777" w:rsidR="00710980" w:rsidRDefault="00710980" w:rsidP="00710980">
      <w:pPr>
        <w:spacing w:after="360" w:line="360" w:lineRule="auto"/>
        <w:jc w:val="both"/>
        <w:rPr>
          <w:rFonts w:asciiTheme="minorHAnsi" w:hAnsiTheme="minorHAnsi"/>
          <w:sz w:val="26"/>
          <w:szCs w:val="26"/>
        </w:rPr>
      </w:pPr>
      <w:r w:rsidRPr="00E14A53">
        <w:rPr>
          <w:rFonts w:asciiTheme="minorHAnsi" w:hAnsiTheme="minorHAnsi"/>
          <w:sz w:val="26"/>
          <w:szCs w:val="26"/>
        </w:rPr>
        <w:tab/>
      </w:r>
      <w:r w:rsidRPr="00E14A53">
        <w:rPr>
          <w:rFonts w:asciiTheme="minorHAnsi" w:hAnsiTheme="minorHAnsi" w:cs="Arial"/>
          <w:sz w:val="26"/>
          <w:szCs w:val="26"/>
        </w:rPr>
        <w:t xml:space="preserve">Pokles ekonomiky, aplikace </w:t>
      </w:r>
      <w:proofErr w:type="spellStart"/>
      <w:r w:rsidRPr="00E14A53">
        <w:rPr>
          <w:rFonts w:asciiTheme="minorHAnsi" w:hAnsiTheme="minorHAnsi" w:cs="Arial"/>
          <w:sz w:val="26"/>
          <w:szCs w:val="26"/>
        </w:rPr>
        <w:t>protipandemických</w:t>
      </w:r>
      <w:proofErr w:type="spellEnd"/>
      <w:r w:rsidRPr="00E14A53">
        <w:rPr>
          <w:rFonts w:asciiTheme="minorHAnsi" w:hAnsiTheme="minorHAnsi" w:cs="Arial"/>
          <w:sz w:val="26"/>
          <w:szCs w:val="26"/>
        </w:rPr>
        <w:t xml:space="preserve"> opatření a negativní očekávání se </w:t>
      </w:r>
      <w:r>
        <w:rPr>
          <w:rFonts w:asciiTheme="minorHAnsi" w:hAnsiTheme="minorHAnsi" w:cs="Arial"/>
          <w:sz w:val="26"/>
          <w:szCs w:val="26"/>
        </w:rPr>
        <w:t xml:space="preserve">výrazně </w:t>
      </w:r>
      <w:r w:rsidRPr="00E14A53">
        <w:rPr>
          <w:rFonts w:asciiTheme="minorHAnsi" w:hAnsiTheme="minorHAnsi" w:cs="Arial"/>
          <w:sz w:val="26"/>
          <w:szCs w:val="26"/>
        </w:rPr>
        <w:t>projevily na bankovních úsporách domácností.</w:t>
      </w:r>
      <w:r w:rsidRPr="00E14A53">
        <w:rPr>
          <w:rFonts w:asciiTheme="minorHAnsi" w:hAnsiTheme="minorHAnsi"/>
          <w:b/>
          <w:bCs/>
          <w:sz w:val="26"/>
          <w:szCs w:val="26"/>
        </w:rPr>
        <w:t xml:space="preserve"> Celkové vklady domácností</w:t>
      </w:r>
      <w:r w:rsidRPr="00E14A53">
        <w:rPr>
          <w:rFonts w:asciiTheme="minorHAnsi" w:hAnsiTheme="minorHAnsi"/>
          <w:sz w:val="26"/>
          <w:szCs w:val="26"/>
        </w:rPr>
        <w:t xml:space="preserve"> </w:t>
      </w:r>
      <w:r w:rsidRPr="00E14A53">
        <w:rPr>
          <w:rFonts w:asciiTheme="minorHAnsi" w:hAnsiTheme="minorHAnsi"/>
          <w:b/>
          <w:bCs/>
          <w:sz w:val="26"/>
          <w:szCs w:val="26"/>
        </w:rPr>
        <w:t xml:space="preserve">se </w:t>
      </w:r>
      <w:r w:rsidRPr="00E14A53">
        <w:rPr>
          <w:rFonts w:asciiTheme="minorHAnsi" w:hAnsiTheme="minorHAnsi"/>
          <w:sz w:val="26"/>
          <w:szCs w:val="26"/>
        </w:rPr>
        <w:t xml:space="preserve">podle dostupných údajů ČNB </w:t>
      </w:r>
      <w:r w:rsidRPr="00E14A53">
        <w:rPr>
          <w:rFonts w:asciiTheme="minorHAnsi" w:hAnsiTheme="minorHAnsi"/>
          <w:b/>
          <w:bCs/>
          <w:sz w:val="26"/>
          <w:szCs w:val="26"/>
        </w:rPr>
        <w:t>v</w:t>
      </w:r>
      <w:r>
        <w:rPr>
          <w:rFonts w:asciiTheme="minorHAnsi" w:hAnsiTheme="minorHAnsi"/>
          <w:b/>
          <w:bCs/>
          <w:sz w:val="26"/>
          <w:szCs w:val="26"/>
        </w:rPr>
        <w:t xml:space="preserve"> </w:t>
      </w:r>
      <w:r w:rsidRPr="00E14A53">
        <w:rPr>
          <w:rFonts w:asciiTheme="minorHAnsi" w:hAnsiTheme="minorHAnsi"/>
          <w:b/>
          <w:bCs/>
          <w:sz w:val="26"/>
          <w:szCs w:val="26"/>
        </w:rPr>
        <w:t>roce 2020</w:t>
      </w:r>
      <w:r w:rsidRPr="00E14A53">
        <w:rPr>
          <w:rFonts w:asciiTheme="minorHAnsi" w:hAnsiTheme="minorHAnsi"/>
          <w:sz w:val="26"/>
          <w:szCs w:val="26"/>
        </w:rPr>
        <w:t xml:space="preserve"> </w:t>
      </w:r>
      <w:r w:rsidRPr="00E14A53">
        <w:rPr>
          <w:rFonts w:asciiTheme="minorHAnsi" w:hAnsiTheme="minorHAnsi"/>
          <w:b/>
          <w:bCs/>
          <w:sz w:val="26"/>
          <w:szCs w:val="26"/>
        </w:rPr>
        <w:t xml:space="preserve">zvýšily </w:t>
      </w:r>
      <w:r w:rsidRPr="00E14A53">
        <w:rPr>
          <w:rFonts w:asciiTheme="minorHAnsi" w:hAnsiTheme="minorHAnsi"/>
          <w:sz w:val="26"/>
          <w:szCs w:val="26"/>
        </w:rPr>
        <w:t>ve srovnání s předchozím rokem</w:t>
      </w:r>
      <w:r w:rsidRPr="00E14A53">
        <w:rPr>
          <w:rFonts w:asciiTheme="minorHAnsi" w:hAnsiTheme="minorHAnsi"/>
          <w:b/>
          <w:bCs/>
          <w:sz w:val="26"/>
          <w:szCs w:val="26"/>
        </w:rPr>
        <w:t xml:space="preserve"> o</w:t>
      </w:r>
      <w:r>
        <w:rPr>
          <w:rFonts w:asciiTheme="minorHAnsi" w:hAnsiTheme="minorHAnsi"/>
          <w:b/>
          <w:bCs/>
          <w:sz w:val="26"/>
          <w:szCs w:val="26"/>
        </w:rPr>
        <w:t> </w:t>
      </w:r>
      <w:r w:rsidRPr="00E14A53">
        <w:rPr>
          <w:rFonts w:asciiTheme="minorHAnsi" w:hAnsiTheme="minorHAnsi"/>
          <w:b/>
          <w:bCs/>
          <w:sz w:val="26"/>
          <w:szCs w:val="26"/>
        </w:rPr>
        <w:t>12,2 %</w:t>
      </w:r>
      <w:r w:rsidRPr="00E14A53">
        <w:rPr>
          <w:rFonts w:asciiTheme="minorHAnsi" w:hAnsiTheme="minorHAnsi"/>
          <w:sz w:val="26"/>
          <w:szCs w:val="26"/>
        </w:rPr>
        <w:t xml:space="preserve"> (331,3 mld. Kč) </w:t>
      </w:r>
      <w:r w:rsidRPr="00E14A53">
        <w:rPr>
          <w:rFonts w:asciiTheme="minorHAnsi" w:hAnsiTheme="minorHAnsi"/>
          <w:b/>
          <w:bCs/>
          <w:sz w:val="26"/>
          <w:szCs w:val="26"/>
        </w:rPr>
        <w:t xml:space="preserve">na 3 056,8 mld. Kč </w:t>
      </w:r>
      <w:r w:rsidRPr="00E14A53">
        <w:rPr>
          <w:rFonts w:asciiTheme="minorHAnsi" w:hAnsiTheme="minorHAnsi"/>
          <w:sz w:val="26"/>
          <w:szCs w:val="26"/>
        </w:rPr>
        <w:t>a jednalo se o nejvyšší meziroční nárůst od začátku století</w:t>
      </w:r>
      <w:r>
        <w:rPr>
          <w:rFonts w:asciiTheme="minorHAnsi" w:hAnsiTheme="minorHAnsi"/>
          <w:sz w:val="26"/>
          <w:szCs w:val="26"/>
        </w:rPr>
        <w:t xml:space="preserve"> </w:t>
      </w:r>
      <w:r w:rsidRPr="00326C2B">
        <w:rPr>
          <w:rFonts w:asciiTheme="minorHAnsi" w:hAnsiTheme="minorHAnsi"/>
          <w:sz w:val="26"/>
          <w:szCs w:val="26"/>
        </w:rPr>
        <w:t xml:space="preserve">– viz </w:t>
      </w:r>
      <w:r w:rsidRPr="00326C2B">
        <w:rPr>
          <w:rFonts w:asciiTheme="minorHAnsi" w:hAnsiTheme="minorHAnsi"/>
          <w:bCs/>
          <w:sz w:val="26"/>
          <w:szCs w:val="26"/>
        </w:rPr>
        <w:t>tabulku č. 25 v příloze</w:t>
      </w:r>
      <w:r w:rsidRPr="00E14A53">
        <w:rPr>
          <w:rFonts w:asciiTheme="minorHAnsi" w:hAnsiTheme="minorHAnsi"/>
          <w:sz w:val="26"/>
          <w:szCs w:val="26"/>
        </w:rPr>
        <w:t>. Mezičtvrtletně se tempo růstu vkladů zvýšilo zejména ve druhém a</w:t>
      </w:r>
      <w:r>
        <w:rPr>
          <w:rFonts w:asciiTheme="minorHAnsi" w:hAnsiTheme="minorHAnsi"/>
          <w:sz w:val="26"/>
          <w:szCs w:val="26"/>
        </w:rPr>
        <w:t> </w:t>
      </w:r>
      <w:r w:rsidRPr="00E14A53">
        <w:rPr>
          <w:rFonts w:asciiTheme="minorHAnsi" w:hAnsiTheme="minorHAnsi"/>
          <w:sz w:val="26"/>
          <w:szCs w:val="26"/>
        </w:rPr>
        <w:t>čtvrtém čtvrtletí</w:t>
      </w:r>
      <w:r>
        <w:rPr>
          <w:rFonts w:asciiTheme="minorHAnsi" w:hAnsiTheme="minorHAnsi"/>
          <w:sz w:val="26"/>
          <w:szCs w:val="26"/>
        </w:rPr>
        <w:t>.</w:t>
      </w:r>
    </w:p>
    <w:p w14:paraId="146F56E5" w14:textId="77777777" w:rsidR="00710980" w:rsidRPr="00E14A53" w:rsidRDefault="00710980" w:rsidP="00710980">
      <w:pPr>
        <w:spacing w:after="360" w:line="360" w:lineRule="auto"/>
        <w:ind w:firstLine="708"/>
        <w:jc w:val="both"/>
        <w:rPr>
          <w:rFonts w:asciiTheme="minorHAnsi" w:hAnsiTheme="minorHAnsi"/>
          <w:bCs/>
          <w:sz w:val="26"/>
          <w:szCs w:val="26"/>
        </w:rPr>
      </w:pPr>
      <w:r w:rsidRPr="001A1A42">
        <w:rPr>
          <w:rFonts w:asciiTheme="minorHAnsi" w:hAnsiTheme="minorHAnsi"/>
          <w:b/>
          <w:bCs/>
          <w:sz w:val="26"/>
          <w:szCs w:val="26"/>
        </w:rPr>
        <w:t>Míra úspor domácností podle statistiky národních účtů činila 18,7 %</w:t>
      </w:r>
      <w:r w:rsidRPr="001A1A42">
        <w:rPr>
          <w:rFonts w:asciiTheme="minorHAnsi" w:hAnsiTheme="minorHAnsi"/>
          <w:bCs/>
          <w:sz w:val="26"/>
          <w:szCs w:val="26"/>
        </w:rPr>
        <w:t xml:space="preserve"> a byla tak proti roku 2019 o 6,2 p. b. meziročně vyšší.</w:t>
      </w:r>
      <w:r>
        <w:rPr>
          <w:rFonts w:asciiTheme="minorHAnsi" w:hAnsiTheme="minorHAnsi"/>
          <w:bCs/>
          <w:sz w:val="26"/>
          <w:szCs w:val="26"/>
        </w:rPr>
        <w:t xml:space="preserve"> </w:t>
      </w:r>
      <w:bookmarkStart w:id="2" w:name="_Hlk68797667"/>
      <w:r>
        <w:rPr>
          <w:rFonts w:asciiTheme="minorHAnsi" w:hAnsiTheme="minorHAnsi"/>
          <w:bCs/>
          <w:sz w:val="26"/>
          <w:szCs w:val="26"/>
        </w:rPr>
        <w:t xml:space="preserve">Popsané údaje ČNB a ČSÚ jsou však agregáty pro české domácnosti a nezachycují, jakým způsobem tvořily úspory různé typy domácností a do jaké míry byl nárůst úspor mezi domácnostmi nerovnoměrný.  </w:t>
      </w:r>
    </w:p>
    <w:bookmarkEnd w:id="2"/>
    <w:p w14:paraId="0E65528E" w14:textId="77777777" w:rsidR="00710980" w:rsidRPr="00E14A53" w:rsidRDefault="00710980" w:rsidP="00710980">
      <w:pPr>
        <w:spacing w:after="360" w:line="360" w:lineRule="auto"/>
        <w:jc w:val="both"/>
        <w:rPr>
          <w:rFonts w:asciiTheme="minorHAnsi" w:hAnsiTheme="minorHAnsi"/>
          <w:sz w:val="26"/>
          <w:szCs w:val="26"/>
        </w:rPr>
      </w:pPr>
      <w:r w:rsidRPr="00E14A53">
        <w:rPr>
          <w:rFonts w:asciiTheme="minorHAnsi" w:hAnsiTheme="minorHAnsi"/>
          <w:bCs/>
          <w:sz w:val="26"/>
          <w:szCs w:val="26"/>
        </w:rPr>
        <w:tab/>
      </w:r>
      <w:r w:rsidRPr="00E14A53">
        <w:rPr>
          <w:rFonts w:asciiTheme="minorHAnsi" w:hAnsiTheme="minorHAnsi"/>
          <w:b/>
          <w:sz w:val="26"/>
          <w:szCs w:val="26"/>
        </w:rPr>
        <w:t xml:space="preserve">Úročení vkladů dle údajů ČNB </w:t>
      </w:r>
      <w:r w:rsidRPr="00E14A53">
        <w:rPr>
          <w:rFonts w:asciiTheme="minorHAnsi" w:hAnsiTheme="minorHAnsi"/>
          <w:bCs/>
          <w:sz w:val="26"/>
          <w:szCs w:val="26"/>
        </w:rPr>
        <w:t>na rozdíl od předchozího roku</w:t>
      </w:r>
      <w:r w:rsidRPr="00E14A53">
        <w:rPr>
          <w:rFonts w:asciiTheme="minorHAnsi" w:hAnsiTheme="minorHAnsi"/>
          <w:b/>
          <w:sz w:val="26"/>
          <w:szCs w:val="26"/>
        </w:rPr>
        <w:t xml:space="preserve"> klesalo</w:t>
      </w:r>
      <w:r w:rsidRPr="00E14A53">
        <w:rPr>
          <w:rFonts w:asciiTheme="minorHAnsi" w:hAnsiTheme="minorHAnsi"/>
          <w:sz w:val="26"/>
          <w:szCs w:val="26"/>
        </w:rPr>
        <w:t xml:space="preserve"> a průměrná sazba jednodenních vkladů se na konci roku 2020 snížila na 0,10 % (o 0,14 p. b. meziročně méně). Mírně se </w:t>
      </w:r>
      <w:r>
        <w:rPr>
          <w:rFonts w:asciiTheme="minorHAnsi" w:hAnsiTheme="minorHAnsi"/>
          <w:sz w:val="26"/>
          <w:szCs w:val="26"/>
        </w:rPr>
        <w:t xml:space="preserve">rovněž </w:t>
      </w:r>
      <w:r w:rsidRPr="00E14A53">
        <w:rPr>
          <w:rFonts w:asciiTheme="minorHAnsi" w:hAnsiTheme="minorHAnsi"/>
          <w:sz w:val="26"/>
          <w:szCs w:val="26"/>
        </w:rPr>
        <w:t>meziročně snížila sazba z vkladů s výpovědní lhůtou, která v posledním čtvrtletí 2020 činila 1,19 %, a došlo k poklesu u úrokových sazeb s dohodnutou splatností s průměrným úročením (na 0,59 %).</w:t>
      </w:r>
    </w:p>
    <w:p w14:paraId="601CD060" w14:textId="77777777" w:rsidR="00710980" w:rsidRPr="00E906D8" w:rsidRDefault="00710980" w:rsidP="00710980">
      <w:pPr>
        <w:ind w:left="708"/>
        <w:jc w:val="both"/>
      </w:pPr>
      <w:r w:rsidRPr="00E14A53">
        <w:rPr>
          <w:rFonts w:asciiTheme="minorHAnsi" w:hAnsiTheme="minorHAnsi"/>
          <w:bCs/>
          <w:sz w:val="26"/>
          <w:szCs w:val="26"/>
        </w:rPr>
        <w:t xml:space="preserve">Podle AKAT </w:t>
      </w:r>
      <w:r w:rsidRPr="00E14A53">
        <w:rPr>
          <w:rFonts w:asciiTheme="minorHAnsi" w:hAnsiTheme="minorHAnsi"/>
          <w:b/>
          <w:bCs/>
          <w:sz w:val="26"/>
          <w:szCs w:val="26"/>
        </w:rPr>
        <w:t>stav peněžních prostředků investovaných do</w:t>
      </w:r>
      <w:r w:rsidRPr="00E14A53">
        <w:rPr>
          <w:rFonts w:asciiTheme="minorHAnsi" w:hAnsiTheme="minorHAnsi"/>
          <w:sz w:val="26"/>
          <w:szCs w:val="26"/>
        </w:rPr>
        <w:t xml:space="preserve"> tuzemských a zahraničních otevřených </w:t>
      </w:r>
      <w:r w:rsidRPr="00E14A53">
        <w:rPr>
          <w:rFonts w:asciiTheme="minorHAnsi" w:hAnsiTheme="minorHAnsi"/>
          <w:b/>
          <w:bCs/>
          <w:sz w:val="26"/>
          <w:szCs w:val="26"/>
        </w:rPr>
        <w:t>podílových fondů</w:t>
      </w:r>
      <w:r w:rsidRPr="00E14A53">
        <w:rPr>
          <w:rFonts w:asciiTheme="minorHAnsi" w:hAnsiTheme="minorHAnsi"/>
          <w:sz w:val="26"/>
          <w:szCs w:val="26"/>
        </w:rPr>
        <w:t xml:space="preserve"> obyvatelstvem a institucemi </w:t>
      </w:r>
      <w:r w:rsidRPr="00E14A53">
        <w:rPr>
          <w:rFonts w:asciiTheme="minorHAnsi" w:hAnsiTheme="minorHAnsi"/>
          <w:b/>
          <w:sz w:val="26"/>
          <w:szCs w:val="26"/>
        </w:rPr>
        <w:t>činil</w:t>
      </w:r>
      <w:r w:rsidRPr="00E14A53">
        <w:rPr>
          <w:rFonts w:asciiTheme="minorHAnsi" w:hAnsiTheme="minorHAnsi"/>
          <w:sz w:val="26"/>
          <w:szCs w:val="26"/>
        </w:rPr>
        <w:t xml:space="preserve"> ke konci minulého roku </w:t>
      </w:r>
      <w:r w:rsidRPr="00E14A53">
        <w:rPr>
          <w:rFonts w:asciiTheme="minorHAnsi" w:hAnsiTheme="minorHAnsi"/>
          <w:b/>
          <w:bCs/>
          <w:sz w:val="26"/>
          <w:szCs w:val="26"/>
        </w:rPr>
        <w:t>589,7 mld. Kč</w:t>
      </w:r>
      <w:r w:rsidRPr="00E14A53">
        <w:rPr>
          <w:rFonts w:asciiTheme="minorHAnsi" w:hAnsiTheme="minorHAnsi"/>
          <w:b/>
          <w:sz w:val="26"/>
          <w:szCs w:val="26"/>
        </w:rPr>
        <w:t>,</w:t>
      </w:r>
      <w:r w:rsidRPr="00E14A53">
        <w:rPr>
          <w:rFonts w:asciiTheme="minorHAnsi" w:hAnsiTheme="minorHAnsi"/>
          <w:sz w:val="26"/>
          <w:szCs w:val="26"/>
        </w:rPr>
        <w:t xml:space="preserve"> což bylo </w:t>
      </w:r>
      <w:r w:rsidRPr="00E14A53">
        <w:rPr>
          <w:rFonts w:asciiTheme="minorHAnsi" w:hAnsiTheme="minorHAnsi"/>
          <w:b/>
          <w:sz w:val="26"/>
          <w:szCs w:val="26"/>
        </w:rPr>
        <w:t>o 32,8 mld. Kč</w:t>
      </w:r>
      <w:r w:rsidRPr="00E14A53">
        <w:rPr>
          <w:rFonts w:asciiTheme="minorHAnsi" w:hAnsiTheme="minorHAnsi"/>
          <w:sz w:val="26"/>
          <w:szCs w:val="26"/>
        </w:rPr>
        <w:t xml:space="preserve"> </w:t>
      </w:r>
      <w:r w:rsidRPr="00E14A53">
        <w:rPr>
          <w:rFonts w:asciiTheme="minorHAnsi" w:hAnsiTheme="minorHAnsi"/>
          <w:b/>
          <w:sz w:val="26"/>
          <w:szCs w:val="26"/>
        </w:rPr>
        <w:t>více než ke konci roku 2019.</w:t>
      </w:r>
      <w:r w:rsidRPr="00E14A53">
        <w:rPr>
          <w:rFonts w:asciiTheme="minorHAnsi" w:hAnsiTheme="minorHAnsi"/>
          <w:sz w:val="26"/>
          <w:szCs w:val="26"/>
        </w:rPr>
        <w:t xml:space="preserve"> </w:t>
      </w:r>
      <w:r w:rsidRPr="00E906D8">
        <w:rPr>
          <w:rFonts w:asciiTheme="minorHAnsi" w:hAnsiTheme="minorHAnsi"/>
          <w:sz w:val="26"/>
          <w:szCs w:val="26"/>
        </w:rPr>
        <w:t xml:space="preserve">Z toho bylo 84 % objemu majetku drženo fyzickými osobami a 16 % bylo drženo právnickými osobami. </w:t>
      </w:r>
      <w:r w:rsidRPr="00E906D8">
        <w:rPr>
          <w:rFonts w:asciiTheme="minorHAnsi" w:hAnsiTheme="minorHAnsi"/>
          <w:b/>
          <w:sz w:val="26"/>
          <w:szCs w:val="26"/>
        </w:rPr>
        <w:t>Výrazně více investic zaznamenaly v minulém roce hlavně fondy akciové a smíšené,</w:t>
      </w:r>
      <w:r w:rsidRPr="00E906D8">
        <w:rPr>
          <w:rFonts w:asciiTheme="minorHAnsi" w:hAnsiTheme="minorHAnsi"/>
          <w:sz w:val="26"/>
          <w:szCs w:val="26"/>
        </w:rPr>
        <w:t xml:space="preserve"> kde se objem investic zvýšil přibližně o pětinu, a nárůst o 13 % nastal u nemovitostních fondů. Naopak méně vyhledávané byly v roce 2020 zejména fondy peněžního trhu, jejichž objem se meziročně snížil o 23 %. Větší objem majetku byl oproti zahraničním fondům ve fondech domácích (63,6 %).</w:t>
      </w:r>
    </w:p>
    <w:p w14:paraId="4C72D4F5" w14:textId="77777777" w:rsidR="00710980" w:rsidRPr="00E906D8" w:rsidRDefault="00710980" w:rsidP="00710980">
      <w:pPr>
        <w:spacing w:after="360" w:line="360" w:lineRule="auto"/>
        <w:jc w:val="both"/>
        <w:rPr>
          <w:rFonts w:asciiTheme="minorHAnsi" w:hAnsiTheme="minorHAnsi"/>
          <w:sz w:val="26"/>
          <w:szCs w:val="26"/>
        </w:rPr>
      </w:pPr>
    </w:p>
    <w:p w14:paraId="6C608BED" w14:textId="77777777" w:rsidR="00710980" w:rsidRPr="001553BA" w:rsidRDefault="00710980" w:rsidP="00710980">
      <w:pPr>
        <w:spacing w:after="360" w:line="360" w:lineRule="auto"/>
        <w:jc w:val="both"/>
        <w:rPr>
          <w:rFonts w:asciiTheme="minorHAnsi" w:hAnsiTheme="minorHAnsi"/>
          <w:sz w:val="26"/>
          <w:szCs w:val="26"/>
        </w:rPr>
      </w:pPr>
      <w:r>
        <w:rPr>
          <w:rFonts w:asciiTheme="minorHAnsi" w:hAnsiTheme="minorHAnsi"/>
          <w:sz w:val="26"/>
          <w:szCs w:val="26"/>
        </w:rPr>
        <w:tab/>
      </w:r>
    </w:p>
    <w:p w14:paraId="4EE4E388" w14:textId="77777777" w:rsidR="00710980" w:rsidRPr="00F94A9C" w:rsidRDefault="00710980" w:rsidP="00710980">
      <w:pPr>
        <w:tabs>
          <w:tab w:val="left" w:pos="5529"/>
        </w:tabs>
        <w:jc w:val="center"/>
        <w:rPr>
          <w:rFonts w:asciiTheme="minorHAnsi" w:hAnsiTheme="minorHAnsi"/>
          <w:b/>
          <w:bCs/>
        </w:rPr>
      </w:pPr>
      <w:r>
        <w:rPr>
          <w:rFonts w:asciiTheme="minorHAnsi" w:hAnsiTheme="minorHAnsi"/>
          <w:b/>
          <w:bCs/>
          <w:noProof/>
        </w:rPr>
        <w:lastRenderedPageBreak/>
        <w:drawing>
          <wp:inline distT="0" distB="0" distL="0" distR="0" wp14:anchorId="1F1C2C55" wp14:editId="16DD7F77">
            <wp:extent cx="5791200" cy="3386482"/>
            <wp:effectExtent l="0" t="0" r="0" b="444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18651" cy="3402534"/>
                    </a:xfrm>
                    <a:prstGeom prst="rect">
                      <a:avLst/>
                    </a:prstGeom>
                    <a:noFill/>
                  </pic:spPr>
                </pic:pic>
              </a:graphicData>
            </a:graphic>
          </wp:inline>
        </w:drawing>
      </w:r>
    </w:p>
    <w:p w14:paraId="3DF9A98E" w14:textId="77777777" w:rsidR="00710980" w:rsidRPr="00F94A9C" w:rsidRDefault="00710980" w:rsidP="00710980">
      <w:pPr>
        <w:tabs>
          <w:tab w:val="left" w:pos="5529"/>
        </w:tabs>
        <w:spacing w:before="120"/>
        <w:jc w:val="both"/>
        <w:rPr>
          <w:rFonts w:asciiTheme="minorHAnsi" w:hAnsiTheme="minorHAnsi"/>
          <w:bCs/>
          <w:sz w:val="20"/>
        </w:rPr>
      </w:pPr>
      <w:r w:rsidRPr="00F94A9C">
        <w:rPr>
          <w:rFonts w:asciiTheme="minorHAnsi" w:hAnsiTheme="minorHAnsi"/>
          <w:bCs/>
          <w:sz w:val="20"/>
        </w:rPr>
        <w:t>* Spořicí účty a ostatní netermínované vklady</w:t>
      </w:r>
    </w:p>
    <w:p w14:paraId="2DEA7B90" w14:textId="77777777" w:rsidR="00710980" w:rsidRPr="00CB3C36" w:rsidRDefault="00710980" w:rsidP="00710980">
      <w:pPr>
        <w:tabs>
          <w:tab w:val="left" w:pos="5529"/>
        </w:tabs>
        <w:jc w:val="both"/>
        <w:rPr>
          <w:rFonts w:asciiTheme="minorHAnsi" w:hAnsiTheme="minorHAnsi"/>
          <w:bCs/>
          <w:sz w:val="20"/>
        </w:rPr>
      </w:pPr>
      <w:r w:rsidRPr="00F94A9C">
        <w:rPr>
          <w:rFonts w:asciiTheme="minorHAnsi" w:hAnsiTheme="minorHAnsi"/>
          <w:bCs/>
          <w:sz w:val="20"/>
        </w:rPr>
        <w:t xml:space="preserve">  Zpracováno z dat ČNB</w:t>
      </w:r>
    </w:p>
    <w:p w14:paraId="17930806" w14:textId="77777777" w:rsidR="00710980" w:rsidRPr="00100A07" w:rsidRDefault="00710980" w:rsidP="00710980">
      <w:pPr>
        <w:spacing w:line="360" w:lineRule="auto"/>
        <w:jc w:val="both"/>
        <w:rPr>
          <w:rFonts w:asciiTheme="minorHAnsi" w:hAnsiTheme="minorHAnsi"/>
        </w:rPr>
      </w:pPr>
    </w:p>
    <w:p w14:paraId="7EA7974E" w14:textId="77777777" w:rsidR="00710980" w:rsidRPr="00100A07" w:rsidRDefault="00710980" w:rsidP="00710980">
      <w:pPr>
        <w:spacing w:after="360" w:line="360" w:lineRule="auto"/>
        <w:ind w:firstLine="708"/>
        <w:jc w:val="both"/>
        <w:rPr>
          <w:rFonts w:asciiTheme="minorHAnsi" w:hAnsiTheme="minorHAnsi"/>
          <w:sz w:val="26"/>
          <w:szCs w:val="26"/>
        </w:rPr>
      </w:pPr>
      <w:r w:rsidRPr="00100A07">
        <w:rPr>
          <w:rFonts w:asciiTheme="minorHAnsi" w:hAnsiTheme="minorHAnsi"/>
          <w:sz w:val="26"/>
          <w:szCs w:val="26"/>
        </w:rPr>
        <w:t xml:space="preserve">Skladba přírůstku bankovních vkladů domácností se od roku 2008 výrazně změnila </w:t>
      </w:r>
      <w:r w:rsidRPr="00100A07">
        <w:rPr>
          <w:rFonts w:asciiTheme="minorHAnsi" w:hAnsiTheme="minorHAnsi"/>
          <w:bCs/>
          <w:sz w:val="26"/>
          <w:szCs w:val="26"/>
        </w:rPr>
        <w:t xml:space="preserve">– </w:t>
      </w:r>
      <w:r w:rsidRPr="00100A07">
        <w:rPr>
          <w:rFonts w:asciiTheme="minorHAnsi" w:hAnsiTheme="minorHAnsi"/>
          <w:sz w:val="26"/>
          <w:szCs w:val="26"/>
        </w:rPr>
        <w:t xml:space="preserve">viz předchozí graf. </w:t>
      </w:r>
      <w:r w:rsidRPr="00100A07">
        <w:rPr>
          <w:rFonts w:asciiTheme="minorHAnsi" w:hAnsiTheme="minorHAnsi"/>
          <w:bCs/>
          <w:sz w:val="26"/>
          <w:szCs w:val="26"/>
        </w:rPr>
        <w:t xml:space="preserve">Při </w:t>
      </w:r>
      <w:r w:rsidRPr="00100A07">
        <w:rPr>
          <w:rFonts w:asciiTheme="minorHAnsi" w:hAnsiTheme="minorHAnsi"/>
          <w:sz w:val="26"/>
          <w:szCs w:val="26"/>
        </w:rPr>
        <w:t xml:space="preserve">jednoznačné </w:t>
      </w:r>
      <w:r w:rsidRPr="00100A07">
        <w:rPr>
          <w:rFonts w:asciiTheme="minorHAnsi" w:hAnsiTheme="minorHAnsi"/>
          <w:bCs/>
          <w:sz w:val="26"/>
          <w:szCs w:val="26"/>
        </w:rPr>
        <w:t>orientaci na tvorbu úspor v tuzemské měně</w:t>
      </w:r>
      <w:r w:rsidRPr="00100A07">
        <w:rPr>
          <w:rFonts w:asciiTheme="minorHAnsi" w:hAnsiTheme="minorHAnsi"/>
          <w:sz w:val="26"/>
          <w:szCs w:val="26"/>
        </w:rPr>
        <w:t xml:space="preserve"> (96,4 %) </w:t>
      </w:r>
      <w:r w:rsidRPr="00100A07">
        <w:rPr>
          <w:rFonts w:asciiTheme="minorHAnsi" w:hAnsiTheme="minorHAnsi"/>
          <w:b/>
          <w:sz w:val="26"/>
          <w:szCs w:val="26"/>
        </w:rPr>
        <w:t>domácnosti dávaly výhradně přednost spoření v</w:t>
      </w:r>
      <w:r w:rsidRPr="00100A07">
        <w:rPr>
          <w:rFonts w:asciiTheme="minorHAnsi" w:hAnsiTheme="minorHAnsi"/>
          <w:sz w:val="26"/>
          <w:szCs w:val="26"/>
        </w:rPr>
        <w:t xml:space="preserve"> jejich </w:t>
      </w:r>
      <w:r w:rsidRPr="00100A07">
        <w:rPr>
          <w:rFonts w:asciiTheme="minorHAnsi" w:hAnsiTheme="minorHAnsi"/>
          <w:b/>
          <w:bCs/>
          <w:sz w:val="26"/>
          <w:szCs w:val="26"/>
        </w:rPr>
        <w:t xml:space="preserve">netermínované formě </w:t>
      </w:r>
      <w:r w:rsidRPr="00100A07">
        <w:rPr>
          <w:rFonts w:asciiTheme="minorHAnsi" w:hAnsiTheme="minorHAnsi"/>
          <w:bCs/>
          <w:sz w:val="26"/>
          <w:szCs w:val="26"/>
        </w:rPr>
        <w:t xml:space="preserve">(meziročně vzrostly o 384,3 mld. Kč). </w:t>
      </w:r>
      <w:r w:rsidRPr="00100A07">
        <w:rPr>
          <w:rFonts w:asciiTheme="minorHAnsi" w:hAnsiTheme="minorHAnsi"/>
          <w:b/>
          <w:bCs/>
          <w:sz w:val="26"/>
          <w:szCs w:val="26"/>
        </w:rPr>
        <w:t xml:space="preserve">Termínové vklady, </w:t>
      </w:r>
      <w:r w:rsidRPr="00100A07">
        <w:rPr>
          <w:rFonts w:asciiTheme="minorHAnsi" w:hAnsiTheme="minorHAnsi"/>
          <w:bCs/>
          <w:sz w:val="26"/>
          <w:szCs w:val="26"/>
        </w:rPr>
        <w:t xml:space="preserve">jejichž objem od konce roku 2009 klesal 34 čtvrtletí v řadě a poté v letech 2018 a 2019 zaznamenal mírný nárůst, </w:t>
      </w:r>
      <w:r w:rsidRPr="00100A07">
        <w:rPr>
          <w:rFonts w:asciiTheme="minorHAnsi" w:hAnsiTheme="minorHAnsi"/>
          <w:b/>
          <w:bCs/>
          <w:sz w:val="26"/>
          <w:szCs w:val="26"/>
        </w:rPr>
        <w:t>se</w:t>
      </w:r>
      <w:r w:rsidRPr="00100A07">
        <w:rPr>
          <w:rFonts w:asciiTheme="minorHAnsi" w:hAnsiTheme="minorHAnsi"/>
          <w:bCs/>
          <w:sz w:val="26"/>
          <w:szCs w:val="26"/>
        </w:rPr>
        <w:t xml:space="preserve"> </w:t>
      </w:r>
      <w:r w:rsidRPr="00100A07">
        <w:rPr>
          <w:rFonts w:asciiTheme="minorHAnsi" w:hAnsiTheme="minorHAnsi"/>
          <w:b/>
          <w:bCs/>
          <w:sz w:val="26"/>
          <w:szCs w:val="26"/>
        </w:rPr>
        <w:t xml:space="preserve">v minulém roce </w:t>
      </w:r>
      <w:r w:rsidRPr="00100A07">
        <w:rPr>
          <w:rFonts w:asciiTheme="minorHAnsi" w:hAnsiTheme="minorHAnsi"/>
          <w:sz w:val="26"/>
          <w:szCs w:val="26"/>
        </w:rPr>
        <w:t>znovu</w:t>
      </w:r>
      <w:r w:rsidRPr="00100A07">
        <w:rPr>
          <w:rFonts w:asciiTheme="minorHAnsi" w:hAnsiTheme="minorHAnsi"/>
          <w:b/>
          <w:bCs/>
          <w:sz w:val="26"/>
          <w:szCs w:val="26"/>
        </w:rPr>
        <w:t xml:space="preserve"> výrazně propadly </w:t>
      </w:r>
      <w:r w:rsidRPr="00100A07">
        <w:rPr>
          <w:rFonts w:asciiTheme="minorHAnsi" w:hAnsiTheme="minorHAnsi"/>
          <w:sz w:val="26"/>
          <w:szCs w:val="26"/>
        </w:rPr>
        <w:t>(o 53,0 mld. Kč).</w:t>
      </w:r>
      <w:r w:rsidRPr="00100A07">
        <w:rPr>
          <w:rFonts w:asciiTheme="minorHAnsi" w:hAnsiTheme="minorHAnsi"/>
          <w:b/>
          <w:bCs/>
          <w:sz w:val="26"/>
          <w:szCs w:val="26"/>
        </w:rPr>
        <w:t xml:space="preserve"> </w:t>
      </w:r>
      <w:r w:rsidRPr="00C5537A">
        <w:rPr>
          <w:rFonts w:asciiTheme="minorHAnsi" w:hAnsiTheme="minorHAnsi"/>
          <w:sz w:val="26"/>
          <w:szCs w:val="26"/>
        </w:rPr>
        <w:t>J</w:t>
      </w:r>
      <w:r w:rsidRPr="00100A07">
        <w:rPr>
          <w:rFonts w:asciiTheme="minorHAnsi" w:hAnsiTheme="minorHAnsi"/>
          <w:bCs/>
          <w:sz w:val="26"/>
          <w:szCs w:val="26"/>
        </w:rPr>
        <w:t xml:space="preserve">ednalo </w:t>
      </w:r>
      <w:r>
        <w:rPr>
          <w:rFonts w:asciiTheme="minorHAnsi" w:hAnsiTheme="minorHAnsi"/>
          <w:bCs/>
          <w:sz w:val="26"/>
          <w:szCs w:val="26"/>
        </w:rPr>
        <w:t xml:space="preserve">se </w:t>
      </w:r>
      <w:r w:rsidRPr="00100A07">
        <w:rPr>
          <w:rFonts w:asciiTheme="minorHAnsi" w:hAnsiTheme="minorHAnsi"/>
          <w:bCs/>
          <w:sz w:val="26"/>
          <w:szCs w:val="26"/>
        </w:rPr>
        <w:t xml:space="preserve">jednak o reakci na nízké úročení, které mělo problém zhodnocovat vklady nad úroveň inflace, a také o obavu tvořit méně likvidní formu úspor. </w:t>
      </w:r>
      <w:r w:rsidRPr="00100A07">
        <w:rPr>
          <w:rFonts w:asciiTheme="minorHAnsi" w:hAnsiTheme="minorHAnsi" w:cs="Arial"/>
          <w:bCs/>
          <w:sz w:val="26"/>
          <w:szCs w:val="26"/>
        </w:rPr>
        <w:t xml:space="preserve">Objem vkladů </w:t>
      </w:r>
      <w:r w:rsidRPr="00100A07">
        <w:rPr>
          <w:rFonts w:asciiTheme="minorHAnsi" w:hAnsiTheme="minorHAnsi" w:cs="Arial"/>
          <w:sz w:val="26"/>
          <w:szCs w:val="26"/>
        </w:rPr>
        <w:t>ve</w:t>
      </w:r>
      <w:r w:rsidRPr="00100A07">
        <w:rPr>
          <w:rFonts w:asciiTheme="minorHAnsi" w:hAnsiTheme="minorHAnsi" w:cs="Arial"/>
          <w:bCs/>
          <w:sz w:val="26"/>
          <w:szCs w:val="26"/>
        </w:rPr>
        <w:t xml:space="preserve"> stavebním spoření však mírně stoupl</w:t>
      </w:r>
      <w:r w:rsidRPr="00100A07">
        <w:rPr>
          <w:rFonts w:asciiTheme="minorHAnsi" w:hAnsiTheme="minorHAnsi" w:cs="Arial"/>
          <w:b/>
          <w:bCs/>
          <w:sz w:val="26"/>
          <w:szCs w:val="26"/>
        </w:rPr>
        <w:t xml:space="preserve"> </w:t>
      </w:r>
      <w:r w:rsidRPr="00100A07">
        <w:rPr>
          <w:rFonts w:asciiTheme="minorHAnsi" w:hAnsiTheme="minorHAnsi" w:cs="Arial"/>
          <w:bCs/>
          <w:sz w:val="26"/>
          <w:szCs w:val="26"/>
        </w:rPr>
        <w:t>a dosáhl úrovně 352,0 mld. Kč, což bylo meziročně o 1,7 mld. Kč více.</w:t>
      </w:r>
    </w:p>
    <w:p w14:paraId="7E649653" w14:textId="77777777" w:rsidR="00710980" w:rsidRPr="00100A07" w:rsidRDefault="00710980" w:rsidP="00710980">
      <w:pPr>
        <w:spacing w:line="360" w:lineRule="auto"/>
        <w:jc w:val="both"/>
        <w:rPr>
          <w:rFonts w:asciiTheme="minorHAnsi" w:hAnsiTheme="minorHAnsi"/>
        </w:rPr>
      </w:pPr>
    </w:p>
    <w:p w14:paraId="1A479516" w14:textId="77777777" w:rsidR="00710980" w:rsidRPr="00735201" w:rsidRDefault="00710980" w:rsidP="00730D63">
      <w:pPr>
        <w:spacing w:after="360"/>
        <w:jc w:val="both"/>
        <w:rPr>
          <w:rFonts w:asciiTheme="minorHAnsi" w:hAnsiTheme="minorHAnsi"/>
          <w:b/>
          <w:bCs/>
          <w:smallCaps/>
          <w:color w:val="365F91" w:themeColor="accent1" w:themeShade="BF"/>
          <w:sz w:val="36"/>
          <w:szCs w:val="36"/>
        </w:rPr>
      </w:pPr>
    </w:p>
    <w:p w14:paraId="62D87D74" w14:textId="77777777" w:rsidR="000F09FF" w:rsidRPr="00C41073" w:rsidRDefault="000F09FF" w:rsidP="000F09FF">
      <w:pPr>
        <w:spacing w:after="200" w:line="276" w:lineRule="auto"/>
        <w:rPr>
          <w:rFonts w:asciiTheme="minorHAnsi" w:hAnsiTheme="minorHAnsi"/>
          <w:b/>
          <w:bCs/>
          <w:i/>
          <w:sz w:val="32"/>
          <w:szCs w:val="32"/>
        </w:rPr>
      </w:pPr>
      <w:r w:rsidRPr="00C41073">
        <w:rPr>
          <w:rFonts w:asciiTheme="minorHAnsi" w:hAnsiTheme="minorHAnsi"/>
          <w:b/>
          <w:bCs/>
          <w:i/>
          <w:sz w:val="32"/>
          <w:szCs w:val="32"/>
        </w:rPr>
        <w:br w:type="page"/>
      </w:r>
    </w:p>
    <w:p w14:paraId="2B8A8166" w14:textId="77777777" w:rsidR="00161851" w:rsidRPr="001F4BEC" w:rsidRDefault="00161851" w:rsidP="00161851">
      <w:pPr>
        <w:pStyle w:val="Nadpis1"/>
        <w:numPr>
          <w:ilvl w:val="0"/>
          <w:numId w:val="3"/>
        </w:numPr>
        <w:spacing w:after="360" w:line="240" w:lineRule="auto"/>
        <w:rPr>
          <w:rFonts w:asciiTheme="minorHAnsi" w:hAnsiTheme="minorHAnsi"/>
          <w:smallCaps/>
          <w:color w:val="1F497D"/>
          <w:sz w:val="44"/>
        </w:rPr>
      </w:pPr>
      <w:r w:rsidRPr="001F4BEC">
        <w:rPr>
          <w:rFonts w:asciiTheme="minorHAnsi" w:hAnsiTheme="minorHAnsi"/>
          <w:smallCaps/>
          <w:color w:val="1F497D"/>
          <w:sz w:val="44"/>
        </w:rPr>
        <w:lastRenderedPageBreak/>
        <w:t>Vývoj na počátku roku 2021 a predikce na další období</w:t>
      </w:r>
    </w:p>
    <w:p w14:paraId="7B92E823" w14:textId="77777777" w:rsidR="00161851" w:rsidRDefault="00161851" w:rsidP="00161851">
      <w:pPr>
        <w:pStyle w:val="xmsonormal"/>
        <w:spacing w:after="240" w:afterAutospacing="0" w:line="360" w:lineRule="auto"/>
        <w:jc w:val="both"/>
      </w:pPr>
      <w:r w:rsidRPr="00CB3C36">
        <w:rPr>
          <w:rFonts w:asciiTheme="minorHAnsi" w:hAnsiTheme="minorHAnsi"/>
        </w:rPr>
        <w:tab/>
      </w:r>
      <w:r>
        <w:rPr>
          <w:rFonts w:ascii="Calibri" w:hAnsi="Calibri" w:cs="Calibri"/>
          <w:sz w:val="26"/>
          <w:szCs w:val="26"/>
        </w:rPr>
        <w:t xml:space="preserve">V roce 2021 by mohla odeznít hlavní opatření proti pandemii viru SARS-CoV-2. Za tohoto předpokladu by se růst hrubého domácího produktu v letošním roce mohl pohybovat v kladných hodnotách. Přesto je nutné vzít v úvahu, že odhad hrubého domácího produktu pro rok 2021 je zatížen velkou mírou nejistoty. </w:t>
      </w:r>
    </w:p>
    <w:p w14:paraId="4DE08EDC" w14:textId="77777777" w:rsidR="00161851" w:rsidRPr="001F4BEC" w:rsidRDefault="00161851" w:rsidP="00161851">
      <w:pPr>
        <w:pStyle w:val="xmsonormal"/>
        <w:spacing w:after="600" w:afterAutospacing="0"/>
        <w:ind w:left="708"/>
        <w:jc w:val="both"/>
        <w:rPr>
          <w:rFonts w:asciiTheme="minorHAnsi" w:hAnsiTheme="minorHAnsi"/>
          <w:b/>
          <w:bCs/>
          <w:sz w:val="26"/>
          <w:szCs w:val="26"/>
        </w:rPr>
      </w:pPr>
      <w:r>
        <w:rPr>
          <w:rFonts w:ascii="Calibri" w:hAnsi="Calibri" w:cs="Calibri"/>
          <w:b/>
          <w:bCs/>
          <w:sz w:val="26"/>
          <w:szCs w:val="26"/>
          <w:u w:val="single"/>
        </w:rPr>
        <w:t>Za celý rok 2021 očekáváme růst HDP kolem 2,7 % a v roce 2022 (za příznivých podmínek) meziroční růst HDP v rozmezí 2,5 až 3,5 %.</w:t>
      </w:r>
    </w:p>
    <w:p w14:paraId="3AD56969" w14:textId="77777777" w:rsidR="00161851" w:rsidRPr="001F4BEC" w:rsidRDefault="00161851" w:rsidP="00161851">
      <w:pPr>
        <w:spacing w:after="240" w:line="360" w:lineRule="auto"/>
        <w:jc w:val="both"/>
        <w:rPr>
          <w:rFonts w:asciiTheme="minorHAnsi" w:hAnsiTheme="minorHAnsi"/>
          <w:b/>
          <w:bCs/>
          <w:sz w:val="26"/>
          <w:szCs w:val="26"/>
        </w:rPr>
      </w:pPr>
      <w:r w:rsidRPr="001F4BEC">
        <w:rPr>
          <w:rFonts w:asciiTheme="minorHAnsi" w:hAnsiTheme="minorHAnsi"/>
          <w:b/>
          <w:sz w:val="26"/>
          <w:szCs w:val="26"/>
        </w:rPr>
        <w:tab/>
      </w:r>
      <w:r w:rsidRPr="001F4BEC">
        <w:rPr>
          <w:rFonts w:asciiTheme="minorHAnsi" w:hAnsiTheme="minorHAnsi"/>
          <w:b/>
          <w:bCs/>
          <w:sz w:val="26"/>
          <w:szCs w:val="26"/>
        </w:rPr>
        <w:t>Z oblastí ovlivňujících příjmy domácností</w:t>
      </w:r>
      <w:r w:rsidRPr="001F4BEC">
        <w:rPr>
          <w:rFonts w:asciiTheme="minorHAnsi" w:hAnsiTheme="minorHAnsi"/>
          <w:sz w:val="26"/>
          <w:szCs w:val="26"/>
        </w:rPr>
        <w:t xml:space="preserve"> jsou prozatím jedinými dostupnými údaji základní </w:t>
      </w:r>
      <w:r w:rsidRPr="001F4BEC">
        <w:rPr>
          <w:rFonts w:asciiTheme="minorHAnsi" w:hAnsiTheme="minorHAnsi"/>
          <w:b/>
          <w:bCs/>
          <w:sz w:val="26"/>
          <w:szCs w:val="26"/>
        </w:rPr>
        <w:t xml:space="preserve">data o mzdách v průmyslu a ve stavebnictví za první dva měsíce letošního roku, </w:t>
      </w:r>
      <w:r w:rsidRPr="001F4BEC">
        <w:rPr>
          <w:rFonts w:asciiTheme="minorHAnsi" w:hAnsiTheme="minorHAnsi"/>
          <w:sz w:val="26"/>
          <w:szCs w:val="26"/>
        </w:rPr>
        <w:t>z nichž</w:t>
      </w:r>
      <w:r w:rsidRPr="001F4BEC">
        <w:rPr>
          <w:rFonts w:asciiTheme="minorHAnsi" w:hAnsiTheme="minorHAnsi"/>
          <w:b/>
          <w:bCs/>
          <w:sz w:val="26"/>
          <w:szCs w:val="26"/>
        </w:rPr>
        <w:t xml:space="preserve"> </w:t>
      </w:r>
      <w:r w:rsidRPr="001F4BEC">
        <w:rPr>
          <w:rFonts w:asciiTheme="minorHAnsi" w:hAnsiTheme="minorHAnsi"/>
          <w:sz w:val="26"/>
          <w:szCs w:val="26"/>
        </w:rPr>
        <w:t xml:space="preserve">vyplynuly tyto </w:t>
      </w:r>
      <w:r w:rsidRPr="001F4BEC">
        <w:rPr>
          <w:rFonts w:asciiTheme="minorHAnsi" w:hAnsiTheme="minorHAnsi"/>
          <w:b/>
          <w:bCs/>
          <w:sz w:val="26"/>
          <w:szCs w:val="26"/>
        </w:rPr>
        <w:t>dílčí poznatky:</w:t>
      </w:r>
    </w:p>
    <w:p w14:paraId="2839B2AB" w14:textId="77777777" w:rsidR="00161851" w:rsidRPr="001F4BEC" w:rsidRDefault="00161851" w:rsidP="00161851">
      <w:pPr>
        <w:numPr>
          <w:ilvl w:val="0"/>
          <w:numId w:val="27"/>
        </w:numPr>
        <w:spacing w:after="240" w:line="360" w:lineRule="auto"/>
        <w:ind w:left="703" w:hanging="703"/>
        <w:jc w:val="both"/>
        <w:rPr>
          <w:rFonts w:asciiTheme="minorHAnsi" w:hAnsiTheme="minorHAnsi" w:cs="Arial"/>
          <w:sz w:val="26"/>
          <w:szCs w:val="26"/>
        </w:rPr>
      </w:pPr>
      <w:r w:rsidRPr="001F4BEC">
        <w:rPr>
          <w:rFonts w:asciiTheme="minorHAnsi" w:hAnsiTheme="minorHAnsi" w:cs="Arial"/>
          <w:b/>
          <w:bCs/>
          <w:sz w:val="26"/>
          <w:szCs w:val="26"/>
        </w:rPr>
        <w:t xml:space="preserve">v lednu a v únoru 2021 došlo v </w:t>
      </w:r>
      <w:r w:rsidRPr="001F4BEC">
        <w:rPr>
          <w:rFonts w:asciiTheme="minorHAnsi" w:hAnsiTheme="minorHAnsi" w:cs="Arial"/>
          <w:sz w:val="26"/>
          <w:szCs w:val="26"/>
        </w:rPr>
        <w:t>odvětví</w:t>
      </w:r>
      <w:r w:rsidRPr="001F4BEC">
        <w:rPr>
          <w:rFonts w:asciiTheme="minorHAnsi" w:hAnsiTheme="minorHAnsi" w:cs="Arial"/>
          <w:b/>
          <w:bCs/>
          <w:sz w:val="26"/>
          <w:szCs w:val="26"/>
        </w:rPr>
        <w:t xml:space="preserve"> průmyslu</w:t>
      </w:r>
      <w:r w:rsidRPr="001F4BEC">
        <w:rPr>
          <w:rFonts w:asciiTheme="minorHAnsi" w:hAnsiTheme="minorHAnsi" w:cs="Arial"/>
          <w:sz w:val="26"/>
          <w:szCs w:val="26"/>
        </w:rPr>
        <w:t xml:space="preserve"> </w:t>
      </w:r>
      <w:r w:rsidRPr="001F4BEC">
        <w:rPr>
          <w:rFonts w:asciiTheme="minorHAnsi" w:hAnsiTheme="minorHAnsi" w:cs="Arial"/>
          <w:b/>
          <w:bCs/>
          <w:sz w:val="26"/>
          <w:szCs w:val="26"/>
        </w:rPr>
        <w:t>k meziročnímu poklesu</w:t>
      </w:r>
      <w:r w:rsidRPr="001F4BEC">
        <w:rPr>
          <w:rFonts w:asciiTheme="minorHAnsi" w:hAnsiTheme="minorHAnsi" w:cs="Arial"/>
          <w:sz w:val="26"/>
          <w:szCs w:val="26"/>
        </w:rPr>
        <w:t xml:space="preserve"> průměrného evidenčního </w:t>
      </w:r>
      <w:r w:rsidRPr="001F4BEC">
        <w:rPr>
          <w:rFonts w:asciiTheme="minorHAnsi" w:hAnsiTheme="minorHAnsi" w:cs="Arial"/>
          <w:b/>
          <w:bCs/>
          <w:sz w:val="26"/>
          <w:szCs w:val="26"/>
        </w:rPr>
        <w:t>počtu zaměstnanců</w:t>
      </w:r>
      <w:r w:rsidRPr="001F4BEC">
        <w:rPr>
          <w:rFonts w:asciiTheme="minorHAnsi" w:hAnsiTheme="minorHAnsi" w:cs="Arial"/>
          <w:sz w:val="26"/>
          <w:szCs w:val="26"/>
        </w:rPr>
        <w:t xml:space="preserve"> (v lednu o 3,5 % a v únoru o</w:t>
      </w:r>
      <w:r>
        <w:rPr>
          <w:rFonts w:asciiTheme="minorHAnsi" w:hAnsiTheme="minorHAnsi" w:cs="Arial"/>
          <w:sz w:val="26"/>
          <w:szCs w:val="26"/>
        </w:rPr>
        <w:t> </w:t>
      </w:r>
      <w:r w:rsidRPr="001F4BEC">
        <w:rPr>
          <w:rFonts w:asciiTheme="minorHAnsi" w:hAnsiTheme="minorHAnsi" w:cs="Arial"/>
          <w:sz w:val="26"/>
          <w:szCs w:val="26"/>
        </w:rPr>
        <w:t xml:space="preserve">3,3 %), </w:t>
      </w:r>
      <w:r w:rsidRPr="001F4BEC">
        <w:rPr>
          <w:rFonts w:asciiTheme="minorHAnsi" w:hAnsiTheme="minorHAnsi" w:cs="Arial"/>
          <w:b/>
          <w:bCs/>
          <w:sz w:val="26"/>
          <w:szCs w:val="26"/>
        </w:rPr>
        <w:t>ve stavebních podnicích</w:t>
      </w:r>
      <w:r w:rsidRPr="001F4BEC">
        <w:rPr>
          <w:rFonts w:asciiTheme="minorHAnsi" w:hAnsiTheme="minorHAnsi" w:cs="Arial"/>
          <w:sz w:val="26"/>
          <w:szCs w:val="26"/>
        </w:rPr>
        <w:t xml:space="preserve"> se </w:t>
      </w:r>
      <w:r w:rsidRPr="001F4BEC">
        <w:rPr>
          <w:rFonts w:asciiTheme="minorHAnsi" w:hAnsiTheme="minorHAnsi" w:cs="Arial"/>
          <w:b/>
          <w:bCs/>
          <w:sz w:val="26"/>
          <w:szCs w:val="26"/>
        </w:rPr>
        <w:t>jejich počet</w:t>
      </w:r>
      <w:r w:rsidRPr="001F4BEC">
        <w:rPr>
          <w:rFonts w:asciiTheme="minorHAnsi" w:hAnsiTheme="minorHAnsi" w:cs="Arial"/>
          <w:sz w:val="26"/>
          <w:szCs w:val="26"/>
        </w:rPr>
        <w:t xml:space="preserve"> meziročně </w:t>
      </w:r>
      <w:r w:rsidRPr="001F4BEC">
        <w:rPr>
          <w:rFonts w:asciiTheme="minorHAnsi" w:hAnsiTheme="minorHAnsi" w:cs="Arial"/>
          <w:b/>
          <w:sz w:val="26"/>
          <w:szCs w:val="26"/>
        </w:rPr>
        <w:t>zvýšil</w:t>
      </w:r>
      <w:r w:rsidRPr="001F4BEC">
        <w:rPr>
          <w:rFonts w:asciiTheme="minorHAnsi" w:hAnsiTheme="minorHAnsi" w:cs="Arial"/>
          <w:b/>
          <w:bCs/>
          <w:sz w:val="26"/>
          <w:szCs w:val="26"/>
        </w:rPr>
        <w:t xml:space="preserve"> </w:t>
      </w:r>
      <w:r w:rsidRPr="001F4BEC">
        <w:rPr>
          <w:rFonts w:asciiTheme="minorHAnsi" w:hAnsiTheme="minorHAnsi" w:cs="Arial"/>
          <w:sz w:val="26"/>
          <w:szCs w:val="26"/>
        </w:rPr>
        <w:t>v lednu (o</w:t>
      </w:r>
      <w:r>
        <w:rPr>
          <w:rFonts w:asciiTheme="minorHAnsi" w:hAnsiTheme="minorHAnsi" w:cs="Arial"/>
          <w:sz w:val="26"/>
          <w:szCs w:val="26"/>
        </w:rPr>
        <w:t> </w:t>
      </w:r>
      <w:r w:rsidRPr="001F4BEC">
        <w:rPr>
          <w:rFonts w:asciiTheme="minorHAnsi" w:hAnsiTheme="minorHAnsi" w:cs="Arial"/>
          <w:sz w:val="26"/>
          <w:szCs w:val="26"/>
        </w:rPr>
        <w:t>0,7 %) a</w:t>
      </w:r>
      <w:r>
        <w:rPr>
          <w:rFonts w:asciiTheme="minorHAnsi" w:hAnsiTheme="minorHAnsi" w:cs="Arial"/>
          <w:sz w:val="26"/>
          <w:szCs w:val="26"/>
        </w:rPr>
        <w:t xml:space="preserve"> </w:t>
      </w:r>
      <w:r w:rsidRPr="001F4BEC">
        <w:rPr>
          <w:rFonts w:asciiTheme="minorHAnsi" w:hAnsiTheme="minorHAnsi" w:cs="Arial"/>
          <w:sz w:val="26"/>
          <w:szCs w:val="26"/>
        </w:rPr>
        <w:t>v</w:t>
      </w:r>
      <w:r>
        <w:rPr>
          <w:rFonts w:asciiTheme="minorHAnsi" w:hAnsiTheme="minorHAnsi" w:cs="Arial"/>
          <w:sz w:val="26"/>
          <w:szCs w:val="26"/>
        </w:rPr>
        <w:t xml:space="preserve"> </w:t>
      </w:r>
      <w:r w:rsidRPr="001F4BEC">
        <w:rPr>
          <w:rFonts w:asciiTheme="minorHAnsi" w:hAnsiTheme="minorHAnsi" w:cs="Arial"/>
          <w:sz w:val="26"/>
          <w:szCs w:val="26"/>
        </w:rPr>
        <w:t xml:space="preserve">únoru </w:t>
      </w:r>
      <w:r w:rsidRPr="001F4BEC">
        <w:rPr>
          <w:rFonts w:asciiTheme="minorHAnsi" w:hAnsiTheme="minorHAnsi" w:cs="Arial"/>
          <w:b/>
          <w:bCs/>
          <w:sz w:val="26"/>
          <w:szCs w:val="26"/>
        </w:rPr>
        <w:t>snížil</w:t>
      </w:r>
      <w:r w:rsidRPr="001F4BEC">
        <w:rPr>
          <w:rFonts w:asciiTheme="minorHAnsi" w:hAnsiTheme="minorHAnsi" w:cs="Arial"/>
          <w:sz w:val="26"/>
          <w:szCs w:val="26"/>
        </w:rPr>
        <w:t xml:space="preserve"> (o 1,8 %), </w:t>
      </w:r>
    </w:p>
    <w:p w14:paraId="48881593" w14:textId="77777777" w:rsidR="00161851" w:rsidRPr="001F4BEC" w:rsidRDefault="00161851" w:rsidP="00161851">
      <w:pPr>
        <w:numPr>
          <w:ilvl w:val="0"/>
          <w:numId w:val="27"/>
        </w:numPr>
        <w:spacing w:after="360" w:line="360" w:lineRule="auto"/>
        <w:ind w:left="703" w:hanging="703"/>
        <w:jc w:val="both"/>
        <w:rPr>
          <w:rFonts w:asciiTheme="minorHAnsi" w:hAnsiTheme="minorHAnsi" w:cs="Arial"/>
          <w:sz w:val="26"/>
          <w:szCs w:val="26"/>
        </w:rPr>
      </w:pPr>
      <w:r w:rsidRPr="001F4BEC">
        <w:rPr>
          <w:rFonts w:asciiTheme="minorHAnsi" w:hAnsiTheme="minorHAnsi" w:cs="Arial"/>
          <w:b/>
          <w:bCs/>
          <w:sz w:val="26"/>
          <w:szCs w:val="26"/>
        </w:rPr>
        <w:t>průměrná</w:t>
      </w:r>
      <w:r w:rsidRPr="001F4BEC">
        <w:rPr>
          <w:rFonts w:asciiTheme="minorHAnsi" w:hAnsiTheme="minorHAnsi" w:cs="Arial"/>
          <w:sz w:val="26"/>
          <w:szCs w:val="26"/>
        </w:rPr>
        <w:t xml:space="preserve"> </w:t>
      </w:r>
      <w:r w:rsidRPr="001F4BEC">
        <w:rPr>
          <w:rFonts w:asciiTheme="minorHAnsi" w:hAnsiTheme="minorHAnsi" w:cstheme="minorHAnsi"/>
          <w:sz w:val="26"/>
          <w:szCs w:val="26"/>
        </w:rPr>
        <w:t xml:space="preserve">měsíční </w:t>
      </w:r>
      <w:r w:rsidRPr="001F4BEC">
        <w:rPr>
          <w:rFonts w:asciiTheme="minorHAnsi" w:hAnsiTheme="minorHAnsi" w:cstheme="minorHAnsi"/>
          <w:b/>
          <w:bCs/>
          <w:sz w:val="26"/>
          <w:szCs w:val="26"/>
        </w:rPr>
        <w:t xml:space="preserve">nominální mzda </w:t>
      </w:r>
      <w:r w:rsidRPr="001F4BEC">
        <w:rPr>
          <w:rFonts w:asciiTheme="minorHAnsi" w:hAnsiTheme="minorHAnsi" w:cstheme="minorHAnsi"/>
          <w:bCs/>
          <w:sz w:val="26"/>
          <w:szCs w:val="26"/>
        </w:rPr>
        <w:t xml:space="preserve">těchto </w:t>
      </w:r>
      <w:r w:rsidRPr="001F4BEC">
        <w:rPr>
          <w:rFonts w:asciiTheme="minorHAnsi" w:hAnsiTheme="minorHAnsi" w:cstheme="minorHAnsi"/>
          <w:sz w:val="26"/>
          <w:szCs w:val="26"/>
        </w:rPr>
        <w:t xml:space="preserve">zaměstnanců </w:t>
      </w:r>
      <w:r w:rsidRPr="001F4BEC">
        <w:rPr>
          <w:rFonts w:asciiTheme="minorHAnsi" w:hAnsiTheme="minorHAnsi" w:cstheme="minorHAnsi"/>
          <w:b/>
          <w:bCs/>
          <w:sz w:val="26"/>
          <w:szCs w:val="26"/>
        </w:rPr>
        <w:t>v</w:t>
      </w:r>
      <w:r>
        <w:rPr>
          <w:rFonts w:asciiTheme="minorHAnsi" w:hAnsiTheme="minorHAnsi" w:cstheme="minorHAnsi"/>
          <w:b/>
          <w:bCs/>
          <w:sz w:val="26"/>
          <w:szCs w:val="26"/>
        </w:rPr>
        <w:t xml:space="preserve"> </w:t>
      </w:r>
      <w:r w:rsidRPr="001F4BEC">
        <w:rPr>
          <w:rFonts w:asciiTheme="minorHAnsi" w:hAnsiTheme="minorHAnsi" w:cstheme="minorHAnsi"/>
          <w:b/>
          <w:bCs/>
          <w:sz w:val="26"/>
          <w:szCs w:val="26"/>
        </w:rPr>
        <w:t>průmyslu v lednu</w:t>
      </w:r>
      <w:r w:rsidRPr="001F4BEC">
        <w:rPr>
          <w:rFonts w:asciiTheme="minorHAnsi" w:hAnsiTheme="minorHAnsi" w:cstheme="minorHAnsi"/>
          <w:sz w:val="26"/>
          <w:szCs w:val="26"/>
        </w:rPr>
        <w:t xml:space="preserve"> meziročně </w:t>
      </w:r>
      <w:r w:rsidRPr="001F4BEC">
        <w:rPr>
          <w:rFonts w:asciiTheme="minorHAnsi" w:hAnsiTheme="minorHAnsi" w:cstheme="minorHAnsi"/>
          <w:b/>
          <w:bCs/>
          <w:sz w:val="26"/>
          <w:szCs w:val="26"/>
        </w:rPr>
        <w:t>vzrostla o</w:t>
      </w:r>
      <w:r>
        <w:rPr>
          <w:rFonts w:asciiTheme="minorHAnsi" w:hAnsiTheme="minorHAnsi" w:cstheme="minorHAnsi"/>
          <w:b/>
          <w:bCs/>
          <w:sz w:val="26"/>
          <w:szCs w:val="26"/>
        </w:rPr>
        <w:t xml:space="preserve"> </w:t>
      </w:r>
      <w:r w:rsidRPr="001F4BEC">
        <w:rPr>
          <w:rFonts w:asciiTheme="minorHAnsi" w:hAnsiTheme="minorHAnsi" w:cstheme="minorHAnsi"/>
          <w:b/>
          <w:bCs/>
          <w:sz w:val="26"/>
          <w:szCs w:val="26"/>
        </w:rPr>
        <w:t>0,2 %</w:t>
      </w:r>
      <w:r w:rsidRPr="001F4BEC">
        <w:rPr>
          <w:rFonts w:asciiTheme="minorHAnsi" w:hAnsiTheme="minorHAnsi" w:cstheme="minorHAnsi"/>
          <w:bCs/>
          <w:sz w:val="26"/>
          <w:szCs w:val="26"/>
        </w:rPr>
        <w:t xml:space="preserve"> (reálně poklesla o</w:t>
      </w:r>
      <w:r>
        <w:rPr>
          <w:rFonts w:asciiTheme="minorHAnsi" w:hAnsiTheme="minorHAnsi" w:cstheme="minorHAnsi"/>
          <w:bCs/>
          <w:sz w:val="26"/>
          <w:szCs w:val="26"/>
        </w:rPr>
        <w:t xml:space="preserve"> </w:t>
      </w:r>
      <w:r w:rsidRPr="001F4BEC">
        <w:rPr>
          <w:rFonts w:asciiTheme="minorHAnsi" w:hAnsiTheme="minorHAnsi" w:cstheme="minorHAnsi"/>
          <w:bCs/>
          <w:sz w:val="26"/>
          <w:szCs w:val="26"/>
        </w:rPr>
        <w:t xml:space="preserve">2,0 %) </w:t>
      </w:r>
      <w:r w:rsidRPr="001F4BEC">
        <w:rPr>
          <w:rFonts w:asciiTheme="minorHAnsi" w:hAnsiTheme="minorHAnsi" w:cstheme="minorHAnsi"/>
          <w:b/>
          <w:bCs/>
          <w:sz w:val="26"/>
          <w:szCs w:val="26"/>
        </w:rPr>
        <w:t>a v</w:t>
      </w:r>
      <w:r>
        <w:rPr>
          <w:rFonts w:asciiTheme="minorHAnsi" w:hAnsiTheme="minorHAnsi" w:cstheme="minorHAnsi"/>
          <w:b/>
          <w:bCs/>
          <w:sz w:val="26"/>
          <w:szCs w:val="26"/>
        </w:rPr>
        <w:t xml:space="preserve"> </w:t>
      </w:r>
      <w:r w:rsidRPr="001F4BEC">
        <w:rPr>
          <w:rFonts w:asciiTheme="minorHAnsi" w:hAnsiTheme="minorHAnsi" w:cstheme="minorHAnsi"/>
          <w:b/>
          <w:bCs/>
          <w:sz w:val="26"/>
          <w:szCs w:val="26"/>
        </w:rPr>
        <w:t>únoru</w:t>
      </w:r>
      <w:r w:rsidRPr="001F4BEC">
        <w:rPr>
          <w:rFonts w:asciiTheme="minorHAnsi" w:hAnsiTheme="minorHAnsi" w:cstheme="minorHAnsi"/>
          <w:sz w:val="26"/>
          <w:szCs w:val="26"/>
        </w:rPr>
        <w:t xml:space="preserve"> (kdy činila 34 996 Kč) se zvýšila nominálně </w:t>
      </w:r>
      <w:r w:rsidRPr="001F4BEC">
        <w:rPr>
          <w:rFonts w:asciiTheme="minorHAnsi" w:hAnsiTheme="minorHAnsi" w:cstheme="minorHAnsi"/>
          <w:b/>
          <w:sz w:val="26"/>
          <w:szCs w:val="26"/>
        </w:rPr>
        <w:t>o</w:t>
      </w:r>
      <w:r>
        <w:rPr>
          <w:rFonts w:asciiTheme="minorHAnsi" w:hAnsiTheme="minorHAnsi" w:cstheme="minorHAnsi"/>
          <w:b/>
          <w:sz w:val="26"/>
          <w:szCs w:val="26"/>
        </w:rPr>
        <w:t xml:space="preserve"> </w:t>
      </w:r>
      <w:r w:rsidRPr="001F4BEC">
        <w:rPr>
          <w:rFonts w:asciiTheme="minorHAnsi" w:hAnsiTheme="minorHAnsi" w:cstheme="minorHAnsi"/>
          <w:b/>
          <w:sz w:val="26"/>
          <w:szCs w:val="26"/>
        </w:rPr>
        <w:t>1</w:t>
      </w:r>
      <w:r w:rsidRPr="001F4BEC">
        <w:rPr>
          <w:rFonts w:asciiTheme="minorHAnsi" w:hAnsiTheme="minorHAnsi" w:cstheme="minorHAnsi"/>
          <w:b/>
          <w:bCs/>
          <w:sz w:val="26"/>
          <w:szCs w:val="26"/>
        </w:rPr>
        <w:t>,0 %</w:t>
      </w:r>
      <w:r w:rsidRPr="001F4BEC">
        <w:rPr>
          <w:rFonts w:asciiTheme="minorHAnsi" w:hAnsiTheme="minorHAnsi" w:cstheme="minorHAnsi"/>
          <w:bCs/>
          <w:sz w:val="26"/>
          <w:szCs w:val="26"/>
        </w:rPr>
        <w:t xml:space="preserve"> (reálně poklesla</w:t>
      </w:r>
      <w:r w:rsidRPr="001F4BEC">
        <w:rPr>
          <w:rFonts w:asciiTheme="minorHAnsi" w:hAnsiTheme="minorHAnsi" w:cstheme="minorHAnsi"/>
          <w:sz w:val="26"/>
          <w:szCs w:val="26"/>
        </w:rPr>
        <w:t xml:space="preserve"> o</w:t>
      </w:r>
      <w:r>
        <w:rPr>
          <w:rFonts w:asciiTheme="minorHAnsi" w:hAnsiTheme="minorHAnsi" w:cstheme="minorHAnsi"/>
          <w:sz w:val="26"/>
          <w:szCs w:val="26"/>
        </w:rPr>
        <w:t xml:space="preserve"> </w:t>
      </w:r>
      <w:r w:rsidRPr="001F4BEC">
        <w:rPr>
          <w:rFonts w:asciiTheme="minorHAnsi" w:hAnsiTheme="minorHAnsi" w:cstheme="minorHAnsi"/>
          <w:sz w:val="26"/>
          <w:szCs w:val="26"/>
        </w:rPr>
        <w:t xml:space="preserve">1,2 %). </w:t>
      </w:r>
      <w:r w:rsidRPr="001F4BEC">
        <w:rPr>
          <w:rFonts w:asciiTheme="minorHAnsi" w:hAnsiTheme="minorHAnsi" w:cstheme="minorHAnsi"/>
          <w:b/>
          <w:sz w:val="26"/>
          <w:szCs w:val="26"/>
        </w:rPr>
        <w:t>Ve</w:t>
      </w:r>
      <w:r>
        <w:rPr>
          <w:rFonts w:asciiTheme="minorHAnsi" w:hAnsiTheme="minorHAnsi" w:cstheme="minorHAnsi"/>
          <w:b/>
          <w:sz w:val="26"/>
          <w:szCs w:val="26"/>
        </w:rPr>
        <w:t xml:space="preserve"> </w:t>
      </w:r>
      <w:r w:rsidRPr="001F4BEC">
        <w:rPr>
          <w:rFonts w:asciiTheme="minorHAnsi" w:hAnsiTheme="minorHAnsi" w:cstheme="minorHAnsi"/>
          <w:b/>
          <w:bCs/>
          <w:sz w:val="26"/>
          <w:szCs w:val="26"/>
        </w:rPr>
        <w:t>stavebních podnicích</w:t>
      </w:r>
      <w:r w:rsidRPr="001F4BEC">
        <w:rPr>
          <w:rFonts w:asciiTheme="minorHAnsi" w:hAnsiTheme="minorHAnsi" w:cstheme="minorHAnsi"/>
          <w:sz w:val="26"/>
          <w:szCs w:val="26"/>
        </w:rPr>
        <w:t xml:space="preserve"> </w:t>
      </w:r>
      <w:r w:rsidRPr="001F4BEC">
        <w:rPr>
          <w:rFonts w:asciiTheme="minorHAnsi" w:hAnsiTheme="minorHAnsi" w:cstheme="minorHAnsi"/>
          <w:b/>
          <w:bCs/>
          <w:sz w:val="26"/>
          <w:szCs w:val="26"/>
        </w:rPr>
        <w:t>se zvýšila</w:t>
      </w:r>
      <w:r w:rsidRPr="001F4BEC">
        <w:rPr>
          <w:rFonts w:asciiTheme="minorHAnsi" w:hAnsiTheme="minorHAnsi" w:cstheme="minorHAnsi"/>
          <w:sz w:val="26"/>
          <w:szCs w:val="26"/>
        </w:rPr>
        <w:t xml:space="preserve"> průměrná měsíční </w:t>
      </w:r>
      <w:r w:rsidRPr="001F4BEC">
        <w:rPr>
          <w:rFonts w:asciiTheme="minorHAnsi" w:hAnsiTheme="minorHAnsi" w:cstheme="minorHAnsi"/>
          <w:b/>
          <w:bCs/>
          <w:sz w:val="26"/>
          <w:szCs w:val="26"/>
        </w:rPr>
        <w:t>nominální mzda</w:t>
      </w:r>
      <w:r w:rsidRPr="001F4BEC">
        <w:rPr>
          <w:rFonts w:asciiTheme="minorHAnsi" w:hAnsiTheme="minorHAnsi" w:cstheme="minorHAnsi"/>
          <w:sz w:val="26"/>
          <w:szCs w:val="26"/>
        </w:rPr>
        <w:t xml:space="preserve"> výše uvedených zaměstnanců v</w:t>
      </w:r>
      <w:r>
        <w:rPr>
          <w:rFonts w:asciiTheme="minorHAnsi" w:hAnsiTheme="minorHAnsi" w:cstheme="minorHAnsi"/>
          <w:sz w:val="26"/>
          <w:szCs w:val="26"/>
        </w:rPr>
        <w:t xml:space="preserve"> </w:t>
      </w:r>
      <w:r w:rsidRPr="001F4BEC">
        <w:rPr>
          <w:rFonts w:asciiTheme="minorHAnsi" w:hAnsiTheme="minorHAnsi" w:cstheme="minorHAnsi"/>
          <w:sz w:val="26"/>
          <w:szCs w:val="26"/>
        </w:rPr>
        <w:t xml:space="preserve">lednu meziročně </w:t>
      </w:r>
      <w:r w:rsidRPr="001F4BEC">
        <w:rPr>
          <w:rFonts w:asciiTheme="minorHAnsi" w:hAnsiTheme="minorHAnsi" w:cstheme="minorHAnsi"/>
          <w:b/>
          <w:bCs/>
          <w:sz w:val="26"/>
          <w:szCs w:val="26"/>
        </w:rPr>
        <w:t>o 2,3 %</w:t>
      </w:r>
      <w:r w:rsidRPr="001F4BEC">
        <w:rPr>
          <w:rFonts w:asciiTheme="minorHAnsi" w:hAnsiTheme="minorHAnsi" w:cstheme="minorHAnsi"/>
          <w:sz w:val="26"/>
          <w:szCs w:val="26"/>
        </w:rPr>
        <w:t>, resp. v</w:t>
      </w:r>
      <w:r>
        <w:rPr>
          <w:rFonts w:asciiTheme="minorHAnsi" w:hAnsiTheme="minorHAnsi" w:cstheme="minorHAnsi"/>
          <w:sz w:val="26"/>
          <w:szCs w:val="26"/>
        </w:rPr>
        <w:t xml:space="preserve"> </w:t>
      </w:r>
      <w:r w:rsidRPr="001F4BEC">
        <w:rPr>
          <w:rFonts w:asciiTheme="minorHAnsi" w:hAnsiTheme="minorHAnsi" w:cstheme="minorHAnsi"/>
          <w:sz w:val="26"/>
          <w:szCs w:val="26"/>
        </w:rPr>
        <w:t xml:space="preserve">únoru </w:t>
      </w:r>
      <w:r w:rsidRPr="001F4BEC">
        <w:rPr>
          <w:rFonts w:asciiTheme="minorHAnsi" w:hAnsiTheme="minorHAnsi" w:cstheme="minorHAnsi"/>
          <w:b/>
          <w:sz w:val="26"/>
          <w:szCs w:val="26"/>
        </w:rPr>
        <w:t>o</w:t>
      </w:r>
      <w:r>
        <w:rPr>
          <w:rFonts w:asciiTheme="minorHAnsi" w:hAnsiTheme="minorHAnsi" w:cstheme="minorHAnsi"/>
          <w:b/>
          <w:sz w:val="26"/>
          <w:szCs w:val="26"/>
        </w:rPr>
        <w:t xml:space="preserve"> </w:t>
      </w:r>
      <w:r w:rsidRPr="001F4BEC">
        <w:rPr>
          <w:rFonts w:asciiTheme="minorHAnsi" w:hAnsiTheme="minorHAnsi" w:cstheme="minorHAnsi"/>
          <w:b/>
          <w:sz w:val="26"/>
          <w:szCs w:val="26"/>
        </w:rPr>
        <w:t>4,8 </w:t>
      </w:r>
      <w:r w:rsidRPr="001F4BEC">
        <w:rPr>
          <w:rFonts w:asciiTheme="minorHAnsi" w:hAnsiTheme="minorHAnsi" w:cstheme="minorHAnsi"/>
          <w:b/>
          <w:bCs/>
          <w:sz w:val="26"/>
          <w:szCs w:val="26"/>
        </w:rPr>
        <w:t>%</w:t>
      </w:r>
      <w:r w:rsidRPr="001F4BEC">
        <w:rPr>
          <w:rFonts w:asciiTheme="minorHAnsi" w:hAnsiTheme="minorHAnsi" w:cstheme="minorHAnsi"/>
          <w:sz w:val="26"/>
          <w:szCs w:val="26"/>
        </w:rPr>
        <w:t xml:space="preserve"> a dosáhla v absolutním vyjádření 36 610 Kč. K</w:t>
      </w:r>
      <w:r>
        <w:rPr>
          <w:rFonts w:asciiTheme="minorHAnsi" w:hAnsiTheme="minorHAnsi" w:cstheme="minorHAnsi"/>
          <w:sz w:val="26"/>
          <w:szCs w:val="26"/>
        </w:rPr>
        <w:t xml:space="preserve"> </w:t>
      </w:r>
      <w:r w:rsidRPr="001F4BEC">
        <w:rPr>
          <w:rFonts w:asciiTheme="minorHAnsi" w:hAnsiTheme="minorHAnsi" w:cstheme="minorHAnsi"/>
          <w:sz w:val="26"/>
          <w:szCs w:val="26"/>
        </w:rPr>
        <w:t>meziročnímu nárůstu došlo ve</w:t>
      </w:r>
      <w:r>
        <w:rPr>
          <w:rFonts w:asciiTheme="minorHAnsi" w:hAnsiTheme="minorHAnsi" w:cstheme="minorHAnsi"/>
          <w:sz w:val="26"/>
          <w:szCs w:val="26"/>
        </w:rPr>
        <w:t xml:space="preserve"> </w:t>
      </w:r>
      <w:r w:rsidRPr="001F4BEC">
        <w:rPr>
          <w:rFonts w:asciiTheme="minorHAnsi" w:hAnsiTheme="minorHAnsi" w:cstheme="minorHAnsi"/>
          <w:sz w:val="26"/>
          <w:szCs w:val="26"/>
        </w:rPr>
        <w:t>stavebnictví u reálné mzdy v lednu o</w:t>
      </w:r>
      <w:r>
        <w:rPr>
          <w:rFonts w:asciiTheme="minorHAnsi" w:hAnsiTheme="minorHAnsi" w:cstheme="minorHAnsi"/>
          <w:sz w:val="26"/>
          <w:szCs w:val="26"/>
        </w:rPr>
        <w:t xml:space="preserve"> </w:t>
      </w:r>
      <w:r w:rsidRPr="001F4BEC">
        <w:rPr>
          <w:rFonts w:asciiTheme="minorHAnsi" w:hAnsiTheme="minorHAnsi" w:cstheme="minorHAnsi"/>
          <w:sz w:val="26"/>
          <w:szCs w:val="26"/>
        </w:rPr>
        <w:t>0,1 % a v</w:t>
      </w:r>
      <w:r>
        <w:rPr>
          <w:rFonts w:asciiTheme="minorHAnsi" w:hAnsiTheme="minorHAnsi" w:cstheme="minorHAnsi"/>
          <w:sz w:val="26"/>
          <w:szCs w:val="26"/>
        </w:rPr>
        <w:t xml:space="preserve"> </w:t>
      </w:r>
      <w:r w:rsidRPr="001F4BEC">
        <w:rPr>
          <w:rFonts w:asciiTheme="minorHAnsi" w:hAnsiTheme="minorHAnsi" w:cstheme="minorHAnsi"/>
          <w:sz w:val="26"/>
          <w:szCs w:val="26"/>
        </w:rPr>
        <w:t>únoru o</w:t>
      </w:r>
      <w:r w:rsidRPr="001F4BEC">
        <w:rPr>
          <w:rFonts w:asciiTheme="minorHAnsi" w:hAnsiTheme="minorHAnsi" w:cs="Arial"/>
          <w:sz w:val="26"/>
          <w:szCs w:val="26"/>
        </w:rPr>
        <w:t xml:space="preserve"> 2,6 %.</w:t>
      </w:r>
    </w:p>
    <w:p w14:paraId="27B07EDF" w14:textId="28DC7381" w:rsidR="00161851" w:rsidRPr="001F4BEC" w:rsidRDefault="00161851" w:rsidP="00161851">
      <w:pPr>
        <w:spacing w:after="720"/>
        <w:ind w:left="709"/>
        <w:jc w:val="both"/>
        <w:rPr>
          <w:rFonts w:asciiTheme="minorHAnsi" w:hAnsiTheme="minorHAnsi"/>
          <w:sz w:val="26"/>
          <w:szCs w:val="26"/>
        </w:rPr>
      </w:pPr>
      <w:r w:rsidRPr="001F4BEC">
        <w:rPr>
          <w:rFonts w:asciiTheme="minorHAnsi" w:hAnsiTheme="minorHAnsi" w:cs="Arial"/>
          <w:b/>
          <w:bCs/>
          <w:sz w:val="26"/>
          <w:szCs w:val="26"/>
          <w:u w:val="single"/>
        </w:rPr>
        <w:t xml:space="preserve">Prognóza </w:t>
      </w:r>
      <w:r w:rsidRPr="001F4BEC">
        <w:rPr>
          <w:rFonts w:asciiTheme="minorHAnsi" w:hAnsiTheme="minorHAnsi" w:cstheme="minorHAnsi"/>
          <w:b/>
          <w:bCs/>
          <w:sz w:val="26"/>
          <w:szCs w:val="26"/>
          <w:u w:val="single"/>
        </w:rPr>
        <w:t>vývoje průměrné nominální mzdy v</w:t>
      </w:r>
      <w:r>
        <w:rPr>
          <w:rFonts w:asciiTheme="minorHAnsi" w:hAnsiTheme="minorHAnsi" w:cstheme="minorHAnsi"/>
          <w:b/>
          <w:bCs/>
          <w:sz w:val="26"/>
          <w:szCs w:val="26"/>
          <w:u w:val="single"/>
        </w:rPr>
        <w:t xml:space="preserve"> </w:t>
      </w:r>
      <w:r w:rsidRPr="001F4BEC">
        <w:rPr>
          <w:rFonts w:asciiTheme="minorHAnsi" w:hAnsiTheme="minorHAnsi" w:cstheme="minorHAnsi"/>
          <w:b/>
          <w:bCs/>
          <w:sz w:val="26"/>
          <w:szCs w:val="26"/>
          <w:u w:val="single"/>
        </w:rPr>
        <w:t>národním hospodářství ČR by se mohla pohybovat v</w:t>
      </w:r>
      <w:r>
        <w:rPr>
          <w:rFonts w:asciiTheme="minorHAnsi" w:hAnsiTheme="minorHAnsi" w:cstheme="minorHAnsi"/>
          <w:b/>
          <w:bCs/>
          <w:sz w:val="26"/>
          <w:szCs w:val="26"/>
          <w:u w:val="single"/>
        </w:rPr>
        <w:t xml:space="preserve"> </w:t>
      </w:r>
      <w:r w:rsidRPr="001F4BEC">
        <w:rPr>
          <w:rFonts w:asciiTheme="minorHAnsi" w:hAnsiTheme="minorHAnsi" w:cstheme="minorHAnsi"/>
          <w:b/>
          <w:bCs/>
          <w:sz w:val="26"/>
          <w:szCs w:val="26"/>
          <w:u w:val="single"/>
        </w:rPr>
        <w:t>letošním roce v</w:t>
      </w:r>
      <w:r>
        <w:rPr>
          <w:rFonts w:asciiTheme="minorHAnsi" w:hAnsiTheme="minorHAnsi" w:cstheme="minorHAnsi"/>
          <w:b/>
          <w:bCs/>
          <w:sz w:val="26"/>
          <w:szCs w:val="26"/>
          <w:u w:val="single"/>
        </w:rPr>
        <w:t xml:space="preserve"> </w:t>
      </w:r>
      <w:r w:rsidRPr="001F4BEC">
        <w:rPr>
          <w:rFonts w:asciiTheme="minorHAnsi" w:hAnsiTheme="minorHAnsi" w:cstheme="minorHAnsi"/>
          <w:b/>
          <w:bCs/>
          <w:sz w:val="26"/>
          <w:szCs w:val="26"/>
          <w:u w:val="single"/>
        </w:rPr>
        <w:t>intervalu 1,8 – 3,8 % a</w:t>
      </w:r>
      <w:r>
        <w:rPr>
          <w:rFonts w:asciiTheme="minorHAnsi" w:hAnsiTheme="minorHAnsi" w:cstheme="minorHAnsi"/>
          <w:b/>
          <w:bCs/>
          <w:sz w:val="26"/>
          <w:szCs w:val="26"/>
          <w:u w:val="single"/>
        </w:rPr>
        <w:t xml:space="preserve"> </w:t>
      </w:r>
      <w:r w:rsidRPr="001F4BEC">
        <w:rPr>
          <w:rFonts w:asciiTheme="minorHAnsi" w:hAnsiTheme="minorHAnsi" w:cstheme="minorHAnsi"/>
          <w:b/>
          <w:bCs/>
          <w:sz w:val="26"/>
          <w:szCs w:val="26"/>
          <w:u w:val="single"/>
        </w:rPr>
        <w:t>v</w:t>
      </w:r>
      <w:r>
        <w:rPr>
          <w:rFonts w:asciiTheme="minorHAnsi" w:hAnsiTheme="minorHAnsi" w:cstheme="minorHAnsi"/>
          <w:b/>
          <w:bCs/>
          <w:sz w:val="26"/>
          <w:szCs w:val="26"/>
          <w:u w:val="single"/>
        </w:rPr>
        <w:t xml:space="preserve"> </w:t>
      </w:r>
      <w:r w:rsidRPr="001F4BEC">
        <w:rPr>
          <w:rFonts w:asciiTheme="minorHAnsi" w:hAnsiTheme="minorHAnsi" w:cstheme="minorHAnsi"/>
          <w:b/>
          <w:bCs/>
          <w:sz w:val="26"/>
          <w:szCs w:val="26"/>
          <w:u w:val="single"/>
        </w:rPr>
        <w:t>roce 2022 v rozmezí 2,5 – 4,5 %. Reálná mzda by mohla při zohlednění predikované míry cenové inflace (viz dále) vzrůst v</w:t>
      </w:r>
      <w:r>
        <w:rPr>
          <w:rFonts w:asciiTheme="minorHAnsi" w:hAnsiTheme="minorHAnsi" w:cstheme="minorHAnsi"/>
          <w:b/>
          <w:bCs/>
          <w:sz w:val="26"/>
          <w:szCs w:val="26"/>
          <w:u w:val="single"/>
        </w:rPr>
        <w:t xml:space="preserve"> </w:t>
      </w:r>
      <w:r w:rsidRPr="001F4BEC">
        <w:rPr>
          <w:rFonts w:asciiTheme="minorHAnsi" w:hAnsiTheme="minorHAnsi" w:cstheme="minorHAnsi"/>
          <w:b/>
          <w:bCs/>
          <w:sz w:val="26"/>
          <w:szCs w:val="26"/>
          <w:u w:val="single"/>
        </w:rPr>
        <w:t>letošním roce o</w:t>
      </w:r>
      <w:r>
        <w:rPr>
          <w:rFonts w:asciiTheme="minorHAnsi" w:hAnsiTheme="minorHAnsi" w:cstheme="minorHAnsi"/>
          <w:b/>
          <w:bCs/>
          <w:sz w:val="26"/>
          <w:szCs w:val="26"/>
          <w:u w:val="single"/>
        </w:rPr>
        <w:t xml:space="preserve"> </w:t>
      </w:r>
      <w:r w:rsidRPr="001F4BEC">
        <w:rPr>
          <w:rFonts w:asciiTheme="minorHAnsi" w:hAnsiTheme="minorHAnsi" w:cstheme="minorHAnsi"/>
          <w:b/>
          <w:bCs/>
          <w:sz w:val="26"/>
          <w:szCs w:val="26"/>
          <w:u w:val="single"/>
        </w:rPr>
        <w:t>cca</w:t>
      </w:r>
      <w:r>
        <w:rPr>
          <w:rFonts w:asciiTheme="minorHAnsi" w:hAnsiTheme="minorHAnsi" w:cstheme="minorHAnsi"/>
          <w:b/>
          <w:bCs/>
          <w:sz w:val="26"/>
          <w:szCs w:val="26"/>
          <w:u w:val="single"/>
        </w:rPr>
        <w:t xml:space="preserve"> </w:t>
      </w:r>
      <w:r w:rsidRPr="001F4BEC">
        <w:rPr>
          <w:rFonts w:asciiTheme="minorHAnsi" w:hAnsiTheme="minorHAnsi" w:cstheme="minorHAnsi"/>
          <w:b/>
          <w:bCs/>
          <w:sz w:val="26"/>
          <w:szCs w:val="26"/>
          <w:u w:val="single"/>
        </w:rPr>
        <w:t>0,4 %, resp. příští rok o</w:t>
      </w:r>
      <w:r>
        <w:rPr>
          <w:rFonts w:asciiTheme="minorHAnsi" w:hAnsiTheme="minorHAnsi" w:cstheme="minorHAnsi"/>
          <w:b/>
          <w:bCs/>
          <w:sz w:val="26"/>
          <w:szCs w:val="26"/>
          <w:u w:val="single"/>
        </w:rPr>
        <w:t> </w:t>
      </w:r>
      <w:r w:rsidRPr="001F4BEC">
        <w:rPr>
          <w:rFonts w:asciiTheme="minorHAnsi" w:hAnsiTheme="minorHAnsi" w:cstheme="minorHAnsi"/>
          <w:b/>
          <w:bCs/>
          <w:sz w:val="26"/>
          <w:szCs w:val="26"/>
          <w:u w:val="single"/>
        </w:rPr>
        <w:t>cca</w:t>
      </w:r>
      <w:r>
        <w:rPr>
          <w:rFonts w:asciiTheme="minorHAnsi" w:hAnsiTheme="minorHAnsi" w:cstheme="minorHAnsi"/>
          <w:b/>
          <w:bCs/>
          <w:sz w:val="26"/>
          <w:szCs w:val="26"/>
          <w:u w:val="single"/>
        </w:rPr>
        <w:t> </w:t>
      </w:r>
      <w:r w:rsidRPr="001F4BEC">
        <w:rPr>
          <w:rFonts w:asciiTheme="minorHAnsi" w:hAnsiTheme="minorHAnsi" w:cs="Arial"/>
          <w:b/>
          <w:bCs/>
          <w:sz w:val="26"/>
          <w:szCs w:val="26"/>
          <w:u w:val="single"/>
        </w:rPr>
        <w:t>1,5 %.</w:t>
      </w:r>
    </w:p>
    <w:p w14:paraId="38FFFC04" w14:textId="77777777" w:rsidR="00161851" w:rsidRPr="00D14EDB" w:rsidRDefault="00161851" w:rsidP="00161851">
      <w:pPr>
        <w:spacing w:after="360" w:line="360" w:lineRule="auto"/>
        <w:jc w:val="both"/>
        <w:rPr>
          <w:rFonts w:asciiTheme="minorHAnsi" w:hAnsiTheme="minorHAnsi"/>
          <w:sz w:val="26"/>
          <w:szCs w:val="26"/>
        </w:rPr>
      </w:pPr>
      <w:r w:rsidRPr="00D14EDB">
        <w:rPr>
          <w:rFonts w:asciiTheme="minorHAnsi" w:hAnsiTheme="minorHAnsi"/>
          <w:sz w:val="26"/>
          <w:szCs w:val="26"/>
        </w:rPr>
        <w:lastRenderedPageBreak/>
        <w:tab/>
      </w:r>
      <w:r w:rsidRPr="00D14EDB">
        <w:rPr>
          <w:rFonts w:asciiTheme="minorHAnsi" w:hAnsiTheme="minorHAnsi" w:cstheme="minorHAnsi"/>
          <w:sz w:val="26"/>
          <w:szCs w:val="26"/>
        </w:rPr>
        <w:t xml:space="preserve">V rámci </w:t>
      </w:r>
      <w:r w:rsidRPr="00D14EDB">
        <w:rPr>
          <w:rFonts w:asciiTheme="minorHAnsi" w:hAnsiTheme="minorHAnsi" w:cstheme="minorHAnsi"/>
          <w:b/>
          <w:bCs/>
          <w:sz w:val="26"/>
          <w:szCs w:val="26"/>
        </w:rPr>
        <w:t>sociálních příjmů</w:t>
      </w:r>
      <w:r w:rsidRPr="00D14EDB">
        <w:rPr>
          <w:rFonts w:asciiTheme="minorHAnsi" w:hAnsiTheme="minorHAnsi" w:cstheme="minorHAnsi"/>
          <w:sz w:val="26"/>
          <w:szCs w:val="26"/>
        </w:rPr>
        <w:t xml:space="preserve"> byly u největší položky, tj. </w:t>
      </w:r>
      <w:r w:rsidRPr="00D14EDB">
        <w:rPr>
          <w:rFonts w:asciiTheme="minorHAnsi" w:hAnsiTheme="minorHAnsi" w:cstheme="minorHAnsi"/>
          <w:b/>
          <w:sz w:val="26"/>
          <w:szCs w:val="26"/>
        </w:rPr>
        <w:t>důchodů</w:t>
      </w:r>
      <w:r w:rsidRPr="00D14EDB">
        <w:rPr>
          <w:rFonts w:asciiTheme="minorHAnsi" w:hAnsiTheme="minorHAnsi" w:cstheme="minorHAnsi"/>
          <w:sz w:val="26"/>
          <w:szCs w:val="26"/>
        </w:rPr>
        <w:t xml:space="preserve"> vykázány údaje o průměrné výši samostatně vypláceného </w:t>
      </w:r>
      <w:r w:rsidRPr="00D14EDB">
        <w:rPr>
          <w:rFonts w:asciiTheme="minorHAnsi" w:hAnsiTheme="minorHAnsi" w:cstheme="minorHAnsi"/>
          <w:b/>
          <w:bCs/>
          <w:sz w:val="26"/>
          <w:szCs w:val="26"/>
        </w:rPr>
        <w:t>starobního důchodu</w:t>
      </w:r>
      <w:r w:rsidRPr="00D14EDB">
        <w:rPr>
          <w:rFonts w:asciiTheme="minorHAnsi" w:hAnsiTheme="minorHAnsi" w:cstheme="minorHAnsi"/>
          <w:sz w:val="26"/>
          <w:szCs w:val="26"/>
        </w:rPr>
        <w:t xml:space="preserve">, která </w:t>
      </w:r>
      <w:r w:rsidRPr="00D14EDB">
        <w:rPr>
          <w:rFonts w:asciiTheme="minorHAnsi" w:hAnsiTheme="minorHAnsi" w:cstheme="minorHAnsi"/>
          <w:bCs/>
          <w:sz w:val="26"/>
          <w:szCs w:val="26"/>
        </w:rPr>
        <w:t>činila</w:t>
      </w:r>
      <w:r w:rsidRPr="00D14EDB">
        <w:rPr>
          <w:rFonts w:asciiTheme="minorHAnsi" w:hAnsiTheme="minorHAnsi" w:cstheme="minorHAnsi"/>
          <w:b/>
          <w:bCs/>
          <w:sz w:val="26"/>
          <w:szCs w:val="26"/>
        </w:rPr>
        <w:t xml:space="preserve"> v březnu</w:t>
      </w:r>
      <w:r w:rsidRPr="00D14EDB">
        <w:rPr>
          <w:rFonts w:asciiTheme="minorHAnsi" w:hAnsiTheme="minorHAnsi" w:cstheme="minorHAnsi"/>
          <w:sz w:val="26"/>
          <w:szCs w:val="26"/>
        </w:rPr>
        <w:t xml:space="preserve"> </w:t>
      </w:r>
      <w:r w:rsidRPr="00D14EDB">
        <w:rPr>
          <w:rFonts w:asciiTheme="minorHAnsi" w:hAnsiTheme="minorHAnsi" w:cstheme="minorHAnsi"/>
          <w:b/>
          <w:sz w:val="26"/>
          <w:szCs w:val="26"/>
        </w:rPr>
        <w:t>15 375 Kč</w:t>
      </w:r>
      <w:r w:rsidRPr="00D14EDB">
        <w:rPr>
          <w:rFonts w:asciiTheme="minorHAnsi" w:hAnsiTheme="minorHAnsi" w:cstheme="minorHAnsi"/>
          <w:sz w:val="26"/>
          <w:szCs w:val="26"/>
        </w:rPr>
        <w:t>, tj. o 6,6 % více než před rokem, za období leden až březen vzrostla meziročně rovněž o 6,6 % na 15 365 Kč.</w:t>
      </w:r>
    </w:p>
    <w:p w14:paraId="4F73F879" w14:textId="77777777" w:rsidR="00161851" w:rsidRPr="00D14EDB" w:rsidRDefault="00161851" w:rsidP="00161851">
      <w:pPr>
        <w:spacing w:after="600"/>
        <w:ind w:left="709"/>
        <w:jc w:val="both"/>
        <w:rPr>
          <w:rFonts w:asciiTheme="minorHAnsi" w:hAnsiTheme="minorHAnsi"/>
          <w:b/>
          <w:sz w:val="26"/>
          <w:szCs w:val="26"/>
          <w:u w:val="single"/>
        </w:rPr>
      </w:pPr>
      <w:r w:rsidRPr="00D14EDB">
        <w:rPr>
          <w:rFonts w:asciiTheme="minorHAnsi" w:hAnsiTheme="minorHAnsi" w:cstheme="minorHAnsi"/>
          <w:b/>
          <w:bCs/>
          <w:sz w:val="26"/>
          <w:szCs w:val="26"/>
          <w:u w:val="single"/>
        </w:rPr>
        <w:t>Podle odhadu by průměrná výše samostatně vypláceného starobního důchodu mohla v letošním roce dosáhnout 15 398 Kč</w:t>
      </w:r>
      <w:r w:rsidRPr="00D14EDB">
        <w:rPr>
          <w:rFonts w:asciiTheme="minorHAnsi" w:hAnsiTheme="minorHAnsi" w:cstheme="minorHAnsi"/>
          <w:b/>
          <w:bCs/>
          <w:sz w:val="26"/>
          <w:szCs w:val="26"/>
        </w:rPr>
        <w:t>.</w:t>
      </w:r>
    </w:p>
    <w:p w14:paraId="2F101DB0" w14:textId="77777777" w:rsidR="00161851" w:rsidRPr="00D14EDB" w:rsidRDefault="00161851" w:rsidP="00161851">
      <w:pPr>
        <w:spacing w:after="360" w:line="360" w:lineRule="auto"/>
        <w:jc w:val="both"/>
        <w:rPr>
          <w:rFonts w:asciiTheme="minorHAnsi" w:hAnsiTheme="minorHAnsi"/>
          <w:b/>
          <w:bCs/>
          <w:sz w:val="26"/>
          <w:szCs w:val="26"/>
        </w:rPr>
      </w:pPr>
      <w:r w:rsidRPr="00D14EDB">
        <w:rPr>
          <w:rFonts w:asciiTheme="minorHAnsi" w:hAnsiTheme="minorHAnsi"/>
          <w:sz w:val="26"/>
          <w:szCs w:val="26"/>
        </w:rPr>
        <w:tab/>
        <w:t xml:space="preserve">K 31. březnu 2021 evidoval Úřad práce ČR celkem </w:t>
      </w:r>
      <w:r w:rsidRPr="00D14EDB">
        <w:rPr>
          <w:rFonts w:asciiTheme="minorHAnsi" w:hAnsiTheme="minorHAnsi"/>
          <w:b/>
          <w:bCs/>
          <w:sz w:val="26"/>
          <w:szCs w:val="26"/>
        </w:rPr>
        <w:t>306,6 tis. uchazečů o zaměstnání</w:t>
      </w:r>
      <w:r w:rsidRPr="00D14EDB">
        <w:rPr>
          <w:rFonts w:asciiTheme="minorHAnsi" w:hAnsiTheme="minorHAnsi"/>
          <w:sz w:val="26"/>
          <w:szCs w:val="26"/>
        </w:rPr>
        <w:t xml:space="preserve">, což je o 80,9 tis. osob více než před rokem. </w:t>
      </w:r>
      <w:r w:rsidRPr="00D14EDB">
        <w:rPr>
          <w:rFonts w:asciiTheme="minorHAnsi" w:hAnsiTheme="minorHAnsi"/>
          <w:b/>
          <w:bCs/>
          <w:sz w:val="26"/>
          <w:szCs w:val="26"/>
        </w:rPr>
        <w:t xml:space="preserve">Podíl nezaměstnaných osob činil 4,2 %. </w:t>
      </w:r>
    </w:p>
    <w:p w14:paraId="184FB9B7" w14:textId="77777777" w:rsidR="00161851" w:rsidRPr="00D14EDB" w:rsidRDefault="00161851" w:rsidP="00161851">
      <w:pPr>
        <w:ind w:left="708"/>
        <w:jc w:val="both"/>
        <w:rPr>
          <w:rFonts w:asciiTheme="minorHAnsi" w:hAnsiTheme="minorHAnsi" w:cstheme="minorHAnsi"/>
          <w:b/>
          <w:sz w:val="26"/>
          <w:szCs w:val="26"/>
          <w:u w:val="single"/>
        </w:rPr>
      </w:pPr>
      <w:r w:rsidRPr="00D14EDB">
        <w:rPr>
          <w:rFonts w:asciiTheme="minorHAnsi" w:hAnsiTheme="minorHAnsi" w:cstheme="minorHAnsi"/>
          <w:b/>
          <w:sz w:val="26"/>
          <w:szCs w:val="26"/>
          <w:u w:val="single"/>
        </w:rPr>
        <w:t xml:space="preserve">Lze </w:t>
      </w:r>
      <w:r w:rsidRPr="00D14EDB">
        <w:rPr>
          <w:rFonts w:asciiTheme="minorHAnsi" w:hAnsiTheme="minorHAnsi" w:cstheme="minorHAnsi"/>
          <w:b/>
          <w:bCs/>
          <w:sz w:val="26"/>
          <w:szCs w:val="26"/>
          <w:u w:val="single"/>
        </w:rPr>
        <w:t>očekávat, že za celý rok 2021 dosáhne podíl nezaměstnaných osob průměrné úrovně 4,</w:t>
      </w:r>
      <w:r>
        <w:rPr>
          <w:rFonts w:asciiTheme="minorHAnsi" w:hAnsiTheme="minorHAnsi" w:cstheme="minorHAnsi"/>
          <w:b/>
          <w:bCs/>
          <w:sz w:val="26"/>
          <w:szCs w:val="26"/>
          <w:u w:val="single"/>
        </w:rPr>
        <w:t>5</w:t>
      </w:r>
      <w:r w:rsidRPr="00D14EDB">
        <w:rPr>
          <w:rFonts w:asciiTheme="minorHAnsi" w:hAnsiTheme="minorHAnsi" w:cstheme="minorHAnsi"/>
          <w:b/>
          <w:bCs/>
          <w:sz w:val="26"/>
          <w:szCs w:val="26"/>
          <w:u w:val="single"/>
        </w:rPr>
        <w:t> – </w:t>
      </w:r>
      <w:r>
        <w:rPr>
          <w:rFonts w:asciiTheme="minorHAnsi" w:hAnsiTheme="minorHAnsi" w:cstheme="minorHAnsi"/>
          <w:b/>
          <w:bCs/>
          <w:sz w:val="26"/>
          <w:szCs w:val="26"/>
          <w:u w:val="single"/>
        </w:rPr>
        <w:t>4</w:t>
      </w:r>
      <w:r w:rsidRPr="00D14EDB">
        <w:rPr>
          <w:rFonts w:asciiTheme="minorHAnsi" w:hAnsiTheme="minorHAnsi" w:cstheme="minorHAnsi"/>
          <w:b/>
          <w:bCs/>
          <w:sz w:val="26"/>
          <w:szCs w:val="26"/>
          <w:u w:val="single"/>
        </w:rPr>
        <w:t>,</w:t>
      </w:r>
      <w:r>
        <w:rPr>
          <w:rFonts w:asciiTheme="minorHAnsi" w:hAnsiTheme="minorHAnsi" w:cstheme="minorHAnsi"/>
          <w:b/>
          <w:bCs/>
          <w:sz w:val="26"/>
          <w:szCs w:val="26"/>
          <w:u w:val="single"/>
        </w:rPr>
        <w:t>9</w:t>
      </w:r>
      <w:r w:rsidRPr="00D14EDB">
        <w:rPr>
          <w:rFonts w:asciiTheme="minorHAnsi" w:hAnsiTheme="minorHAnsi" w:cstheme="minorHAnsi"/>
          <w:b/>
          <w:bCs/>
          <w:sz w:val="26"/>
          <w:szCs w:val="26"/>
          <w:u w:val="single"/>
        </w:rPr>
        <w:t> %. V roce 2022 by se mohl podle aktuální predikce pohybovat v</w:t>
      </w:r>
      <w:r>
        <w:rPr>
          <w:rFonts w:asciiTheme="minorHAnsi" w:hAnsiTheme="minorHAnsi" w:cstheme="minorHAnsi"/>
          <w:b/>
          <w:bCs/>
          <w:sz w:val="26"/>
          <w:szCs w:val="26"/>
          <w:u w:val="single"/>
        </w:rPr>
        <w:t>e stejném</w:t>
      </w:r>
      <w:r w:rsidRPr="00D14EDB">
        <w:rPr>
          <w:rFonts w:asciiTheme="minorHAnsi" w:hAnsiTheme="minorHAnsi" w:cstheme="minorHAnsi"/>
          <w:b/>
          <w:bCs/>
          <w:sz w:val="26"/>
          <w:szCs w:val="26"/>
          <w:u w:val="single"/>
        </w:rPr>
        <w:t xml:space="preserve"> intervalu.</w:t>
      </w:r>
    </w:p>
    <w:p w14:paraId="45944D9D" w14:textId="77777777" w:rsidR="00161851" w:rsidRPr="00D14EDB" w:rsidRDefault="00161851" w:rsidP="00161851">
      <w:pPr>
        <w:spacing w:after="360" w:line="360" w:lineRule="auto"/>
        <w:jc w:val="both"/>
        <w:rPr>
          <w:rFonts w:asciiTheme="minorHAnsi" w:hAnsiTheme="minorHAnsi"/>
          <w:sz w:val="26"/>
          <w:szCs w:val="26"/>
        </w:rPr>
      </w:pPr>
    </w:p>
    <w:p w14:paraId="65725959" w14:textId="77777777" w:rsidR="00161851" w:rsidRPr="00D14EDB" w:rsidRDefault="00161851" w:rsidP="00161851">
      <w:pPr>
        <w:spacing w:line="360" w:lineRule="auto"/>
        <w:jc w:val="both"/>
        <w:rPr>
          <w:rFonts w:asciiTheme="minorHAnsi" w:hAnsiTheme="minorHAnsi"/>
          <w:sz w:val="26"/>
          <w:szCs w:val="26"/>
        </w:rPr>
      </w:pPr>
      <w:r w:rsidRPr="00D14EDB">
        <w:rPr>
          <w:rFonts w:asciiTheme="minorHAnsi" w:hAnsiTheme="minorHAnsi" w:cs="Arial"/>
          <w:sz w:val="26"/>
          <w:szCs w:val="26"/>
        </w:rPr>
        <w:tab/>
      </w:r>
      <w:r w:rsidRPr="00D14EDB">
        <w:rPr>
          <w:rFonts w:asciiTheme="minorHAnsi" w:hAnsiTheme="minorHAnsi" w:cs="Arial"/>
          <w:b/>
          <w:sz w:val="26"/>
          <w:szCs w:val="26"/>
        </w:rPr>
        <w:t>V 1. čtvrtletí 2021</w:t>
      </w:r>
      <w:r w:rsidRPr="00D14EDB">
        <w:rPr>
          <w:rFonts w:asciiTheme="minorHAnsi" w:hAnsiTheme="minorHAnsi" w:cs="Arial"/>
          <w:sz w:val="26"/>
          <w:szCs w:val="26"/>
        </w:rPr>
        <w:t xml:space="preserve"> </w:t>
      </w:r>
      <w:r w:rsidRPr="00D14EDB">
        <w:rPr>
          <w:rFonts w:asciiTheme="minorHAnsi" w:hAnsiTheme="minorHAnsi" w:cs="Arial"/>
          <w:b/>
          <w:sz w:val="26"/>
          <w:szCs w:val="26"/>
        </w:rPr>
        <w:t>vzrostly spotřebitelské ceny</w:t>
      </w:r>
      <w:r w:rsidRPr="00D14EDB">
        <w:rPr>
          <w:rFonts w:asciiTheme="minorHAnsi" w:hAnsiTheme="minorHAnsi" w:cs="Arial"/>
          <w:sz w:val="26"/>
          <w:szCs w:val="26"/>
        </w:rPr>
        <w:t xml:space="preserve"> </w:t>
      </w:r>
      <w:r w:rsidRPr="00D14EDB">
        <w:rPr>
          <w:rFonts w:asciiTheme="minorHAnsi" w:hAnsiTheme="minorHAnsi" w:cs="Arial"/>
          <w:b/>
          <w:sz w:val="26"/>
          <w:szCs w:val="26"/>
        </w:rPr>
        <w:t>meziročně</w:t>
      </w:r>
      <w:r w:rsidRPr="00D14EDB">
        <w:rPr>
          <w:rFonts w:asciiTheme="minorHAnsi" w:hAnsiTheme="minorHAnsi" w:cs="Arial"/>
          <w:sz w:val="26"/>
          <w:szCs w:val="26"/>
        </w:rPr>
        <w:t xml:space="preserve"> oproti </w:t>
      </w:r>
      <w:r w:rsidRPr="00D14EDB">
        <w:rPr>
          <w:rFonts w:asciiTheme="minorHAnsi" w:hAnsiTheme="minorHAnsi" w:cs="Arial"/>
          <w:sz w:val="26"/>
          <w:szCs w:val="26"/>
        </w:rPr>
        <w:br/>
        <w:t>lednu</w:t>
      </w:r>
      <w:r w:rsidRPr="00D14EDB">
        <w:rPr>
          <w:rFonts w:asciiTheme="minorHAnsi" w:hAnsiTheme="minorHAnsi"/>
          <w:sz w:val="26"/>
          <w:szCs w:val="26"/>
        </w:rPr>
        <w:t xml:space="preserve"> – březnu roku 2020 </w:t>
      </w:r>
      <w:r w:rsidRPr="00D14EDB">
        <w:rPr>
          <w:rFonts w:asciiTheme="minorHAnsi" w:hAnsiTheme="minorHAnsi"/>
          <w:b/>
          <w:bCs/>
          <w:sz w:val="26"/>
          <w:szCs w:val="26"/>
        </w:rPr>
        <w:t xml:space="preserve">o 2,2 % </w:t>
      </w:r>
      <w:r w:rsidRPr="00D14EDB">
        <w:rPr>
          <w:rFonts w:asciiTheme="minorHAnsi" w:hAnsiTheme="minorHAnsi"/>
          <w:sz w:val="26"/>
          <w:szCs w:val="26"/>
        </w:rPr>
        <w:t>(ve stejném období roku 2020 stouply o 3,6 %). Tento vývoj ovlivnilo především zvýšení nákladů domácností v</w:t>
      </w:r>
      <w:r>
        <w:rPr>
          <w:rFonts w:asciiTheme="minorHAnsi" w:hAnsiTheme="minorHAnsi"/>
          <w:sz w:val="26"/>
          <w:szCs w:val="26"/>
        </w:rPr>
        <w:t xml:space="preserve"> </w:t>
      </w:r>
      <w:r w:rsidRPr="00D14EDB">
        <w:rPr>
          <w:rFonts w:asciiTheme="minorHAnsi" w:hAnsiTheme="minorHAnsi"/>
          <w:sz w:val="26"/>
          <w:szCs w:val="26"/>
        </w:rPr>
        <w:t>oddíle doprava a nadále trvající vysoký růst cen v</w:t>
      </w:r>
      <w:r>
        <w:rPr>
          <w:rFonts w:asciiTheme="minorHAnsi" w:hAnsiTheme="minorHAnsi"/>
          <w:sz w:val="26"/>
          <w:szCs w:val="26"/>
        </w:rPr>
        <w:t xml:space="preserve"> </w:t>
      </w:r>
      <w:r w:rsidRPr="00D14EDB">
        <w:rPr>
          <w:rFonts w:asciiTheme="minorHAnsi" w:hAnsiTheme="minorHAnsi"/>
          <w:sz w:val="26"/>
          <w:szCs w:val="26"/>
        </w:rPr>
        <w:t>oddíle alkoholické nápoje, tabák. Na zpomalení růstu cenové hladiny působil nižší růst cen v oddíle potraviny a nealkoholické nápoje a oddíle bydlení.</w:t>
      </w:r>
    </w:p>
    <w:p w14:paraId="6EDA98F3" w14:textId="77777777" w:rsidR="00161851" w:rsidRPr="00D14EDB" w:rsidRDefault="00161851" w:rsidP="00161851">
      <w:pPr>
        <w:spacing w:line="360" w:lineRule="auto"/>
        <w:jc w:val="both"/>
        <w:rPr>
          <w:rFonts w:asciiTheme="minorHAnsi" w:hAnsiTheme="minorHAnsi"/>
          <w:sz w:val="26"/>
          <w:szCs w:val="26"/>
        </w:rPr>
      </w:pPr>
    </w:p>
    <w:p w14:paraId="532A9883" w14:textId="77777777" w:rsidR="00161851" w:rsidRPr="00D14EDB" w:rsidRDefault="00161851" w:rsidP="00161851">
      <w:pPr>
        <w:spacing w:after="240" w:line="360" w:lineRule="auto"/>
        <w:jc w:val="both"/>
        <w:rPr>
          <w:rFonts w:asciiTheme="minorHAnsi" w:hAnsiTheme="minorHAnsi"/>
          <w:sz w:val="26"/>
          <w:szCs w:val="26"/>
        </w:rPr>
      </w:pPr>
      <w:r w:rsidRPr="00D14EDB">
        <w:rPr>
          <w:rFonts w:asciiTheme="minorHAnsi" w:hAnsiTheme="minorHAnsi"/>
          <w:sz w:val="26"/>
          <w:szCs w:val="26"/>
        </w:rPr>
        <w:tab/>
        <w:t xml:space="preserve">V 1. čtvrtletí 2021 vzrostly spotřebitelské ceny proti 4. čtvrtletí 2020 o 1,4 %. </w:t>
      </w:r>
      <w:r w:rsidRPr="00D14EDB">
        <w:rPr>
          <w:rFonts w:asciiTheme="minorHAnsi" w:hAnsiTheme="minorHAnsi"/>
          <w:b/>
          <w:sz w:val="26"/>
          <w:szCs w:val="26"/>
        </w:rPr>
        <w:t>Mezičtvrtletní vývoj</w:t>
      </w:r>
      <w:r w:rsidRPr="00D14EDB">
        <w:rPr>
          <w:rFonts w:asciiTheme="minorHAnsi" w:hAnsiTheme="minorHAnsi"/>
          <w:sz w:val="26"/>
          <w:szCs w:val="26"/>
        </w:rPr>
        <w:t xml:space="preserve"> cenové inflace </w:t>
      </w:r>
      <w:r w:rsidRPr="00D14EDB">
        <w:rPr>
          <w:rFonts w:asciiTheme="minorHAnsi" w:hAnsiTheme="minorHAnsi"/>
          <w:bCs/>
          <w:sz w:val="26"/>
          <w:szCs w:val="26"/>
        </w:rPr>
        <w:t>ovlivnily</w:t>
      </w:r>
      <w:r w:rsidRPr="00D14EDB">
        <w:rPr>
          <w:rFonts w:asciiTheme="minorHAnsi" w:hAnsiTheme="minorHAnsi"/>
          <w:sz w:val="26"/>
          <w:szCs w:val="26"/>
        </w:rPr>
        <w:t xml:space="preserve"> tyto faktory:</w:t>
      </w:r>
    </w:p>
    <w:p w14:paraId="2429CBB5" w14:textId="77777777" w:rsidR="00161851" w:rsidRPr="00503328" w:rsidRDefault="00161851" w:rsidP="00161851">
      <w:pPr>
        <w:pStyle w:val="Odstavecseseznamem"/>
        <w:numPr>
          <w:ilvl w:val="0"/>
          <w:numId w:val="28"/>
        </w:numPr>
        <w:spacing w:after="120" w:line="360" w:lineRule="auto"/>
        <w:ind w:left="703" w:hanging="703"/>
        <w:jc w:val="both"/>
        <w:rPr>
          <w:rFonts w:asciiTheme="minorHAnsi" w:hAnsiTheme="minorHAnsi" w:cs="Arial"/>
          <w:sz w:val="26"/>
          <w:szCs w:val="26"/>
        </w:rPr>
      </w:pPr>
      <w:r w:rsidRPr="00D14EDB">
        <w:rPr>
          <w:rFonts w:asciiTheme="minorHAnsi" w:hAnsiTheme="minorHAnsi" w:cs="Arial"/>
          <w:b/>
          <w:sz w:val="26"/>
          <w:szCs w:val="26"/>
        </w:rPr>
        <w:t xml:space="preserve">zvýšení cen nastalo nejvíce v oddílech potraviny a nealkoholické nápoje, alkoholické nápoje, tabák, doprava a rekreace a kultura. </w:t>
      </w:r>
      <w:r w:rsidRPr="00D14EDB">
        <w:rPr>
          <w:rFonts w:asciiTheme="minorHAnsi" w:hAnsiTheme="minorHAnsi" w:cs="Arial"/>
          <w:sz w:val="26"/>
          <w:szCs w:val="26"/>
        </w:rPr>
        <w:t>V oddíle potraviny a nealkoholické nápoje se zvýšily nejvíce ceny zeleniny (o</w:t>
      </w:r>
      <w:r>
        <w:rPr>
          <w:rFonts w:asciiTheme="minorHAnsi" w:hAnsiTheme="minorHAnsi" w:cs="Arial"/>
          <w:sz w:val="26"/>
          <w:szCs w:val="26"/>
        </w:rPr>
        <w:t xml:space="preserve"> </w:t>
      </w:r>
      <w:r w:rsidRPr="00D14EDB">
        <w:rPr>
          <w:rFonts w:asciiTheme="minorHAnsi" w:hAnsiTheme="minorHAnsi" w:cs="Arial"/>
          <w:sz w:val="26"/>
          <w:szCs w:val="26"/>
        </w:rPr>
        <w:t>7,1 %), olejů a tuků (o 4,3 %) a ovoce (o 4,0 %). V oddíle alkoholické nápoje, tabák se zvýšily ceny lihovin (o 5,4</w:t>
      </w:r>
      <w:r>
        <w:rPr>
          <w:rFonts w:asciiTheme="minorHAnsi" w:hAnsiTheme="minorHAnsi" w:cs="Arial"/>
          <w:sz w:val="26"/>
          <w:szCs w:val="26"/>
        </w:rPr>
        <w:t> </w:t>
      </w:r>
      <w:r w:rsidRPr="00D14EDB">
        <w:rPr>
          <w:rFonts w:asciiTheme="minorHAnsi" w:hAnsiTheme="minorHAnsi" w:cs="Arial"/>
          <w:sz w:val="26"/>
          <w:szCs w:val="26"/>
        </w:rPr>
        <w:t>%), vína (o 2,5</w:t>
      </w:r>
      <w:r>
        <w:rPr>
          <w:rFonts w:asciiTheme="minorHAnsi" w:hAnsiTheme="minorHAnsi" w:cs="Arial"/>
          <w:sz w:val="26"/>
          <w:szCs w:val="26"/>
        </w:rPr>
        <w:t> </w:t>
      </w:r>
      <w:r w:rsidRPr="00D14EDB">
        <w:rPr>
          <w:rFonts w:asciiTheme="minorHAnsi" w:hAnsiTheme="minorHAnsi" w:cs="Arial"/>
          <w:sz w:val="26"/>
          <w:szCs w:val="26"/>
        </w:rPr>
        <w:t>%), piva (o 5</w:t>
      </w:r>
      <w:r w:rsidRPr="00503328">
        <w:rPr>
          <w:rFonts w:asciiTheme="minorHAnsi" w:hAnsiTheme="minorHAnsi" w:cs="Arial"/>
          <w:sz w:val="26"/>
          <w:szCs w:val="26"/>
        </w:rPr>
        <w:t>,1</w:t>
      </w:r>
      <w:r>
        <w:rPr>
          <w:rFonts w:asciiTheme="minorHAnsi" w:hAnsiTheme="minorHAnsi" w:cs="Arial"/>
          <w:sz w:val="26"/>
          <w:szCs w:val="26"/>
        </w:rPr>
        <w:t> </w:t>
      </w:r>
      <w:r w:rsidRPr="00503328">
        <w:rPr>
          <w:rFonts w:asciiTheme="minorHAnsi" w:hAnsiTheme="minorHAnsi" w:cs="Arial"/>
          <w:sz w:val="26"/>
          <w:szCs w:val="26"/>
        </w:rPr>
        <w:t>%) a tabákových výrobků (o 3,0</w:t>
      </w:r>
      <w:r>
        <w:rPr>
          <w:rFonts w:asciiTheme="minorHAnsi" w:hAnsiTheme="minorHAnsi" w:cs="Arial"/>
          <w:sz w:val="26"/>
          <w:szCs w:val="26"/>
        </w:rPr>
        <w:t> </w:t>
      </w:r>
      <w:r w:rsidRPr="00503328">
        <w:rPr>
          <w:rFonts w:asciiTheme="minorHAnsi" w:hAnsiTheme="minorHAnsi" w:cs="Arial"/>
          <w:sz w:val="26"/>
          <w:szCs w:val="26"/>
        </w:rPr>
        <w:t>%),</w:t>
      </w:r>
    </w:p>
    <w:p w14:paraId="7278AABA" w14:textId="77777777" w:rsidR="00161851" w:rsidRPr="00D14EDB" w:rsidRDefault="00161851" w:rsidP="00161851">
      <w:pPr>
        <w:pStyle w:val="Odstavecseseznamem"/>
        <w:numPr>
          <w:ilvl w:val="0"/>
          <w:numId w:val="28"/>
        </w:numPr>
        <w:spacing w:after="480" w:line="360" w:lineRule="auto"/>
        <w:ind w:left="703" w:hanging="703"/>
        <w:jc w:val="both"/>
        <w:rPr>
          <w:rFonts w:asciiTheme="minorHAnsi" w:hAnsiTheme="minorHAnsi" w:cs="Arial"/>
          <w:sz w:val="26"/>
          <w:szCs w:val="26"/>
        </w:rPr>
      </w:pPr>
      <w:r w:rsidRPr="00D14EDB">
        <w:rPr>
          <w:rFonts w:asciiTheme="minorHAnsi" w:hAnsiTheme="minorHAnsi" w:cs="Arial"/>
          <w:b/>
          <w:sz w:val="26"/>
          <w:szCs w:val="26"/>
        </w:rPr>
        <w:lastRenderedPageBreak/>
        <w:t xml:space="preserve">protisměrně, </w:t>
      </w:r>
      <w:r w:rsidRPr="00D14EDB">
        <w:rPr>
          <w:rFonts w:asciiTheme="minorHAnsi" w:hAnsiTheme="minorHAnsi" w:cs="Arial"/>
          <w:bCs/>
          <w:sz w:val="26"/>
          <w:szCs w:val="26"/>
        </w:rPr>
        <w:t>tj. na snižování cenové hladiny,</w:t>
      </w:r>
      <w:r w:rsidRPr="00D14EDB">
        <w:rPr>
          <w:rFonts w:asciiTheme="minorHAnsi" w:hAnsiTheme="minorHAnsi" w:cs="Arial"/>
          <w:b/>
          <w:sz w:val="26"/>
          <w:szCs w:val="26"/>
        </w:rPr>
        <w:t xml:space="preserve"> působil především pokles cen v oddíle odívání a obuv,</w:t>
      </w:r>
      <w:r w:rsidRPr="00D14EDB">
        <w:rPr>
          <w:rFonts w:asciiTheme="minorHAnsi" w:hAnsiTheme="minorHAnsi" w:cs="Arial"/>
          <w:bCs/>
          <w:sz w:val="26"/>
          <w:szCs w:val="26"/>
        </w:rPr>
        <w:t xml:space="preserve"> kde byly nižší ceny oděvů (o 1,0 %).</w:t>
      </w:r>
      <w:r w:rsidRPr="00D14EDB">
        <w:rPr>
          <w:rFonts w:asciiTheme="minorHAnsi" w:hAnsiTheme="minorHAnsi" w:cs="Arial"/>
          <w:sz w:val="26"/>
          <w:szCs w:val="26"/>
        </w:rPr>
        <w:t xml:space="preserve"> </w:t>
      </w:r>
    </w:p>
    <w:p w14:paraId="1A3AA8D2" w14:textId="43DF7613" w:rsidR="00161851" w:rsidRPr="006C6C89" w:rsidRDefault="00161851" w:rsidP="00161851">
      <w:pPr>
        <w:spacing w:after="120"/>
        <w:ind w:left="705"/>
        <w:jc w:val="both"/>
        <w:rPr>
          <w:rFonts w:asciiTheme="minorHAnsi" w:hAnsiTheme="minorHAnsi"/>
          <w:b/>
          <w:bCs/>
          <w:sz w:val="26"/>
          <w:szCs w:val="26"/>
          <w:u w:val="single"/>
        </w:rPr>
      </w:pPr>
      <w:r w:rsidRPr="00D14EDB">
        <w:rPr>
          <w:rFonts w:asciiTheme="minorHAnsi" w:hAnsiTheme="minorHAnsi"/>
          <w:b/>
          <w:bCs/>
          <w:sz w:val="26"/>
          <w:szCs w:val="26"/>
          <w:u w:val="single"/>
        </w:rPr>
        <w:t xml:space="preserve">V roce 2021 by mělo dojít k mírnému poklesu některých regulovaných cen (zejména elektřiny a zemního plynu). Oslabení domácí poptávky v důsledku negativních dopadů pandemie povede ke snižování jádrové inflace. Opačným směrem, tzn. proinflačně, bude působit růst nákladů na potraviny, zvýšení spotřební daně z tabákových výrobků a nárůst cen ropy, který </w:t>
      </w:r>
      <w:r w:rsidRPr="006C6C89">
        <w:rPr>
          <w:rFonts w:asciiTheme="minorHAnsi" w:hAnsiTheme="minorHAnsi"/>
          <w:b/>
          <w:bCs/>
          <w:sz w:val="26"/>
          <w:szCs w:val="26"/>
          <w:u w:val="single"/>
        </w:rPr>
        <w:t>povede ke</w:t>
      </w:r>
      <w:r>
        <w:rPr>
          <w:rFonts w:asciiTheme="minorHAnsi" w:hAnsiTheme="minorHAnsi"/>
          <w:b/>
          <w:bCs/>
          <w:sz w:val="26"/>
          <w:szCs w:val="26"/>
          <w:u w:val="single"/>
        </w:rPr>
        <w:t> </w:t>
      </w:r>
      <w:r w:rsidRPr="006C6C89">
        <w:rPr>
          <w:rFonts w:asciiTheme="minorHAnsi" w:hAnsiTheme="minorHAnsi"/>
          <w:b/>
          <w:bCs/>
          <w:sz w:val="26"/>
          <w:szCs w:val="26"/>
          <w:u w:val="single"/>
        </w:rPr>
        <w:t>zvýšení cen pohonných hmot. Vysoký růst cen v lednu posune meziroční index nad 2</w:t>
      </w:r>
      <w:r>
        <w:rPr>
          <w:rFonts w:asciiTheme="minorHAnsi" w:hAnsiTheme="minorHAnsi"/>
          <w:b/>
          <w:bCs/>
          <w:sz w:val="26"/>
          <w:szCs w:val="26"/>
          <w:u w:val="single"/>
        </w:rPr>
        <w:t> </w:t>
      </w:r>
      <w:r w:rsidRPr="006C6C89">
        <w:rPr>
          <w:rFonts w:asciiTheme="minorHAnsi" w:hAnsiTheme="minorHAnsi"/>
          <w:b/>
          <w:bCs/>
          <w:sz w:val="26"/>
          <w:szCs w:val="26"/>
          <w:u w:val="single"/>
        </w:rPr>
        <w:t>% v</w:t>
      </w:r>
      <w:r>
        <w:rPr>
          <w:rFonts w:asciiTheme="minorHAnsi" w:hAnsiTheme="minorHAnsi"/>
          <w:b/>
          <w:bCs/>
          <w:sz w:val="26"/>
          <w:szCs w:val="26"/>
          <w:u w:val="single"/>
        </w:rPr>
        <w:t xml:space="preserve"> celém roce</w:t>
      </w:r>
      <w:r w:rsidRPr="006C6C89">
        <w:rPr>
          <w:rFonts w:asciiTheme="minorHAnsi" w:hAnsiTheme="minorHAnsi"/>
          <w:b/>
          <w:bCs/>
          <w:sz w:val="26"/>
          <w:szCs w:val="26"/>
          <w:u w:val="single"/>
        </w:rPr>
        <w:t xml:space="preserve">. V průběhu druhého čtvrtletí, či začátku třetího čtvrtletí lze rovněž očekávat krátkodobý nárůst cen související s uvolněním opatření ke zmírnění dopadů pandemie. Vzhledem k tomu, že </w:t>
      </w:r>
      <w:r>
        <w:rPr>
          <w:rFonts w:asciiTheme="minorHAnsi" w:hAnsiTheme="minorHAnsi"/>
          <w:b/>
          <w:bCs/>
          <w:sz w:val="26"/>
          <w:szCs w:val="26"/>
          <w:u w:val="single"/>
        </w:rPr>
        <w:t xml:space="preserve">do určité míry </w:t>
      </w:r>
      <w:r w:rsidRPr="006C6C89">
        <w:rPr>
          <w:rFonts w:asciiTheme="minorHAnsi" w:hAnsiTheme="minorHAnsi"/>
          <w:b/>
          <w:bCs/>
          <w:sz w:val="26"/>
          <w:szCs w:val="26"/>
          <w:u w:val="single"/>
        </w:rPr>
        <w:t>k</w:t>
      </w:r>
      <w:r>
        <w:rPr>
          <w:rFonts w:asciiTheme="minorHAnsi" w:hAnsiTheme="minorHAnsi"/>
          <w:b/>
          <w:bCs/>
          <w:sz w:val="26"/>
          <w:szCs w:val="26"/>
          <w:u w:val="single"/>
        </w:rPr>
        <w:t> </w:t>
      </w:r>
      <w:r w:rsidRPr="006C6C89">
        <w:rPr>
          <w:rFonts w:asciiTheme="minorHAnsi" w:hAnsiTheme="minorHAnsi"/>
          <w:b/>
          <w:bCs/>
          <w:sz w:val="26"/>
          <w:szCs w:val="26"/>
          <w:u w:val="single"/>
        </w:rPr>
        <w:t>tomuto jevu došlo i minulý rok (srovnávací základna pro současný rok), tak proinflační vliv na meziroční index nemusí být výrazný.</w:t>
      </w:r>
    </w:p>
    <w:p w14:paraId="576B2E85" w14:textId="77777777" w:rsidR="00161851" w:rsidRPr="006C6C89" w:rsidRDefault="00161851" w:rsidP="00161851">
      <w:pPr>
        <w:spacing w:after="120"/>
        <w:ind w:left="705"/>
        <w:jc w:val="both"/>
        <w:rPr>
          <w:rFonts w:asciiTheme="minorHAnsi" w:hAnsiTheme="minorHAnsi"/>
          <w:b/>
          <w:sz w:val="26"/>
          <w:szCs w:val="26"/>
          <w:u w:val="single"/>
        </w:rPr>
      </w:pPr>
    </w:p>
    <w:p w14:paraId="45E480EE" w14:textId="77777777" w:rsidR="00161851" w:rsidRPr="006C6C89" w:rsidRDefault="00161851" w:rsidP="00161851">
      <w:pPr>
        <w:spacing w:after="120"/>
        <w:ind w:left="705"/>
        <w:jc w:val="both"/>
        <w:rPr>
          <w:rFonts w:asciiTheme="minorHAnsi" w:hAnsiTheme="minorHAnsi"/>
          <w:b/>
          <w:bCs/>
          <w:sz w:val="26"/>
          <w:szCs w:val="26"/>
        </w:rPr>
      </w:pPr>
      <w:r w:rsidRPr="006C6C89">
        <w:rPr>
          <w:rFonts w:asciiTheme="minorHAnsi" w:hAnsiTheme="minorHAnsi"/>
          <w:b/>
          <w:sz w:val="26"/>
          <w:szCs w:val="26"/>
          <w:u w:val="single"/>
        </w:rPr>
        <w:t xml:space="preserve">MPSV odhaduje roční zvýšení spotřebitelské inflace v roce 2021 v intervalu </w:t>
      </w:r>
      <w:r w:rsidRPr="006C6C89">
        <w:rPr>
          <w:rFonts w:asciiTheme="minorHAnsi" w:hAnsiTheme="minorHAnsi"/>
          <w:b/>
          <w:sz w:val="26"/>
          <w:szCs w:val="26"/>
          <w:u w:val="single"/>
        </w:rPr>
        <w:br/>
        <w:t>1,9 až 2,9 %, tj. střed 2,4 % a v roce 2022 v rozpětí 1,5 – 2,5 % (střed 2,0 %).</w:t>
      </w:r>
    </w:p>
    <w:p w14:paraId="6A32F16A" w14:textId="77777777" w:rsidR="00161851" w:rsidRPr="00606B30" w:rsidRDefault="00161851" w:rsidP="00161851">
      <w:pPr>
        <w:spacing w:after="360" w:line="360" w:lineRule="auto"/>
        <w:ind w:left="357" w:hanging="357"/>
        <w:jc w:val="both"/>
        <w:rPr>
          <w:rFonts w:asciiTheme="minorHAnsi" w:hAnsiTheme="minorHAnsi"/>
          <w:b/>
          <w:sz w:val="26"/>
          <w:szCs w:val="26"/>
        </w:rPr>
      </w:pPr>
    </w:p>
    <w:p w14:paraId="3F64703C" w14:textId="56529052" w:rsidR="00161851" w:rsidRPr="00606B30" w:rsidRDefault="00161851" w:rsidP="00161851">
      <w:pPr>
        <w:spacing w:after="120" w:line="360" w:lineRule="auto"/>
        <w:jc w:val="both"/>
        <w:rPr>
          <w:rFonts w:asciiTheme="minorHAnsi" w:hAnsiTheme="minorHAnsi"/>
          <w:b/>
          <w:sz w:val="26"/>
          <w:szCs w:val="26"/>
        </w:rPr>
      </w:pPr>
      <w:r w:rsidRPr="00606B30">
        <w:rPr>
          <w:rFonts w:asciiTheme="minorHAnsi" w:hAnsiTheme="minorHAnsi"/>
          <w:b/>
          <w:sz w:val="26"/>
          <w:szCs w:val="26"/>
        </w:rPr>
        <w:tab/>
        <w:t>Tendence</w:t>
      </w:r>
      <w:r w:rsidR="005C2FDE">
        <w:rPr>
          <w:rFonts w:asciiTheme="minorHAnsi" w:hAnsiTheme="minorHAnsi"/>
          <w:b/>
          <w:sz w:val="26"/>
          <w:szCs w:val="26"/>
        </w:rPr>
        <w:t xml:space="preserve"> </w:t>
      </w:r>
      <w:r w:rsidRPr="00606B30">
        <w:rPr>
          <w:rFonts w:asciiTheme="minorHAnsi" w:hAnsiTheme="minorHAnsi"/>
          <w:b/>
          <w:sz w:val="26"/>
          <w:szCs w:val="26"/>
        </w:rPr>
        <w:t>nižší spotřeb</w:t>
      </w:r>
      <w:r w:rsidR="005C2FDE">
        <w:rPr>
          <w:rFonts w:asciiTheme="minorHAnsi" w:hAnsiTheme="minorHAnsi"/>
          <w:b/>
          <w:sz w:val="26"/>
          <w:szCs w:val="26"/>
        </w:rPr>
        <w:t>y</w:t>
      </w:r>
      <w:r w:rsidRPr="00606B30">
        <w:rPr>
          <w:rFonts w:asciiTheme="minorHAnsi" w:hAnsiTheme="minorHAnsi"/>
          <w:b/>
          <w:sz w:val="26"/>
          <w:szCs w:val="26"/>
        </w:rPr>
        <w:t>, převah</w:t>
      </w:r>
      <w:r w:rsidR="005C2FDE">
        <w:rPr>
          <w:rFonts w:asciiTheme="minorHAnsi" w:hAnsiTheme="minorHAnsi"/>
          <w:b/>
          <w:sz w:val="26"/>
          <w:szCs w:val="26"/>
        </w:rPr>
        <w:t>y</w:t>
      </w:r>
      <w:r w:rsidRPr="00606B30">
        <w:rPr>
          <w:rFonts w:asciiTheme="minorHAnsi" w:hAnsiTheme="minorHAnsi"/>
          <w:b/>
          <w:sz w:val="26"/>
          <w:szCs w:val="26"/>
        </w:rPr>
        <w:t xml:space="preserve"> úvěrů na bydlení a</w:t>
      </w:r>
      <w:r>
        <w:rPr>
          <w:rFonts w:asciiTheme="minorHAnsi" w:hAnsiTheme="minorHAnsi"/>
          <w:b/>
          <w:sz w:val="26"/>
          <w:szCs w:val="26"/>
        </w:rPr>
        <w:t xml:space="preserve"> </w:t>
      </w:r>
      <w:r w:rsidRPr="00606B30">
        <w:rPr>
          <w:rFonts w:asciiTheme="minorHAnsi" w:hAnsiTheme="minorHAnsi"/>
          <w:b/>
          <w:sz w:val="26"/>
          <w:szCs w:val="26"/>
        </w:rPr>
        <w:t>výrazné</w:t>
      </w:r>
      <w:r w:rsidR="005C2FDE">
        <w:rPr>
          <w:rFonts w:asciiTheme="minorHAnsi" w:hAnsiTheme="minorHAnsi"/>
          <w:b/>
          <w:sz w:val="26"/>
          <w:szCs w:val="26"/>
        </w:rPr>
        <w:t>ho</w:t>
      </w:r>
      <w:r w:rsidRPr="00606B30">
        <w:rPr>
          <w:rFonts w:asciiTheme="minorHAnsi" w:hAnsiTheme="minorHAnsi"/>
          <w:b/>
          <w:sz w:val="26"/>
          <w:szCs w:val="26"/>
        </w:rPr>
        <w:t xml:space="preserve"> zvyšování úspor domácností</w:t>
      </w:r>
      <w:r w:rsidRPr="00606B30">
        <w:rPr>
          <w:rFonts w:asciiTheme="minorHAnsi" w:hAnsiTheme="minorHAnsi"/>
          <w:sz w:val="26"/>
          <w:szCs w:val="26"/>
        </w:rPr>
        <w:t xml:space="preserve"> </w:t>
      </w:r>
      <w:r w:rsidRPr="00606B30">
        <w:rPr>
          <w:rFonts w:asciiTheme="minorHAnsi" w:hAnsiTheme="minorHAnsi"/>
          <w:b/>
          <w:sz w:val="26"/>
          <w:szCs w:val="26"/>
        </w:rPr>
        <w:t>pokračovaly také na počátku roku 2021:</w:t>
      </w:r>
    </w:p>
    <w:p w14:paraId="0B3289E3" w14:textId="77777777" w:rsidR="00161851" w:rsidRPr="00606B30" w:rsidRDefault="00161851" w:rsidP="00161851">
      <w:pPr>
        <w:numPr>
          <w:ilvl w:val="0"/>
          <w:numId w:val="26"/>
        </w:numPr>
        <w:spacing w:after="120" w:line="360" w:lineRule="auto"/>
        <w:ind w:left="703" w:hanging="703"/>
        <w:jc w:val="both"/>
        <w:rPr>
          <w:rFonts w:asciiTheme="minorHAnsi" w:hAnsiTheme="minorHAnsi"/>
          <w:sz w:val="26"/>
          <w:szCs w:val="26"/>
        </w:rPr>
      </w:pPr>
      <w:r w:rsidRPr="00606B30">
        <w:rPr>
          <w:rFonts w:asciiTheme="minorHAnsi" w:hAnsiTheme="minorHAnsi"/>
          <w:b/>
          <w:sz w:val="26"/>
          <w:szCs w:val="26"/>
        </w:rPr>
        <w:t xml:space="preserve">tržby v maloobchodě </w:t>
      </w:r>
      <w:r w:rsidRPr="00606B30">
        <w:rPr>
          <w:rFonts w:asciiTheme="minorHAnsi" w:hAnsiTheme="minorHAnsi"/>
          <w:sz w:val="26"/>
          <w:szCs w:val="26"/>
        </w:rPr>
        <w:t>očištěné o kalendářní vlivy</w:t>
      </w:r>
      <w:r w:rsidRPr="00606B30">
        <w:rPr>
          <w:rFonts w:asciiTheme="minorHAnsi" w:hAnsiTheme="minorHAnsi"/>
          <w:b/>
          <w:sz w:val="26"/>
          <w:szCs w:val="26"/>
        </w:rPr>
        <w:t xml:space="preserve"> klesly v</w:t>
      </w:r>
      <w:r w:rsidRPr="00606B30">
        <w:rPr>
          <w:rFonts w:asciiTheme="minorHAnsi" w:hAnsiTheme="minorHAnsi"/>
          <w:sz w:val="26"/>
          <w:szCs w:val="26"/>
        </w:rPr>
        <w:t xml:space="preserve"> letošním </w:t>
      </w:r>
      <w:r w:rsidRPr="00606B30">
        <w:rPr>
          <w:rFonts w:asciiTheme="minorHAnsi" w:hAnsiTheme="minorHAnsi"/>
          <w:b/>
          <w:sz w:val="26"/>
          <w:szCs w:val="26"/>
        </w:rPr>
        <w:t>lednu</w:t>
      </w:r>
      <w:r w:rsidRPr="00606B30">
        <w:rPr>
          <w:rFonts w:asciiTheme="minorHAnsi" w:hAnsiTheme="minorHAnsi"/>
          <w:sz w:val="26"/>
          <w:szCs w:val="26"/>
        </w:rPr>
        <w:t xml:space="preserve"> </w:t>
      </w:r>
      <w:r w:rsidRPr="00606B30">
        <w:rPr>
          <w:rFonts w:asciiTheme="minorHAnsi" w:hAnsiTheme="minorHAnsi"/>
          <w:b/>
          <w:sz w:val="26"/>
          <w:szCs w:val="26"/>
        </w:rPr>
        <w:t>meziročně o 6,4 % a v únoru o 3,0 %,</w:t>
      </w:r>
      <w:r w:rsidRPr="00606B30">
        <w:rPr>
          <w:rFonts w:asciiTheme="minorHAnsi" w:hAnsiTheme="minorHAnsi"/>
          <w:sz w:val="26"/>
          <w:szCs w:val="26"/>
        </w:rPr>
        <w:t xml:space="preserve"> kdy byl prodej ovlivněn omezením prodeje či úplným uzavřením prodejen některých sortimentů nepotravinářského zboží z</w:t>
      </w:r>
      <w:r>
        <w:rPr>
          <w:rFonts w:asciiTheme="minorHAnsi" w:hAnsiTheme="minorHAnsi"/>
          <w:sz w:val="26"/>
          <w:szCs w:val="26"/>
        </w:rPr>
        <w:t> </w:t>
      </w:r>
      <w:r w:rsidRPr="00606B30">
        <w:rPr>
          <w:rFonts w:asciiTheme="minorHAnsi" w:hAnsiTheme="minorHAnsi"/>
          <w:sz w:val="26"/>
          <w:szCs w:val="26"/>
        </w:rPr>
        <w:t xml:space="preserve">důvodu opatření proti šíření </w:t>
      </w:r>
      <w:r w:rsidRPr="00606B30">
        <w:rPr>
          <w:rFonts w:ascii="Calibri" w:hAnsi="Calibri" w:cs="Calibri"/>
          <w:sz w:val="26"/>
          <w:szCs w:val="26"/>
        </w:rPr>
        <w:t>pandemie viru SARS-CoV-2, a vzrostly jen v</w:t>
      </w:r>
      <w:r>
        <w:rPr>
          <w:rFonts w:ascii="Calibri" w:hAnsi="Calibri" w:cs="Calibri"/>
          <w:sz w:val="26"/>
          <w:szCs w:val="26"/>
        </w:rPr>
        <w:t> </w:t>
      </w:r>
      <w:r w:rsidRPr="00606B30">
        <w:rPr>
          <w:rFonts w:ascii="Calibri" w:hAnsi="Calibri" w:cs="Calibri"/>
          <w:sz w:val="26"/>
          <w:szCs w:val="26"/>
        </w:rPr>
        <w:t>případě internetových a zásilkových obchodů</w:t>
      </w:r>
      <w:r w:rsidRPr="00606B30">
        <w:rPr>
          <w:rFonts w:asciiTheme="minorHAnsi" w:hAnsiTheme="minorHAnsi"/>
          <w:sz w:val="26"/>
          <w:szCs w:val="26"/>
          <w:lang w:val="en-US"/>
        </w:rPr>
        <w:t xml:space="preserve">; </w:t>
      </w:r>
      <w:r w:rsidRPr="00606B30">
        <w:rPr>
          <w:rFonts w:asciiTheme="minorHAnsi" w:hAnsiTheme="minorHAnsi"/>
          <w:sz w:val="26"/>
          <w:szCs w:val="26"/>
        </w:rPr>
        <w:t>mírně lepší situace byla zaznamenána</w:t>
      </w:r>
      <w:r w:rsidRPr="00606B30">
        <w:rPr>
          <w:rFonts w:asciiTheme="minorHAnsi" w:hAnsiTheme="minorHAnsi"/>
          <w:sz w:val="26"/>
          <w:szCs w:val="26"/>
          <w:lang w:val="en-US"/>
        </w:rPr>
        <w:t xml:space="preserve"> u </w:t>
      </w:r>
      <w:r w:rsidRPr="00606B30">
        <w:rPr>
          <w:rFonts w:asciiTheme="minorHAnsi" w:hAnsiTheme="minorHAnsi"/>
          <w:sz w:val="26"/>
          <w:szCs w:val="26"/>
        </w:rPr>
        <w:t>tržeb</w:t>
      </w:r>
      <w:r w:rsidRPr="00606B30">
        <w:rPr>
          <w:rFonts w:asciiTheme="minorHAnsi" w:hAnsiTheme="minorHAnsi"/>
          <w:b/>
          <w:sz w:val="26"/>
          <w:szCs w:val="26"/>
        </w:rPr>
        <w:t xml:space="preserve"> </w:t>
      </w:r>
      <w:r w:rsidRPr="00606B30">
        <w:rPr>
          <w:rStyle w:val="Siln"/>
          <w:rFonts w:asciiTheme="minorHAnsi" w:hAnsiTheme="minorHAnsi"/>
          <w:sz w:val="26"/>
          <w:szCs w:val="26"/>
        </w:rPr>
        <w:t>za prodej a opravy motorových vozidel, které</w:t>
      </w:r>
      <w:r w:rsidRPr="00606B30">
        <w:rPr>
          <w:rFonts w:asciiTheme="minorHAnsi" w:hAnsiTheme="minorHAnsi"/>
          <w:b/>
          <w:sz w:val="26"/>
          <w:szCs w:val="26"/>
        </w:rPr>
        <w:t xml:space="preserve"> se zvýšily meziročně v lednu </w:t>
      </w:r>
      <w:r w:rsidRPr="00606B30">
        <w:rPr>
          <w:rFonts w:asciiTheme="minorHAnsi" w:hAnsiTheme="minorHAnsi"/>
          <w:sz w:val="26"/>
          <w:szCs w:val="26"/>
        </w:rPr>
        <w:t xml:space="preserve">o 2,7 % </w:t>
      </w:r>
      <w:r w:rsidRPr="00606B30">
        <w:rPr>
          <w:rFonts w:asciiTheme="minorHAnsi" w:hAnsiTheme="minorHAnsi"/>
          <w:b/>
          <w:sz w:val="26"/>
          <w:szCs w:val="26"/>
        </w:rPr>
        <w:t xml:space="preserve">a v únoru poklesly </w:t>
      </w:r>
      <w:r w:rsidRPr="00606B30">
        <w:rPr>
          <w:rFonts w:asciiTheme="minorHAnsi" w:hAnsiTheme="minorHAnsi"/>
          <w:sz w:val="26"/>
          <w:szCs w:val="26"/>
        </w:rPr>
        <w:t>o 1,5 %</w:t>
      </w:r>
      <w:r w:rsidRPr="00606B30">
        <w:rPr>
          <w:rFonts w:asciiTheme="minorHAnsi" w:hAnsiTheme="minorHAnsi"/>
          <w:bCs/>
          <w:sz w:val="26"/>
          <w:szCs w:val="26"/>
        </w:rPr>
        <w:t>,</w:t>
      </w:r>
    </w:p>
    <w:p w14:paraId="2CE08602" w14:textId="77777777" w:rsidR="00161851" w:rsidRPr="00606B30" w:rsidRDefault="00161851" w:rsidP="00161851">
      <w:pPr>
        <w:numPr>
          <w:ilvl w:val="0"/>
          <w:numId w:val="26"/>
        </w:numPr>
        <w:spacing w:after="120" w:line="360" w:lineRule="auto"/>
        <w:ind w:left="703" w:hanging="703"/>
        <w:jc w:val="both"/>
        <w:rPr>
          <w:rFonts w:asciiTheme="minorHAnsi" w:hAnsiTheme="minorHAnsi"/>
          <w:sz w:val="26"/>
          <w:szCs w:val="26"/>
        </w:rPr>
      </w:pPr>
      <w:r w:rsidRPr="00606B30">
        <w:rPr>
          <w:rFonts w:asciiTheme="minorHAnsi" w:hAnsiTheme="minorHAnsi"/>
          <w:bCs/>
          <w:sz w:val="26"/>
          <w:szCs w:val="26"/>
        </w:rPr>
        <w:t xml:space="preserve">za první dva měsíce tohoto roku vzrostl celkový </w:t>
      </w:r>
      <w:r w:rsidRPr="00606B30">
        <w:rPr>
          <w:rFonts w:asciiTheme="minorHAnsi" w:hAnsiTheme="minorHAnsi"/>
          <w:b/>
          <w:bCs/>
          <w:sz w:val="26"/>
          <w:szCs w:val="26"/>
        </w:rPr>
        <w:t>objem bankovních úvěrů</w:t>
      </w:r>
      <w:r w:rsidRPr="00606B30">
        <w:rPr>
          <w:rFonts w:asciiTheme="minorHAnsi" w:hAnsiTheme="minorHAnsi"/>
          <w:sz w:val="26"/>
          <w:szCs w:val="26"/>
        </w:rPr>
        <w:t xml:space="preserve"> </w:t>
      </w:r>
      <w:r w:rsidRPr="00606B30">
        <w:rPr>
          <w:rFonts w:asciiTheme="minorHAnsi" w:hAnsiTheme="minorHAnsi"/>
          <w:bCs/>
          <w:sz w:val="26"/>
          <w:szCs w:val="26"/>
        </w:rPr>
        <w:t>oproti prosinci 2020 o 13,6 mld. Kč</w:t>
      </w:r>
      <w:r w:rsidRPr="00606B30">
        <w:rPr>
          <w:rFonts w:asciiTheme="minorHAnsi" w:hAnsiTheme="minorHAnsi"/>
          <w:b/>
          <w:bCs/>
          <w:sz w:val="26"/>
          <w:szCs w:val="26"/>
        </w:rPr>
        <w:t xml:space="preserve"> na 1 876,0 mld. Kč</w:t>
      </w:r>
      <w:r w:rsidRPr="00606B30">
        <w:rPr>
          <w:rFonts w:asciiTheme="minorHAnsi" w:hAnsiTheme="minorHAnsi"/>
          <w:b/>
          <w:sz w:val="26"/>
          <w:szCs w:val="26"/>
        </w:rPr>
        <w:t>;</w:t>
      </w:r>
      <w:r w:rsidRPr="00606B30">
        <w:rPr>
          <w:rFonts w:asciiTheme="minorHAnsi" w:hAnsiTheme="minorHAnsi"/>
          <w:sz w:val="26"/>
          <w:szCs w:val="26"/>
        </w:rPr>
        <w:t xml:space="preserve"> stejně jako v předchozím roce</w:t>
      </w:r>
      <w:r w:rsidRPr="00606B30">
        <w:rPr>
          <w:rFonts w:asciiTheme="minorHAnsi" w:hAnsiTheme="minorHAnsi"/>
          <w:b/>
          <w:sz w:val="26"/>
          <w:szCs w:val="26"/>
        </w:rPr>
        <w:t xml:space="preserve"> zaznamenaly růst výhradně úvěry na bydlení</w:t>
      </w:r>
      <w:r w:rsidRPr="00606B30">
        <w:rPr>
          <w:rFonts w:asciiTheme="minorHAnsi" w:hAnsiTheme="minorHAnsi"/>
          <w:sz w:val="26"/>
          <w:szCs w:val="26"/>
        </w:rPr>
        <w:t xml:space="preserve"> (o 16,2 mld. Kč),</w:t>
      </w:r>
    </w:p>
    <w:p w14:paraId="3C81CB93" w14:textId="77777777" w:rsidR="00161851" w:rsidRPr="00AF13F3" w:rsidRDefault="00161851" w:rsidP="00161851">
      <w:pPr>
        <w:numPr>
          <w:ilvl w:val="0"/>
          <w:numId w:val="26"/>
        </w:numPr>
        <w:spacing w:after="240" w:line="360" w:lineRule="auto"/>
        <w:ind w:left="703" w:hanging="703"/>
        <w:jc w:val="both"/>
        <w:rPr>
          <w:rFonts w:asciiTheme="minorHAnsi" w:hAnsiTheme="minorHAnsi"/>
          <w:sz w:val="26"/>
          <w:szCs w:val="26"/>
        </w:rPr>
      </w:pPr>
      <w:r w:rsidRPr="00606B30">
        <w:rPr>
          <w:rFonts w:asciiTheme="minorHAnsi" w:hAnsiTheme="minorHAnsi"/>
          <w:b/>
          <w:sz w:val="26"/>
          <w:szCs w:val="26"/>
        </w:rPr>
        <w:lastRenderedPageBreak/>
        <w:t>trend velmi vysokého růstu úspor pokračoval i v lednu a únoru</w:t>
      </w:r>
      <w:r w:rsidRPr="00606B30">
        <w:rPr>
          <w:rFonts w:asciiTheme="minorHAnsi" w:hAnsiTheme="minorHAnsi"/>
          <w:sz w:val="26"/>
          <w:szCs w:val="26"/>
        </w:rPr>
        <w:t xml:space="preserve"> (oproti prosinci </w:t>
      </w:r>
      <w:r w:rsidRPr="00606B30">
        <w:rPr>
          <w:rFonts w:asciiTheme="minorHAnsi" w:hAnsiTheme="minorHAnsi"/>
          <w:bCs/>
          <w:sz w:val="26"/>
          <w:szCs w:val="26"/>
        </w:rPr>
        <w:t>o 82,9 mld. Kč</w:t>
      </w:r>
      <w:r w:rsidRPr="00606B30">
        <w:rPr>
          <w:rFonts w:asciiTheme="minorHAnsi" w:hAnsiTheme="minorHAnsi"/>
          <w:b/>
          <w:bCs/>
          <w:sz w:val="26"/>
          <w:szCs w:val="26"/>
        </w:rPr>
        <w:t xml:space="preserve"> </w:t>
      </w:r>
      <w:r w:rsidRPr="00606B30">
        <w:rPr>
          <w:rFonts w:asciiTheme="minorHAnsi" w:hAnsiTheme="minorHAnsi"/>
          <w:bCs/>
          <w:sz w:val="26"/>
          <w:szCs w:val="26"/>
        </w:rPr>
        <w:t>na 3 139,8</w:t>
      </w:r>
      <w:r w:rsidRPr="00606B30">
        <w:rPr>
          <w:rFonts w:asciiTheme="minorHAnsi" w:hAnsiTheme="minorHAnsi"/>
          <w:sz w:val="26"/>
          <w:szCs w:val="26"/>
        </w:rPr>
        <w:t> </w:t>
      </w:r>
      <w:r w:rsidRPr="00606B30">
        <w:rPr>
          <w:rFonts w:asciiTheme="minorHAnsi" w:hAnsiTheme="minorHAnsi"/>
          <w:bCs/>
          <w:sz w:val="26"/>
          <w:szCs w:val="26"/>
        </w:rPr>
        <w:t>mld. Kč)</w:t>
      </w:r>
      <w:r w:rsidRPr="00606B30">
        <w:rPr>
          <w:rFonts w:asciiTheme="minorHAnsi" w:hAnsiTheme="minorHAnsi"/>
          <w:sz w:val="26"/>
          <w:szCs w:val="26"/>
        </w:rPr>
        <w:t xml:space="preserve">; </w:t>
      </w:r>
      <w:r w:rsidRPr="00606B30">
        <w:rPr>
          <w:rFonts w:asciiTheme="minorHAnsi" w:hAnsiTheme="minorHAnsi"/>
          <w:b/>
          <w:sz w:val="26"/>
          <w:szCs w:val="26"/>
        </w:rPr>
        <w:t>přírůstek</w:t>
      </w:r>
      <w:r w:rsidRPr="00606B30">
        <w:rPr>
          <w:rFonts w:asciiTheme="minorHAnsi" w:hAnsiTheme="minorHAnsi"/>
          <w:sz w:val="26"/>
          <w:szCs w:val="26"/>
        </w:rPr>
        <w:t xml:space="preserve"> přitom </w:t>
      </w:r>
      <w:r w:rsidRPr="00606B30">
        <w:rPr>
          <w:rFonts w:asciiTheme="minorHAnsi" w:hAnsiTheme="minorHAnsi"/>
          <w:b/>
          <w:sz w:val="26"/>
          <w:szCs w:val="26"/>
        </w:rPr>
        <w:t xml:space="preserve">zaznamenaly pouze netermínované vklady </w:t>
      </w:r>
      <w:r w:rsidRPr="00606B30">
        <w:rPr>
          <w:rFonts w:asciiTheme="minorHAnsi" w:hAnsiTheme="minorHAnsi"/>
          <w:bCs/>
          <w:sz w:val="26"/>
          <w:szCs w:val="26"/>
        </w:rPr>
        <w:t>(o 91,1 mld.</w:t>
      </w:r>
      <w:r>
        <w:rPr>
          <w:rFonts w:asciiTheme="minorHAnsi" w:hAnsiTheme="minorHAnsi"/>
          <w:bCs/>
          <w:sz w:val="26"/>
          <w:szCs w:val="26"/>
        </w:rPr>
        <w:t> </w:t>
      </w:r>
      <w:r w:rsidRPr="00606B30">
        <w:rPr>
          <w:rFonts w:asciiTheme="minorHAnsi" w:hAnsiTheme="minorHAnsi"/>
          <w:bCs/>
          <w:sz w:val="26"/>
          <w:szCs w:val="26"/>
        </w:rPr>
        <w:t>Kč).</w:t>
      </w:r>
    </w:p>
    <w:p w14:paraId="5A6B9FDE" w14:textId="77777777" w:rsidR="00161851" w:rsidRPr="00AF13F3" w:rsidRDefault="00161851" w:rsidP="00161851">
      <w:pPr>
        <w:spacing w:after="360"/>
        <w:ind w:left="708"/>
        <w:jc w:val="both"/>
        <w:rPr>
          <w:rFonts w:asciiTheme="minorHAnsi" w:hAnsiTheme="minorHAnsi"/>
          <w:b/>
          <w:sz w:val="26"/>
          <w:szCs w:val="26"/>
          <w:u w:val="single"/>
        </w:rPr>
      </w:pPr>
      <w:r w:rsidRPr="00AF13F3">
        <w:rPr>
          <w:rFonts w:asciiTheme="minorHAnsi" w:hAnsiTheme="minorHAnsi"/>
          <w:b/>
          <w:sz w:val="26"/>
          <w:szCs w:val="26"/>
          <w:u w:val="single"/>
        </w:rPr>
        <w:t>V</w:t>
      </w:r>
      <w:r>
        <w:rPr>
          <w:rFonts w:asciiTheme="minorHAnsi" w:hAnsiTheme="minorHAnsi"/>
          <w:b/>
          <w:sz w:val="26"/>
          <w:szCs w:val="26"/>
          <w:u w:val="single"/>
        </w:rPr>
        <w:t xml:space="preserve"> </w:t>
      </w:r>
      <w:r w:rsidRPr="00AF13F3">
        <w:rPr>
          <w:rFonts w:asciiTheme="minorHAnsi" w:hAnsiTheme="minorHAnsi"/>
          <w:b/>
          <w:sz w:val="26"/>
          <w:szCs w:val="26"/>
          <w:u w:val="single"/>
        </w:rPr>
        <w:t>1. polovině tohoto roku lze nadále očekávat nezměněné pokračování trendů z počátku roku v přímé souvislosti s pandemií viru SARS-CoV-2, resp. opatřeními, jež mají šíření nákazy zabránit. Domácnosti budou tvořit úspory na úkor výdajů na konečnou spotřebu až do ukončení striktnějších opatření omezujících prodej zboží a služeb a růst úvěrů bude zaměřen zejména na oblast bydlení. Poté lze předpokládat nárůst spotřeby domácností, která bude výsledkem odložené spotřeby a tvorby úspor. V</w:t>
      </w:r>
      <w:r>
        <w:rPr>
          <w:rFonts w:asciiTheme="minorHAnsi" w:hAnsiTheme="minorHAnsi"/>
          <w:b/>
          <w:sz w:val="26"/>
          <w:szCs w:val="26"/>
          <w:u w:val="single"/>
        </w:rPr>
        <w:t xml:space="preserve"> </w:t>
      </w:r>
      <w:r w:rsidRPr="00AF13F3">
        <w:rPr>
          <w:rFonts w:asciiTheme="minorHAnsi" w:hAnsiTheme="minorHAnsi"/>
          <w:b/>
          <w:sz w:val="26"/>
          <w:szCs w:val="26"/>
          <w:u w:val="single"/>
        </w:rPr>
        <w:t xml:space="preserve">ČR však zatím nejsou k dispozici přesnější údaje o rozložení úspor a finanční situaci v rámci různých kategorií domácností. Jestliže byla tvorba úspor výrazně nerovnoměrná, tak by mohl být nárůst spotřeby spíše krátkodobý a dlouhodobě by vlivem vyšší nezaměstnanosti, ukončení činnosti některých podniků a nižšího růstu příjmů mohly mít výdaje domácností </w:t>
      </w:r>
      <w:r>
        <w:rPr>
          <w:rFonts w:asciiTheme="minorHAnsi" w:hAnsiTheme="minorHAnsi"/>
          <w:b/>
          <w:sz w:val="26"/>
          <w:szCs w:val="26"/>
          <w:u w:val="single"/>
        </w:rPr>
        <w:t xml:space="preserve">znatelně </w:t>
      </w:r>
      <w:r w:rsidRPr="00AF13F3">
        <w:rPr>
          <w:rFonts w:asciiTheme="minorHAnsi" w:hAnsiTheme="minorHAnsi"/>
          <w:b/>
          <w:sz w:val="26"/>
          <w:szCs w:val="26"/>
          <w:u w:val="single"/>
        </w:rPr>
        <w:t>pomalejší dynamiku než v</w:t>
      </w:r>
      <w:r>
        <w:rPr>
          <w:rFonts w:asciiTheme="minorHAnsi" w:hAnsiTheme="minorHAnsi"/>
          <w:b/>
          <w:sz w:val="26"/>
          <w:szCs w:val="26"/>
          <w:u w:val="single"/>
        </w:rPr>
        <w:t xml:space="preserve"> </w:t>
      </w:r>
      <w:r w:rsidRPr="00AF13F3">
        <w:rPr>
          <w:rFonts w:asciiTheme="minorHAnsi" w:hAnsiTheme="minorHAnsi"/>
          <w:b/>
          <w:sz w:val="26"/>
          <w:szCs w:val="26"/>
          <w:u w:val="single"/>
        </w:rPr>
        <w:t xml:space="preserve">období </w:t>
      </w:r>
      <w:r>
        <w:rPr>
          <w:rFonts w:asciiTheme="minorHAnsi" w:hAnsiTheme="minorHAnsi"/>
          <w:b/>
          <w:sz w:val="26"/>
          <w:szCs w:val="26"/>
          <w:u w:val="single"/>
        </w:rPr>
        <w:t>před vypuknutím pandemie</w:t>
      </w:r>
      <w:r w:rsidRPr="00AF13F3">
        <w:rPr>
          <w:rFonts w:asciiTheme="minorHAnsi" w:hAnsiTheme="minorHAnsi"/>
          <w:b/>
          <w:sz w:val="26"/>
          <w:szCs w:val="26"/>
          <w:u w:val="single"/>
        </w:rPr>
        <w:t>.</w:t>
      </w:r>
    </w:p>
    <w:p w14:paraId="51830CAF" w14:textId="0477330F" w:rsidR="00161851" w:rsidRPr="00161851" w:rsidRDefault="00161851" w:rsidP="00161851"/>
    <w:sectPr w:rsidR="00161851" w:rsidRPr="00161851" w:rsidSect="00A96EE8">
      <w:footerReference w:type="default" r:id="rId29"/>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82EF1" w14:textId="77777777" w:rsidR="00562E3D" w:rsidRDefault="00562E3D">
      <w:r>
        <w:separator/>
      </w:r>
    </w:p>
  </w:endnote>
  <w:endnote w:type="continuationSeparator" w:id="0">
    <w:p w14:paraId="151D4358" w14:textId="77777777" w:rsidR="00562E3D" w:rsidRDefault="00562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A8B84" w14:textId="77777777" w:rsidR="00621D94" w:rsidRDefault="00621D94" w:rsidP="009D61E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E46ECCC" w14:textId="77777777" w:rsidR="00621D94" w:rsidRDefault="00621D94" w:rsidP="009D61EF">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51B25" w14:textId="77777777" w:rsidR="00621D94" w:rsidRDefault="00621D94" w:rsidP="009D61EF">
    <w:pPr>
      <w:pStyle w:val="Zpat"/>
      <w:framePr w:wrap="around" w:vAnchor="text" w:hAnchor="margin" w:xAlign="center" w:y="1"/>
      <w:ind w:right="360"/>
      <w:rPr>
        <w:rStyle w:val="slostrnky"/>
      </w:rPr>
    </w:pPr>
  </w:p>
  <w:p w14:paraId="499F0AD8" w14:textId="77777777" w:rsidR="00621D94" w:rsidRDefault="00621D94" w:rsidP="0012791D">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32181" w14:textId="77777777" w:rsidR="00621D94" w:rsidRDefault="00621D94">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B03DE" w14:textId="77777777" w:rsidR="00621D94" w:rsidRPr="00A96EE8" w:rsidRDefault="00621D94">
    <w:pPr>
      <w:pStyle w:val="Zpat"/>
      <w:jc w:val="center"/>
    </w:pPr>
    <w:r w:rsidRPr="00A96EE8">
      <w:fldChar w:fldCharType="begin"/>
    </w:r>
    <w:r w:rsidRPr="00A96EE8">
      <w:instrText>PAGE   \* MERGEFORMAT</w:instrText>
    </w:r>
    <w:r w:rsidRPr="00A96EE8">
      <w:fldChar w:fldCharType="separate"/>
    </w:r>
    <w:r>
      <w:rPr>
        <w:noProof/>
      </w:rPr>
      <w:t>43</w:t>
    </w:r>
    <w:r w:rsidRPr="00A96EE8">
      <w:fldChar w:fldCharType="end"/>
    </w:r>
  </w:p>
  <w:p w14:paraId="7EA040E0" w14:textId="77777777" w:rsidR="00621D94" w:rsidRDefault="00621D94" w:rsidP="009D61EF">
    <w:pPr>
      <w:pStyle w:val="Zpa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8818F" w14:textId="77777777" w:rsidR="00562E3D" w:rsidRDefault="00562E3D">
      <w:r>
        <w:separator/>
      </w:r>
    </w:p>
  </w:footnote>
  <w:footnote w:type="continuationSeparator" w:id="0">
    <w:p w14:paraId="0A5760DC" w14:textId="77777777" w:rsidR="00562E3D" w:rsidRDefault="00562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EB496" w14:textId="77777777" w:rsidR="00621D94" w:rsidRDefault="00621D9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24776" w14:textId="77777777" w:rsidR="00621D94" w:rsidRDefault="00621D9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61758" w14:textId="77777777" w:rsidR="00621D94" w:rsidRDefault="00621D9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31" type="#_x0000_t75" style="width:11.5pt;height:11.5pt" o:bullet="t">
        <v:imagedata r:id="rId1" o:title="msoA26B"/>
      </v:shape>
    </w:pict>
  </w:numPicBullet>
  <w:abstractNum w:abstractNumId="0" w15:restartNumberingAfterBreak="0">
    <w:nsid w:val="04834585"/>
    <w:multiLevelType w:val="hybridMultilevel"/>
    <w:tmpl w:val="D02247C8"/>
    <w:lvl w:ilvl="0" w:tplc="59580EFA">
      <w:start w:val="1"/>
      <w:numFmt w:val="bullet"/>
      <w:lvlText w:val=""/>
      <w:lvlJc w:val="left"/>
      <w:pPr>
        <w:ind w:left="720" w:hanging="360"/>
      </w:pPr>
      <w:rPr>
        <w:rFonts w:ascii="Wingdings" w:hAnsi="Wingdings" w:hint="default"/>
        <w:b/>
        <w:bCs/>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856A66"/>
    <w:multiLevelType w:val="hybridMultilevel"/>
    <w:tmpl w:val="3628EEFE"/>
    <w:lvl w:ilvl="0" w:tplc="B3069C9E">
      <w:start w:val="1"/>
      <w:numFmt w:val="bullet"/>
      <w:lvlText w:val=""/>
      <w:lvlJc w:val="left"/>
      <w:pPr>
        <w:tabs>
          <w:tab w:val="num" w:pos="720"/>
        </w:tabs>
        <w:ind w:left="720" w:hanging="360"/>
      </w:pPr>
      <w:rPr>
        <w:rFonts w:ascii="Wingdings" w:hAnsi="Wingdings" w:hint="default"/>
        <w:b/>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C22C6"/>
    <w:multiLevelType w:val="multilevel"/>
    <w:tmpl w:val="04050027"/>
    <w:lvl w:ilvl="0">
      <w:start w:val="1"/>
      <w:numFmt w:val="upperRoman"/>
      <w:pStyle w:val="Nadpis1"/>
      <w:lvlText w:val="%1."/>
      <w:lvlJc w:val="left"/>
      <w:pPr>
        <w:tabs>
          <w:tab w:val="num" w:pos="360"/>
        </w:tabs>
        <w:ind w:left="0" w:firstLine="0"/>
      </w:pPr>
    </w:lvl>
    <w:lvl w:ilvl="1">
      <w:start w:val="1"/>
      <w:numFmt w:val="upperLetter"/>
      <w:pStyle w:val="Nadpis2"/>
      <w:lvlText w:val="%2."/>
      <w:lvlJc w:val="left"/>
      <w:pPr>
        <w:tabs>
          <w:tab w:val="num" w:pos="1080"/>
        </w:tabs>
        <w:ind w:left="720" w:firstLine="0"/>
      </w:pPr>
    </w:lvl>
    <w:lvl w:ilvl="2">
      <w:start w:val="1"/>
      <w:numFmt w:val="decimal"/>
      <w:pStyle w:val="Nadpis3"/>
      <w:lvlText w:val="%3."/>
      <w:lvlJc w:val="left"/>
      <w:pPr>
        <w:tabs>
          <w:tab w:val="num" w:pos="360"/>
        </w:tabs>
        <w:ind w:left="0" w:firstLine="0"/>
      </w:pPr>
    </w:lvl>
    <w:lvl w:ilvl="3">
      <w:start w:val="1"/>
      <w:numFmt w:val="lowerLetter"/>
      <w:pStyle w:val="Nadpis4"/>
      <w:lvlText w:val="%4)"/>
      <w:lvlJc w:val="left"/>
      <w:pPr>
        <w:tabs>
          <w:tab w:val="num" w:pos="2520"/>
        </w:tabs>
        <w:ind w:left="2160" w:firstLine="0"/>
      </w:pPr>
    </w:lvl>
    <w:lvl w:ilvl="4">
      <w:start w:val="1"/>
      <w:numFmt w:val="decimal"/>
      <w:pStyle w:val="Nadpis5"/>
      <w:lvlText w:val="(%5)"/>
      <w:lvlJc w:val="left"/>
      <w:pPr>
        <w:tabs>
          <w:tab w:val="num" w:pos="3240"/>
        </w:tabs>
        <w:ind w:left="2880" w:firstLine="0"/>
      </w:pPr>
    </w:lvl>
    <w:lvl w:ilvl="5">
      <w:start w:val="1"/>
      <w:numFmt w:val="lowerLetter"/>
      <w:pStyle w:val="Nadpis6"/>
      <w:lvlText w:val="(%6)"/>
      <w:lvlJc w:val="left"/>
      <w:pPr>
        <w:tabs>
          <w:tab w:val="num" w:pos="3960"/>
        </w:tabs>
        <w:ind w:left="3600" w:firstLine="0"/>
      </w:pPr>
    </w:lvl>
    <w:lvl w:ilvl="6">
      <w:start w:val="1"/>
      <w:numFmt w:val="lowerRoman"/>
      <w:pStyle w:val="Nadpis7"/>
      <w:lvlText w:val="(%7)"/>
      <w:lvlJc w:val="left"/>
      <w:pPr>
        <w:tabs>
          <w:tab w:val="num" w:pos="4680"/>
        </w:tabs>
        <w:ind w:left="4320" w:firstLine="0"/>
      </w:pPr>
    </w:lvl>
    <w:lvl w:ilvl="7">
      <w:start w:val="1"/>
      <w:numFmt w:val="lowerLetter"/>
      <w:pStyle w:val="Nadpis8"/>
      <w:lvlText w:val="(%8)"/>
      <w:lvlJc w:val="left"/>
      <w:pPr>
        <w:tabs>
          <w:tab w:val="num" w:pos="5400"/>
        </w:tabs>
        <w:ind w:left="5040" w:firstLine="0"/>
      </w:pPr>
    </w:lvl>
    <w:lvl w:ilvl="8">
      <w:start w:val="1"/>
      <w:numFmt w:val="lowerRoman"/>
      <w:pStyle w:val="Nadpis9"/>
      <w:lvlText w:val="(%9)"/>
      <w:lvlJc w:val="left"/>
      <w:pPr>
        <w:tabs>
          <w:tab w:val="num" w:pos="6120"/>
        </w:tabs>
        <w:ind w:left="5760" w:firstLine="0"/>
      </w:pPr>
    </w:lvl>
  </w:abstractNum>
  <w:abstractNum w:abstractNumId="3" w15:restartNumberingAfterBreak="0">
    <w:nsid w:val="0AE76170"/>
    <w:multiLevelType w:val="hybridMultilevel"/>
    <w:tmpl w:val="86DAC360"/>
    <w:lvl w:ilvl="0" w:tplc="B3069C9E">
      <w:start w:val="1"/>
      <w:numFmt w:val="bullet"/>
      <w:lvlText w:val=""/>
      <w:lvlJc w:val="left"/>
      <w:pPr>
        <w:ind w:left="360" w:hanging="360"/>
      </w:pPr>
      <w:rPr>
        <w:rFonts w:ascii="Wingdings" w:hAnsi="Wingdings" w:hint="default"/>
        <w:b/>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EE93C2A"/>
    <w:multiLevelType w:val="hybridMultilevel"/>
    <w:tmpl w:val="D3725410"/>
    <w:lvl w:ilvl="0" w:tplc="43406100">
      <w:start w:val="1"/>
      <w:numFmt w:val="bullet"/>
      <w:lvlText w:val=""/>
      <w:lvlJc w:val="left"/>
      <w:pPr>
        <w:ind w:left="720" w:hanging="360"/>
      </w:pPr>
      <w:rPr>
        <w:rFonts w:ascii="Symbol" w:hAnsi="Symbol"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7E3104"/>
    <w:multiLevelType w:val="hybridMultilevel"/>
    <w:tmpl w:val="65B65A1A"/>
    <w:lvl w:ilvl="0" w:tplc="43406100">
      <w:start w:val="1"/>
      <w:numFmt w:val="bullet"/>
      <w:lvlText w:val=""/>
      <w:lvlJc w:val="left"/>
      <w:pPr>
        <w:ind w:left="720" w:hanging="360"/>
      </w:pPr>
      <w:rPr>
        <w:rFonts w:ascii="Symbol" w:hAnsi="Symbol"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922E8D"/>
    <w:multiLevelType w:val="hybridMultilevel"/>
    <w:tmpl w:val="0818E5EE"/>
    <w:lvl w:ilvl="0" w:tplc="B3069C9E">
      <w:start w:val="1"/>
      <w:numFmt w:val="bullet"/>
      <w:lvlText w:val=""/>
      <w:lvlJc w:val="left"/>
      <w:pPr>
        <w:ind w:left="720" w:hanging="360"/>
      </w:pPr>
      <w:rPr>
        <w:rFonts w:ascii="Wingdings" w:hAnsi="Wingdings"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1D0077"/>
    <w:multiLevelType w:val="hybridMultilevel"/>
    <w:tmpl w:val="B61005B4"/>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A891E73"/>
    <w:multiLevelType w:val="hybridMultilevel"/>
    <w:tmpl w:val="62A0EE6E"/>
    <w:lvl w:ilvl="0" w:tplc="8DC2ACC0">
      <w:start w:val="1"/>
      <w:numFmt w:val="upperLetter"/>
      <w:lvlText w:val="%1."/>
      <w:lvlJc w:val="left"/>
      <w:pPr>
        <w:ind w:left="390" w:hanging="39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ABC5BCD"/>
    <w:multiLevelType w:val="hybridMultilevel"/>
    <w:tmpl w:val="268C4E1E"/>
    <w:lvl w:ilvl="0" w:tplc="B3069C9E">
      <w:start w:val="1"/>
      <w:numFmt w:val="bullet"/>
      <w:lvlText w:val=""/>
      <w:lvlJc w:val="left"/>
      <w:pPr>
        <w:ind w:left="720" w:hanging="360"/>
      </w:pPr>
      <w:rPr>
        <w:rFonts w:ascii="Wingdings" w:hAnsi="Wingdings"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CC1E15"/>
    <w:multiLevelType w:val="hybridMultilevel"/>
    <w:tmpl w:val="627002B6"/>
    <w:lvl w:ilvl="0" w:tplc="43406100">
      <w:start w:val="1"/>
      <w:numFmt w:val="bullet"/>
      <w:lvlText w:val=""/>
      <w:lvlJc w:val="left"/>
      <w:pPr>
        <w:tabs>
          <w:tab w:val="num" w:pos="360"/>
        </w:tabs>
        <w:ind w:left="360" w:hanging="360"/>
      </w:pPr>
      <w:rPr>
        <w:rFonts w:ascii="Symbol" w:hAnsi="Symbol" w:hint="default"/>
        <w:b/>
        <w:color w:val="auto"/>
      </w:rPr>
    </w:lvl>
    <w:lvl w:ilvl="1" w:tplc="04050003">
      <w:start w:val="1"/>
      <w:numFmt w:val="bullet"/>
      <w:lvlText w:val="o"/>
      <w:lvlJc w:val="left"/>
      <w:pPr>
        <w:tabs>
          <w:tab w:val="num" w:pos="2149"/>
        </w:tabs>
        <w:ind w:left="2149" w:hanging="360"/>
      </w:pPr>
      <w:rPr>
        <w:rFonts w:ascii="Courier New" w:hAnsi="Courier New" w:cs="Times New Roman" w:hint="default"/>
      </w:rPr>
    </w:lvl>
    <w:lvl w:ilvl="2" w:tplc="04050005">
      <w:start w:val="1"/>
      <w:numFmt w:val="bullet"/>
      <w:lvlText w:val=""/>
      <w:lvlJc w:val="left"/>
      <w:pPr>
        <w:tabs>
          <w:tab w:val="num" w:pos="2869"/>
        </w:tabs>
        <w:ind w:left="2869" w:hanging="360"/>
      </w:pPr>
      <w:rPr>
        <w:rFonts w:ascii="Wingdings" w:hAnsi="Wingdings" w:hint="default"/>
      </w:rPr>
    </w:lvl>
    <w:lvl w:ilvl="3" w:tplc="04050001">
      <w:start w:val="1"/>
      <w:numFmt w:val="bullet"/>
      <w:lvlText w:val=""/>
      <w:lvlJc w:val="left"/>
      <w:pPr>
        <w:tabs>
          <w:tab w:val="num" w:pos="3589"/>
        </w:tabs>
        <w:ind w:left="3589" w:hanging="360"/>
      </w:pPr>
      <w:rPr>
        <w:rFonts w:ascii="Symbol" w:hAnsi="Symbol" w:hint="default"/>
      </w:rPr>
    </w:lvl>
    <w:lvl w:ilvl="4" w:tplc="04050003">
      <w:start w:val="1"/>
      <w:numFmt w:val="bullet"/>
      <w:lvlText w:val="o"/>
      <w:lvlJc w:val="left"/>
      <w:pPr>
        <w:tabs>
          <w:tab w:val="num" w:pos="4309"/>
        </w:tabs>
        <w:ind w:left="4309" w:hanging="360"/>
      </w:pPr>
      <w:rPr>
        <w:rFonts w:ascii="Courier New" w:hAnsi="Courier New" w:cs="Times New Roman" w:hint="default"/>
      </w:rPr>
    </w:lvl>
    <w:lvl w:ilvl="5" w:tplc="04050005">
      <w:start w:val="1"/>
      <w:numFmt w:val="bullet"/>
      <w:lvlText w:val=""/>
      <w:lvlJc w:val="left"/>
      <w:pPr>
        <w:tabs>
          <w:tab w:val="num" w:pos="5029"/>
        </w:tabs>
        <w:ind w:left="5029" w:hanging="360"/>
      </w:pPr>
      <w:rPr>
        <w:rFonts w:ascii="Wingdings" w:hAnsi="Wingdings" w:hint="default"/>
      </w:rPr>
    </w:lvl>
    <w:lvl w:ilvl="6" w:tplc="04050001">
      <w:start w:val="1"/>
      <w:numFmt w:val="bullet"/>
      <w:lvlText w:val=""/>
      <w:lvlJc w:val="left"/>
      <w:pPr>
        <w:tabs>
          <w:tab w:val="num" w:pos="5749"/>
        </w:tabs>
        <w:ind w:left="5749" w:hanging="360"/>
      </w:pPr>
      <w:rPr>
        <w:rFonts w:ascii="Symbol" w:hAnsi="Symbol" w:hint="default"/>
      </w:rPr>
    </w:lvl>
    <w:lvl w:ilvl="7" w:tplc="04050003">
      <w:start w:val="1"/>
      <w:numFmt w:val="bullet"/>
      <w:lvlText w:val="o"/>
      <w:lvlJc w:val="left"/>
      <w:pPr>
        <w:tabs>
          <w:tab w:val="num" w:pos="6469"/>
        </w:tabs>
        <w:ind w:left="6469" w:hanging="360"/>
      </w:pPr>
      <w:rPr>
        <w:rFonts w:ascii="Courier New" w:hAnsi="Courier New" w:cs="Times New Roman" w:hint="default"/>
      </w:rPr>
    </w:lvl>
    <w:lvl w:ilvl="8" w:tplc="04050005">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1FAC48C6"/>
    <w:multiLevelType w:val="hybridMultilevel"/>
    <w:tmpl w:val="188E47CE"/>
    <w:lvl w:ilvl="0" w:tplc="43406100">
      <w:start w:val="1"/>
      <w:numFmt w:val="bullet"/>
      <w:lvlText w:val=""/>
      <w:lvlJc w:val="left"/>
      <w:pPr>
        <w:ind w:left="720" w:hanging="360"/>
      </w:pPr>
      <w:rPr>
        <w:rFonts w:ascii="Symbol" w:hAnsi="Symbol"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06C0DA2"/>
    <w:multiLevelType w:val="hybridMultilevel"/>
    <w:tmpl w:val="82EAE868"/>
    <w:lvl w:ilvl="0" w:tplc="B3069C9E">
      <w:start w:val="1"/>
      <w:numFmt w:val="bullet"/>
      <w:lvlText w:val=""/>
      <w:lvlJc w:val="left"/>
      <w:pPr>
        <w:tabs>
          <w:tab w:val="num" w:pos="720"/>
        </w:tabs>
        <w:ind w:left="720" w:hanging="360"/>
      </w:pPr>
      <w:rPr>
        <w:rFonts w:ascii="Wingdings" w:hAnsi="Wingdings" w:hint="default"/>
        <w:b/>
        <w:color w:val="auto"/>
      </w:rPr>
    </w:lvl>
    <w:lvl w:ilvl="1" w:tplc="04050003">
      <w:start w:val="1"/>
      <w:numFmt w:val="bullet"/>
      <w:lvlText w:val="o"/>
      <w:lvlJc w:val="left"/>
      <w:pPr>
        <w:tabs>
          <w:tab w:val="num" w:pos="2509"/>
        </w:tabs>
        <w:ind w:left="2509" w:hanging="360"/>
      </w:pPr>
      <w:rPr>
        <w:rFonts w:ascii="Courier New" w:hAnsi="Courier New" w:cs="Times New Roman" w:hint="default"/>
      </w:rPr>
    </w:lvl>
    <w:lvl w:ilvl="2" w:tplc="04050005">
      <w:start w:val="1"/>
      <w:numFmt w:val="bullet"/>
      <w:lvlText w:val=""/>
      <w:lvlJc w:val="left"/>
      <w:pPr>
        <w:tabs>
          <w:tab w:val="num" w:pos="3229"/>
        </w:tabs>
        <w:ind w:left="3229" w:hanging="360"/>
      </w:pPr>
      <w:rPr>
        <w:rFonts w:ascii="Wingdings" w:hAnsi="Wingdings" w:hint="default"/>
      </w:rPr>
    </w:lvl>
    <w:lvl w:ilvl="3" w:tplc="04050001">
      <w:start w:val="1"/>
      <w:numFmt w:val="bullet"/>
      <w:lvlText w:val=""/>
      <w:lvlJc w:val="left"/>
      <w:pPr>
        <w:tabs>
          <w:tab w:val="num" w:pos="3949"/>
        </w:tabs>
        <w:ind w:left="3949" w:hanging="360"/>
      </w:pPr>
      <w:rPr>
        <w:rFonts w:ascii="Symbol" w:hAnsi="Symbol" w:hint="default"/>
      </w:rPr>
    </w:lvl>
    <w:lvl w:ilvl="4" w:tplc="04050003">
      <w:start w:val="1"/>
      <w:numFmt w:val="bullet"/>
      <w:lvlText w:val="o"/>
      <w:lvlJc w:val="left"/>
      <w:pPr>
        <w:tabs>
          <w:tab w:val="num" w:pos="4669"/>
        </w:tabs>
        <w:ind w:left="4669" w:hanging="360"/>
      </w:pPr>
      <w:rPr>
        <w:rFonts w:ascii="Courier New" w:hAnsi="Courier New" w:cs="Times New Roman" w:hint="default"/>
      </w:rPr>
    </w:lvl>
    <w:lvl w:ilvl="5" w:tplc="04050005">
      <w:start w:val="1"/>
      <w:numFmt w:val="bullet"/>
      <w:lvlText w:val=""/>
      <w:lvlJc w:val="left"/>
      <w:pPr>
        <w:tabs>
          <w:tab w:val="num" w:pos="5389"/>
        </w:tabs>
        <w:ind w:left="5389" w:hanging="360"/>
      </w:pPr>
      <w:rPr>
        <w:rFonts w:ascii="Wingdings" w:hAnsi="Wingdings" w:hint="default"/>
      </w:rPr>
    </w:lvl>
    <w:lvl w:ilvl="6" w:tplc="04050001">
      <w:start w:val="1"/>
      <w:numFmt w:val="bullet"/>
      <w:lvlText w:val=""/>
      <w:lvlJc w:val="left"/>
      <w:pPr>
        <w:tabs>
          <w:tab w:val="num" w:pos="6109"/>
        </w:tabs>
        <w:ind w:left="6109" w:hanging="360"/>
      </w:pPr>
      <w:rPr>
        <w:rFonts w:ascii="Symbol" w:hAnsi="Symbol" w:hint="default"/>
      </w:rPr>
    </w:lvl>
    <w:lvl w:ilvl="7" w:tplc="04050003">
      <w:start w:val="1"/>
      <w:numFmt w:val="bullet"/>
      <w:lvlText w:val="o"/>
      <w:lvlJc w:val="left"/>
      <w:pPr>
        <w:tabs>
          <w:tab w:val="num" w:pos="6829"/>
        </w:tabs>
        <w:ind w:left="6829" w:hanging="360"/>
      </w:pPr>
      <w:rPr>
        <w:rFonts w:ascii="Courier New" w:hAnsi="Courier New" w:cs="Times New Roman" w:hint="default"/>
      </w:rPr>
    </w:lvl>
    <w:lvl w:ilvl="8" w:tplc="04050005">
      <w:start w:val="1"/>
      <w:numFmt w:val="bullet"/>
      <w:lvlText w:val=""/>
      <w:lvlJc w:val="left"/>
      <w:pPr>
        <w:tabs>
          <w:tab w:val="num" w:pos="7549"/>
        </w:tabs>
        <w:ind w:left="7549" w:hanging="360"/>
      </w:pPr>
      <w:rPr>
        <w:rFonts w:ascii="Wingdings" w:hAnsi="Wingdings" w:hint="default"/>
      </w:rPr>
    </w:lvl>
  </w:abstractNum>
  <w:abstractNum w:abstractNumId="13" w15:restartNumberingAfterBreak="0">
    <w:nsid w:val="22676EF2"/>
    <w:multiLevelType w:val="hybridMultilevel"/>
    <w:tmpl w:val="C75CA790"/>
    <w:lvl w:ilvl="0" w:tplc="28046BB6">
      <w:start w:val="1"/>
      <w:numFmt w:val="bullet"/>
      <w:lvlText w:val=""/>
      <w:lvlJc w:val="left"/>
      <w:pPr>
        <w:ind w:left="720" w:hanging="360"/>
      </w:pPr>
      <w:rPr>
        <w:rFonts w:ascii="Symbol" w:hAnsi="Symbol" w:hint="default"/>
        <w:b/>
        <w:color w:val="auto"/>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6B70D0"/>
    <w:multiLevelType w:val="hybridMultilevel"/>
    <w:tmpl w:val="7C28A360"/>
    <w:lvl w:ilvl="0" w:tplc="43406100">
      <w:start w:val="1"/>
      <w:numFmt w:val="bullet"/>
      <w:lvlText w:val=""/>
      <w:lvlJc w:val="left"/>
      <w:pPr>
        <w:tabs>
          <w:tab w:val="num" w:pos="720"/>
        </w:tabs>
        <w:ind w:left="720" w:hanging="360"/>
      </w:pPr>
      <w:rPr>
        <w:rFonts w:ascii="Symbol" w:hAnsi="Symbol" w:hint="default"/>
        <w:b/>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3C2F5E"/>
    <w:multiLevelType w:val="hybridMultilevel"/>
    <w:tmpl w:val="C50627FA"/>
    <w:lvl w:ilvl="0" w:tplc="43406100">
      <w:start w:val="1"/>
      <w:numFmt w:val="bullet"/>
      <w:lvlText w:val=""/>
      <w:lvlJc w:val="left"/>
      <w:pPr>
        <w:ind w:left="720" w:hanging="360"/>
      </w:pPr>
      <w:rPr>
        <w:rFonts w:ascii="Symbol" w:hAnsi="Symbol"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8DB1D74"/>
    <w:multiLevelType w:val="multilevel"/>
    <w:tmpl w:val="056ECAB2"/>
    <w:lvl w:ilvl="0">
      <w:start w:val="1"/>
      <w:numFmt w:val="decimal"/>
      <w:lvlText w:val="%1."/>
      <w:lvlJc w:val="left"/>
      <w:pPr>
        <w:tabs>
          <w:tab w:val="num" w:pos="-687"/>
        </w:tabs>
        <w:ind w:left="-687" w:hanging="360"/>
      </w:pPr>
      <w:rPr>
        <w:rFonts w:hint="default"/>
      </w:rPr>
    </w:lvl>
    <w:lvl w:ilvl="1">
      <w:start w:val="2"/>
      <w:numFmt w:val="decimal"/>
      <w:isLgl/>
      <w:lvlText w:val="%1.%2"/>
      <w:lvlJc w:val="left"/>
      <w:pPr>
        <w:tabs>
          <w:tab w:val="num" w:pos="-417"/>
        </w:tabs>
        <w:ind w:left="-417" w:hanging="630"/>
      </w:pPr>
      <w:rPr>
        <w:rFonts w:hint="default"/>
      </w:rPr>
    </w:lvl>
    <w:lvl w:ilvl="2">
      <w:start w:val="1"/>
      <w:numFmt w:val="decimal"/>
      <w:isLgl/>
      <w:lvlText w:val="%1.%2.%3"/>
      <w:lvlJc w:val="left"/>
      <w:pPr>
        <w:tabs>
          <w:tab w:val="num" w:pos="-327"/>
        </w:tabs>
        <w:ind w:left="-327" w:hanging="720"/>
      </w:pPr>
      <w:rPr>
        <w:rFonts w:hint="default"/>
      </w:rPr>
    </w:lvl>
    <w:lvl w:ilvl="3">
      <w:start w:val="1"/>
      <w:numFmt w:val="decimal"/>
      <w:isLgl/>
      <w:lvlText w:val="%1.%2.%3.%4"/>
      <w:lvlJc w:val="left"/>
      <w:pPr>
        <w:tabs>
          <w:tab w:val="num" w:pos="33"/>
        </w:tabs>
        <w:ind w:left="33" w:hanging="1080"/>
      </w:pPr>
      <w:rPr>
        <w:rFonts w:hint="default"/>
      </w:rPr>
    </w:lvl>
    <w:lvl w:ilvl="4">
      <w:start w:val="1"/>
      <w:numFmt w:val="decimal"/>
      <w:isLgl/>
      <w:lvlText w:val="%1.%2.%3.%4.%5"/>
      <w:lvlJc w:val="left"/>
      <w:pPr>
        <w:tabs>
          <w:tab w:val="num" w:pos="33"/>
        </w:tabs>
        <w:ind w:left="33" w:hanging="1080"/>
      </w:pPr>
      <w:rPr>
        <w:rFonts w:hint="default"/>
      </w:rPr>
    </w:lvl>
    <w:lvl w:ilvl="5">
      <w:start w:val="1"/>
      <w:numFmt w:val="decimal"/>
      <w:isLgl/>
      <w:lvlText w:val="%1.%2.%3.%4.%5.%6"/>
      <w:lvlJc w:val="left"/>
      <w:pPr>
        <w:tabs>
          <w:tab w:val="num" w:pos="393"/>
        </w:tabs>
        <w:ind w:left="393" w:hanging="1440"/>
      </w:pPr>
      <w:rPr>
        <w:rFonts w:hint="default"/>
      </w:rPr>
    </w:lvl>
    <w:lvl w:ilvl="6">
      <w:start w:val="1"/>
      <w:numFmt w:val="decimal"/>
      <w:isLgl/>
      <w:lvlText w:val="%1.%2.%3.%4.%5.%6.%7"/>
      <w:lvlJc w:val="left"/>
      <w:pPr>
        <w:tabs>
          <w:tab w:val="num" w:pos="393"/>
        </w:tabs>
        <w:ind w:left="393" w:hanging="1440"/>
      </w:pPr>
      <w:rPr>
        <w:rFonts w:hint="default"/>
      </w:rPr>
    </w:lvl>
    <w:lvl w:ilvl="7">
      <w:start w:val="1"/>
      <w:numFmt w:val="decimal"/>
      <w:isLgl/>
      <w:lvlText w:val="%1.%2.%3.%4.%5.%6.%7.%8"/>
      <w:lvlJc w:val="left"/>
      <w:pPr>
        <w:tabs>
          <w:tab w:val="num" w:pos="753"/>
        </w:tabs>
        <w:ind w:left="753" w:hanging="1800"/>
      </w:pPr>
      <w:rPr>
        <w:rFonts w:hint="default"/>
      </w:rPr>
    </w:lvl>
    <w:lvl w:ilvl="8">
      <w:start w:val="1"/>
      <w:numFmt w:val="decimal"/>
      <w:isLgl/>
      <w:lvlText w:val="%1.%2.%3.%4.%5.%6.%7.%8.%9"/>
      <w:lvlJc w:val="left"/>
      <w:pPr>
        <w:tabs>
          <w:tab w:val="num" w:pos="753"/>
        </w:tabs>
        <w:ind w:left="753" w:hanging="1800"/>
      </w:pPr>
      <w:rPr>
        <w:rFonts w:hint="default"/>
      </w:rPr>
    </w:lvl>
  </w:abstractNum>
  <w:abstractNum w:abstractNumId="17" w15:restartNumberingAfterBreak="0">
    <w:nsid w:val="33FC04DE"/>
    <w:multiLevelType w:val="hybridMultilevel"/>
    <w:tmpl w:val="39AAC296"/>
    <w:lvl w:ilvl="0" w:tplc="6ADE2EB4">
      <w:start w:val="1"/>
      <w:numFmt w:val="bullet"/>
      <w:lvlText w:val=""/>
      <w:lvlJc w:val="left"/>
      <w:pPr>
        <w:ind w:left="720" w:hanging="360"/>
      </w:pPr>
      <w:rPr>
        <w:rFonts w:ascii="Wingdings" w:hAnsi="Wingdings" w:hint="default"/>
        <w:b/>
        <w:bCs w:val="0"/>
        <w:color w:val="auto"/>
        <w:sz w:val="26"/>
        <w:szCs w:val="26"/>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41064CDC"/>
    <w:multiLevelType w:val="hybridMultilevel"/>
    <w:tmpl w:val="BA5AB442"/>
    <w:lvl w:ilvl="0" w:tplc="28046BB6">
      <w:start w:val="1"/>
      <w:numFmt w:val="bullet"/>
      <w:lvlText w:val=""/>
      <w:lvlJc w:val="left"/>
      <w:pPr>
        <w:ind w:left="720" w:hanging="360"/>
      </w:pPr>
      <w:rPr>
        <w:rFonts w:ascii="Symbol" w:hAnsi="Symbol"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65C6970"/>
    <w:multiLevelType w:val="hybridMultilevel"/>
    <w:tmpl w:val="7C58D846"/>
    <w:lvl w:ilvl="0" w:tplc="B3069C9E">
      <w:start w:val="1"/>
      <w:numFmt w:val="bullet"/>
      <w:lvlText w:val=""/>
      <w:lvlJc w:val="left"/>
      <w:pPr>
        <w:tabs>
          <w:tab w:val="num" w:pos="1434"/>
        </w:tabs>
        <w:ind w:left="1434" w:hanging="360"/>
      </w:pPr>
      <w:rPr>
        <w:rFonts w:ascii="Wingdings" w:hAnsi="Wingdings" w:hint="default"/>
        <w:b/>
        <w:color w:val="auto"/>
      </w:rPr>
    </w:lvl>
    <w:lvl w:ilvl="1" w:tplc="04050003" w:tentative="1">
      <w:start w:val="1"/>
      <w:numFmt w:val="bullet"/>
      <w:lvlText w:val="o"/>
      <w:lvlJc w:val="left"/>
      <w:pPr>
        <w:tabs>
          <w:tab w:val="num" w:pos="2154"/>
        </w:tabs>
        <w:ind w:left="2154" w:hanging="360"/>
      </w:pPr>
      <w:rPr>
        <w:rFonts w:ascii="Courier New" w:hAnsi="Courier New" w:hint="default"/>
      </w:rPr>
    </w:lvl>
    <w:lvl w:ilvl="2" w:tplc="04050005" w:tentative="1">
      <w:start w:val="1"/>
      <w:numFmt w:val="bullet"/>
      <w:lvlText w:val=""/>
      <w:lvlJc w:val="left"/>
      <w:pPr>
        <w:tabs>
          <w:tab w:val="num" w:pos="2874"/>
        </w:tabs>
        <w:ind w:left="2874" w:hanging="360"/>
      </w:pPr>
      <w:rPr>
        <w:rFonts w:ascii="Wingdings" w:hAnsi="Wingdings" w:hint="default"/>
      </w:rPr>
    </w:lvl>
    <w:lvl w:ilvl="3" w:tplc="04050001" w:tentative="1">
      <w:start w:val="1"/>
      <w:numFmt w:val="bullet"/>
      <w:lvlText w:val=""/>
      <w:lvlJc w:val="left"/>
      <w:pPr>
        <w:tabs>
          <w:tab w:val="num" w:pos="3594"/>
        </w:tabs>
        <w:ind w:left="3594" w:hanging="360"/>
      </w:pPr>
      <w:rPr>
        <w:rFonts w:ascii="Symbol" w:hAnsi="Symbol" w:hint="default"/>
      </w:rPr>
    </w:lvl>
    <w:lvl w:ilvl="4" w:tplc="04050003" w:tentative="1">
      <w:start w:val="1"/>
      <w:numFmt w:val="bullet"/>
      <w:lvlText w:val="o"/>
      <w:lvlJc w:val="left"/>
      <w:pPr>
        <w:tabs>
          <w:tab w:val="num" w:pos="4314"/>
        </w:tabs>
        <w:ind w:left="4314" w:hanging="360"/>
      </w:pPr>
      <w:rPr>
        <w:rFonts w:ascii="Courier New" w:hAnsi="Courier New" w:hint="default"/>
      </w:rPr>
    </w:lvl>
    <w:lvl w:ilvl="5" w:tplc="04050005" w:tentative="1">
      <w:start w:val="1"/>
      <w:numFmt w:val="bullet"/>
      <w:lvlText w:val=""/>
      <w:lvlJc w:val="left"/>
      <w:pPr>
        <w:tabs>
          <w:tab w:val="num" w:pos="5034"/>
        </w:tabs>
        <w:ind w:left="5034" w:hanging="360"/>
      </w:pPr>
      <w:rPr>
        <w:rFonts w:ascii="Wingdings" w:hAnsi="Wingdings" w:hint="default"/>
      </w:rPr>
    </w:lvl>
    <w:lvl w:ilvl="6" w:tplc="04050001" w:tentative="1">
      <w:start w:val="1"/>
      <w:numFmt w:val="bullet"/>
      <w:lvlText w:val=""/>
      <w:lvlJc w:val="left"/>
      <w:pPr>
        <w:tabs>
          <w:tab w:val="num" w:pos="5754"/>
        </w:tabs>
        <w:ind w:left="5754" w:hanging="360"/>
      </w:pPr>
      <w:rPr>
        <w:rFonts w:ascii="Symbol" w:hAnsi="Symbol" w:hint="default"/>
      </w:rPr>
    </w:lvl>
    <w:lvl w:ilvl="7" w:tplc="04050003" w:tentative="1">
      <w:start w:val="1"/>
      <w:numFmt w:val="bullet"/>
      <w:lvlText w:val="o"/>
      <w:lvlJc w:val="left"/>
      <w:pPr>
        <w:tabs>
          <w:tab w:val="num" w:pos="6474"/>
        </w:tabs>
        <w:ind w:left="6474" w:hanging="360"/>
      </w:pPr>
      <w:rPr>
        <w:rFonts w:ascii="Courier New" w:hAnsi="Courier New" w:hint="default"/>
      </w:rPr>
    </w:lvl>
    <w:lvl w:ilvl="8" w:tplc="04050005" w:tentative="1">
      <w:start w:val="1"/>
      <w:numFmt w:val="bullet"/>
      <w:lvlText w:val=""/>
      <w:lvlJc w:val="left"/>
      <w:pPr>
        <w:tabs>
          <w:tab w:val="num" w:pos="7194"/>
        </w:tabs>
        <w:ind w:left="7194" w:hanging="360"/>
      </w:pPr>
      <w:rPr>
        <w:rFonts w:ascii="Wingdings" w:hAnsi="Wingdings" w:hint="default"/>
      </w:rPr>
    </w:lvl>
  </w:abstractNum>
  <w:abstractNum w:abstractNumId="20" w15:restartNumberingAfterBreak="0">
    <w:nsid w:val="656053A8"/>
    <w:multiLevelType w:val="hybridMultilevel"/>
    <w:tmpl w:val="45D675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87345C1"/>
    <w:multiLevelType w:val="hybridMultilevel"/>
    <w:tmpl w:val="76A4D6B0"/>
    <w:lvl w:ilvl="0" w:tplc="28046BB6">
      <w:start w:val="1"/>
      <w:numFmt w:val="bullet"/>
      <w:lvlText w:val=""/>
      <w:lvlJc w:val="left"/>
      <w:pPr>
        <w:ind w:left="720" w:hanging="360"/>
      </w:pPr>
      <w:rPr>
        <w:rFonts w:ascii="Symbol" w:hAnsi="Symbol"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D5A688E"/>
    <w:multiLevelType w:val="hybridMultilevel"/>
    <w:tmpl w:val="198A2502"/>
    <w:lvl w:ilvl="0" w:tplc="B3069C9E">
      <w:start w:val="1"/>
      <w:numFmt w:val="bullet"/>
      <w:lvlText w:val=""/>
      <w:lvlJc w:val="left"/>
      <w:pPr>
        <w:ind w:left="360" w:hanging="360"/>
      </w:pPr>
      <w:rPr>
        <w:rFonts w:ascii="Wingdings" w:hAnsi="Wingdings" w:hint="default"/>
        <w:b/>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6F5C6458"/>
    <w:multiLevelType w:val="hybridMultilevel"/>
    <w:tmpl w:val="E592D802"/>
    <w:lvl w:ilvl="0" w:tplc="46F69A2C">
      <w:start w:val="1"/>
      <w:numFmt w:val="bullet"/>
      <w:lvlText w:val=""/>
      <w:lvlJc w:val="left"/>
      <w:pPr>
        <w:ind w:left="720" w:hanging="360"/>
      </w:pPr>
      <w:rPr>
        <w:rFonts w:ascii="Wingdings" w:hAnsi="Wingdings" w:hint="default"/>
        <w:b/>
        <w:bCs/>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A4A4368"/>
    <w:multiLevelType w:val="hybridMultilevel"/>
    <w:tmpl w:val="CB88BFD8"/>
    <w:lvl w:ilvl="0" w:tplc="B3069C9E">
      <w:start w:val="1"/>
      <w:numFmt w:val="bullet"/>
      <w:lvlText w:val=""/>
      <w:lvlJc w:val="left"/>
      <w:pPr>
        <w:ind w:left="360" w:hanging="360"/>
      </w:pPr>
      <w:rPr>
        <w:rFonts w:ascii="Wingdings" w:hAnsi="Wingdings" w:hint="default"/>
        <w:b/>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7DDD4BBB"/>
    <w:multiLevelType w:val="hybridMultilevel"/>
    <w:tmpl w:val="33300D24"/>
    <w:lvl w:ilvl="0" w:tplc="43406100">
      <w:start w:val="1"/>
      <w:numFmt w:val="bullet"/>
      <w:lvlText w:val=""/>
      <w:lvlJc w:val="left"/>
      <w:pPr>
        <w:ind w:left="720" w:hanging="360"/>
      </w:pPr>
      <w:rPr>
        <w:rFonts w:ascii="Symbol" w:hAnsi="Symbol"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11"/>
  </w:num>
  <w:num w:numId="5">
    <w:abstractNumId w:val="25"/>
  </w:num>
  <w:num w:numId="6">
    <w:abstractNumId w:val="5"/>
  </w:num>
  <w:num w:numId="7">
    <w:abstractNumId w:val="4"/>
  </w:num>
  <w:num w:numId="8">
    <w:abstractNumId w:val="14"/>
  </w:num>
  <w:num w:numId="9">
    <w:abstractNumId w:val="15"/>
  </w:num>
  <w:num w:numId="10">
    <w:abstractNumId w:val="13"/>
  </w:num>
  <w:num w:numId="11">
    <w:abstractNumId w:val="10"/>
  </w:num>
  <w:num w:numId="12">
    <w:abstractNumId w:val="24"/>
  </w:num>
  <w:num w:numId="13">
    <w:abstractNumId w:val="18"/>
  </w:num>
  <w:num w:numId="14">
    <w:abstractNumId w:val="22"/>
  </w:num>
  <w:num w:numId="15">
    <w:abstractNumId w:val="21"/>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9"/>
  </w:num>
  <w:num w:numId="20">
    <w:abstractNumId w:val="20"/>
  </w:num>
  <w:num w:numId="21">
    <w:abstractNumId w:val="3"/>
  </w:num>
  <w:num w:numId="22">
    <w:abstractNumId w:val="16"/>
  </w:num>
  <w:num w:numId="23">
    <w:abstractNumId w:val="19"/>
  </w:num>
  <w:num w:numId="24">
    <w:abstractNumId w:val="6"/>
  </w:num>
  <w:num w:numId="25">
    <w:abstractNumId w:val="1"/>
  </w:num>
  <w:num w:numId="26">
    <w:abstractNumId w:val="0"/>
  </w:num>
  <w:num w:numId="27">
    <w:abstractNumId w:val="12"/>
  </w:num>
  <w:num w:numId="28">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A43"/>
    <w:rsid w:val="000000EB"/>
    <w:rsid w:val="00002D09"/>
    <w:rsid w:val="00005478"/>
    <w:rsid w:val="00006EB7"/>
    <w:rsid w:val="00010CDA"/>
    <w:rsid w:val="00010F96"/>
    <w:rsid w:val="0001234D"/>
    <w:rsid w:val="00014B1B"/>
    <w:rsid w:val="00016405"/>
    <w:rsid w:val="0001665E"/>
    <w:rsid w:val="00023279"/>
    <w:rsid w:val="0002342F"/>
    <w:rsid w:val="00023B53"/>
    <w:rsid w:val="00024DB4"/>
    <w:rsid w:val="00025091"/>
    <w:rsid w:val="00026922"/>
    <w:rsid w:val="00027377"/>
    <w:rsid w:val="000328D2"/>
    <w:rsid w:val="0003341E"/>
    <w:rsid w:val="00034073"/>
    <w:rsid w:val="000346F9"/>
    <w:rsid w:val="00034F71"/>
    <w:rsid w:val="00035DAA"/>
    <w:rsid w:val="00035DBA"/>
    <w:rsid w:val="000369D6"/>
    <w:rsid w:val="00041CA3"/>
    <w:rsid w:val="0004205F"/>
    <w:rsid w:val="000440BF"/>
    <w:rsid w:val="0004595A"/>
    <w:rsid w:val="000500B2"/>
    <w:rsid w:val="000502BC"/>
    <w:rsid w:val="000504EF"/>
    <w:rsid w:val="00053578"/>
    <w:rsid w:val="000566EE"/>
    <w:rsid w:val="00056EE9"/>
    <w:rsid w:val="00057478"/>
    <w:rsid w:val="00060C4C"/>
    <w:rsid w:val="000661B2"/>
    <w:rsid w:val="0006719E"/>
    <w:rsid w:val="0006792F"/>
    <w:rsid w:val="00067C1D"/>
    <w:rsid w:val="00067E16"/>
    <w:rsid w:val="000701AD"/>
    <w:rsid w:val="000726C6"/>
    <w:rsid w:val="00073B3B"/>
    <w:rsid w:val="00073B40"/>
    <w:rsid w:val="00074F34"/>
    <w:rsid w:val="000762FD"/>
    <w:rsid w:val="00081885"/>
    <w:rsid w:val="00081987"/>
    <w:rsid w:val="000826CF"/>
    <w:rsid w:val="000836FA"/>
    <w:rsid w:val="00084795"/>
    <w:rsid w:val="0008481A"/>
    <w:rsid w:val="000854E7"/>
    <w:rsid w:val="00086F29"/>
    <w:rsid w:val="0008744E"/>
    <w:rsid w:val="00087F32"/>
    <w:rsid w:val="00092543"/>
    <w:rsid w:val="0009468A"/>
    <w:rsid w:val="00094C4B"/>
    <w:rsid w:val="0009519D"/>
    <w:rsid w:val="000955E9"/>
    <w:rsid w:val="00096186"/>
    <w:rsid w:val="00096434"/>
    <w:rsid w:val="000967B3"/>
    <w:rsid w:val="00096A7F"/>
    <w:rsid w:val="000A1BD3"/>
    <w:rsid w:val="000A23FD"/>
    <w:rsid w:val="000A2D06"/>
    <w:rsid w:val="000A49DF"/>
    <w:rsid w:val="000A51B8"/>
    <w:rsid w:val="000A6F73"/>
    <w:rsid w:val="000A78CB"/>
    <w:rsid w:val="000B040F"/>
    <w:rsid w:val="000B146B"/>
    <w:rsid w:val="000B2C7E"/>
    <w:rsid w:val="000B2D06"/>
    <w:rsid w:val="000B3FEE"/>
    <w:rsid w:val="000B4160"/>
    <w:rsid w:val="000B4596"/>
    <w:rsid w:val="000B544B"/>
    <w:rsid w:val="000B5B59"/>
    <w:rsid w:val="000B5DDB"/>
    <w:rsid w:val="000B63CD"/>
    <w:rsid w:val="000B65FB"/>
    <w:rsid w:val="000C1FB7"/>
    <w:rsid w:val="000C2543"/>
    <w:rsid w:val="000C47CB"/>
    <w:rsid w:val="000C7AE9"/>
    <w:rsid w:val="000D1F1D"/>
    <w:rsid w:val="000D22CA"/>
    <w:rsid w:val="000D2643"/>
    <w:rsid w:val="000D2729"/>
    <w:rsid w:val="000D2D91"/>
    <w:rsid w:val="000D3364"/>
    <w:rsid w:val="000D7192"/>
    <w:rsid w:val="000D795E"/>
    <w:rsid w:val="000E23ED"/>
    <w:rsid w:val="000E250B"/>
    <w:rsid w:val="000E2B1C"/>
    <w:rsid w:val="000E511A"/>
    <w:rsid w:val="000E5736"/>
    <w:rsid w:val="000E5CDF"/>
    <w:rsid w:val="000F09FF"/>
    <w:rsid w:val="000F100F"/>
    <w:rsid w:val="000F2E55"/>
    <w:rsid w:val="000F4D5D"/>
    <w:rsid w:val="000F4E83"/>
    <w:rsid w:val="000F61B6"/>
    <w:rsid w:val="000F74BA"/>
    <w:rsid w:val="000F7D3E"/>
    <w:rsid w:val="000F7E02"/>
    <w:rsid w:val="0010018E"/>
    <w:rsid w:val="00100DA4"/>
    <w:rsid w:val="0010283B"/>
    <w:rsid w:val="00105FEC"/>
    <w:rsid w:val="00106D26"/>
    <w:rsid w:val="0011023E"/>
    <w:rsid w:val="00110817"/>
    <w:rsid w:val="00110C58"/>
    <w:rsid w:val="0011361B"/>
    <w:rsid w:val="001153B4"/>
    <w:rsid w:val="00115B02"/>
    <w:rsid w:val="00120272"/>
    <w:rsid w:val="00120885"/>
    <w:rsid w:val="00120A88"/>
    <w:rsid w:val="00120BA1"/>
    <w:rsid w:val="0012342A"/>
    <w:rsid w:val="00127830"/>
    <w:rsid w:val="0012791D"/>
    <w:rsid w:val="00130524"/>
    <w:rsid w:val="00132392"/>
    <w:rsid w:val="00132B48"/>
    <w:rsid w:val="00133E09"/>
    <w:rsid w:val="00135798"/>
    <w:rsid w:val="001367A5"/>
    <w:rsid w:val="001377E1"/>
    <w:rsid w:val="00137FE0"/>
    <w:rsid w:val="00140D80"/>
    <w:rsid w:val="001428A0"/>
    <w:rsid w:val="00143504"/>
    <w:rsid w:val="00145D4A"/>
    <w:rsid w:val="00145F26"/>
    <w:rsid w:val="001477AF"/>
    <w:rsid w:val="00147B50"/>
    <w:rsid w:val="00147D8B"/>
    <w:rsid w:val="00151010"/>
    <w:rsid w:val="001510AF"/>
    <w:rsid w:val="001517E9"/>
    <w:rsid w:val="00152475"/>
    <w:rsid w:val="00153554"/>
    <w:rsid w:val="00156FD4"/>
    <w:rsid w:val="0015735E"/>
    <w:rsid w:val="0015767E"/>
    <w:rsid w:val="001606C1"/>
    <w:rsid w:val="00161574"/>
    <w:rsid w:val="00161851"/>
    <w:rsid w:val="00161EFC"/>
    <w:rsid w:val="00165FA8"/>
    <w:rsid w:val="00167FBB"/>
    <w:rsid w:val="0017030E"/>
    <w:rsid w:val="00171413"/>
    <w:rsid w:val="00171D7C"/>
    <w:rsid w:val="00172938"/>
    <w:rsid w:val="0017383F"/>
    <w:rsid w:val="00176DF1"/>
    <w:rsid w:val="0017713A"/>
    <w:rsid w:val="00180012"/>
    <w:rsid w:val="00180982"/>
    <w:rsid w:val="00181966"/>
    <w:rsid w:val="00181ABD"/>
    <w:rsid w:val="0018209C"/>
    <w:rsid w:val="00182E4A"/>
    <w:rsid w:val="00185755"/>
    <w:rsid w:val="00187C6B"/>
    <w:rsid w:val="00190F8C"/>
    <w:rsid w:val="00191E64"/>
    <w:rsid w:val="001920B8"/>
    <w:rsid w:val="0019239A"/>
    <w:rsid w:val="001931AC"/>
    <w:rsid w:val="00194236"/>
    <w:rsid w:val="00195299"/>
    <w:rsid w:val="001966D7"/>
    <w:rsid w:val="001968B0"/>
    <w:rsid w:val="001A09FA"/>
    <w:rsid w:val="001A2454"/>
    <w:rsid w:val="001A277F"/>
    <w:rsid w:val="001A2EFC"/>
    <w:rsid w:val="001A38B4"/>
    <w:rsid w:val="001A3D6D"/>
    <w:rsid w:val="001A408C"/>
    <w:rsid w:val="001A4B38"/>
    <w:rsid w:val="001A5A88"/>
    <w:rsid w:val="001A6B10"/>
    <w:rsid w:val="001B1157"/>
    <w:rsid w:val="001B128E"/>
    <w:rsid w:val="001B53E1"/>
    <w:rsid w:val="001B5575"/>
    <w:rsid w:val="001B658E"/>
    <w:rsid w:val="001C00DC"/>
    <w:rsid w:val="001C27D9"/>
    <w:rsid w:val="001C6544"/>
    <w:rsid w:val="001D0DF4"/>
    <w:rsid w:val="001D2A62"/>
    <w:rsid w:val="001D374E"/>
    <w:rsid w:val="001D58C4"/>
    <w:rsid w:val="001D5B7B"/>
    <w:rsid w:val="001D6C57"/>
    <w:rsid w:val="001E1680"/>
    <w:rsid w:val="001E252D"/>
    <w:rsid w:val="001E2B3F"/>
    <w:rsid w:val="001E336C"/>
    <w:rsid w:val="001E3F11"/>
    <w:rsid w:val="001E43C5"/>
    <w:rsid w:val="001E5077"/>
    <w:rsid w:val="001E5C7D"/>
    <w:rsid w:val="001E7439"/>
    <w:rsid w:val="001F0111"/>
    <w:rsid w:val="001F14A5"/>
    <w:rsid w:val="001F2749"/>
    <w:rsid w:val="001F3E7B"/>
    <w:rsid w:val="001F459A"/>
    <w:rsid w:val="001F5296"/>
    <w:rsid w:val="0020140E"/>
    <w:rsid w:val="00201826"/>
    <w:rsid w:val="00205E50"/>
    <w:rsid w:val="0020644C"/>
    <w:rsid w:val="0020740A"/>
    <w:rsid w:val="00211895"/>
    <w:rsid w:val="002137FC"/>
    <w:rsid w:val="0021527E"/>
    <w:rsid w:val="00215776"/>
    <w:rsid w:val="00215C3E"/>
    <w:rsid w:val="0021651C"/>
    <w:rsid w:val="00216DE1"/>
    <w:rsid w:val="0022177B"/>
    <w:rsid w:val="00222F2A"/>
    <w:rsid w:val="0022352C"/>
    <w:rsid w:val="00225A56"/>
    <w:rsid w:val="00225CEB"/>
    <w:rsid w:val="002260E9"/>
    <w:rsid w:val="00227B36"/>
    <w:rsid w:val="0023028A"/>
    <w:rsid w:val="00232F20"/>
    <w:rsid w:val="00235872"/>
    <w:rsid w:val="00235DC0"/>
    <w:rsid w:val="00236559"/>
    <w:rsid w:val="0024166C"/>
    <w:rsid w:val="00241A60"/>
    <w:rsid w:val="00244164"/>
    <w:rsid w:val="00244767"/>
    <w:rsid w:val="002449FA"/>
    <w:rsid w:val="0024630B"/>
    <w:rsid w:val="00252F44"/>
    <w:rsid w:val="00256E24"/>
    <w:rsid w:val="00262743"/>
    <w:rsid w:val="002632A7"/>
    <w:rsid w:val="002632B5"/>
    <w:rsid w:val="00263534"/>
    <w:rsid w:val="00263617"/>
    <w:rsid w:val="002641B2"/>
    <w:rsid w:val="0026455F"/>
    <w:rsid w:val="00265AE4"/>
    <w:rsid w:val="00266116"/>
    <w:rsid w:val="00266CD3"/>
    <w:rsid w:val="00272630"/>
    <w:rsid w:val="00273F73"/>
    <w:rsid w:val="0027649D"/>
    <w:rsid w:val="002774A7"/>
    <w:rsid w:val="0027763A"/>
    <w:rsid w:val="00280FA1"/>
    <w:rsid w:val="002811A6"/>
    <w:rsid w:val="00282C9F"/>
    <w:rsid w:val="002870FA"/>
    <w:rsid w:val="002906EE"/>
    <w:rsid w:val="00292417"/>
    <w:rsid w:val="00292F9B"/>
    <w:rsid w:val="00293309"/>
    <w:rsid w:val="002962F8"/>
    <w:rsid w:val="00297482"/>
    <w:rsid w:val="002975AF"/>
    <w:rsid w:val="00297944"/>
    <w:rsid w:val="002A06EE"/>
    <w:rsid w:val="002A27E1"/>
    <w:rsid w:val="002A2DA4"/>
    <w:rsid w:val="002A5D35"/>
    <w:rsid w:val="002A761D"/>
    <w:rsid w:val="002B04E3"/>
    <w:rsid w:val="002B0520"/>
    <w:rsid w:val="002B0DA2"/>
    <w:rsid w:val="002B3C16"/>
    <w:rsid w:val="002B41D9"/>
    <w:rsid w:val="002B4927"/>
    <w:rsid w:val="002B49B5"/>
    <w:rsid w:val="002B4FAD"/>
    <w:rsid w:val="002B5737"/>
    <w:rsid w:val="002B57AB"/>
    <w:rsid w:val="002B5F67"/>
    <w:rsid w:val="002B6B13"/>
    <w:rsid w:val="002C1344"/>
    <w:rsid w:val="002C349C"/>
    <w:rsid w:val="002C4F03"/>
    <w:rsid w:val="002C5635"/>
    <w:rsid w:val="002D0513"/>
    <w:rsid w:val="002D2480"/>
    <w:rsid w:val="002D3148"/>
    <w:rsid w:val="002D5860"/>
    <w:rsid w:val="002D6851"/>
    <w:rsid w:val="002D784C"/>
    <w:rsid w:val="002E16FC"/>
    <w:rsid w:val="002E2198"/>
    <w:rsid w:val="002E577C"/>
    <w:rsid w:val="002E6107"/>
    <w:rsid w:val="002E6A48"/>
    <w:rsid w:val="002E6E34"/>
    <w:rsid w:val="002E72EE"/>
    <w:rsid w:val="002F0A3D"/>
    <w:rsid w:val="002F23BA"/>
    <w:rsid w:val="002F2A13"/>
    <w:rsid w:val="002F2A17"/>
    <w:rsid w:val="002F484C"/>
    <w:rsid w:val="002F48B8"/>
    <w:rsid w:val="002F5EC4"/>
    <w:rsid w:val="002F7979"/>
    <w:rsid w:val="00301681"/>
    <w:rsid w:val="00302A17"/>
    <w:rsid w:val="00304AB9"/>
    <w:rsid w:val="003071AC"/>
    <w:rsid w:val="00307756"/>
    <w:rsid w:val="0031187B"/>
    <w:rsid w:val="00312156"/>
    <w:rsid w:val="0031452D"/>
    <w:rsid w:val="003160DB"/>
    <w:rsid w:val="00317A34"/>
    <w:rsid w:val="003201D6"/>
    <w:rsid w:val="00321CB8"/>
    <w:rsid w:val="00322690"/>
    <w:rsid w:val="003233CB"/>
    <w:rsid w:val="00323B0B"/>
    <w:rsid w:val="00323C5F"/>
    <w:rsid w:val="00323FC6"/>
    <w:rsid w:val="00324CFC"/>
    <w:rsid w:val="00327B8D"/>
    <w:rsid w:val="003326DF"/>
    <w:rsid w:val="00332E16"/>
    <w:rsid w:val="003331C6"/>
    <w:rsid w:val="003334BB"/>
    <w:rsid w:val="00333BDB"/>
    <w:rsid w:val="0033488C"/>
    <w:rsid w:val="00334B09"/>
    <w:rsid w:val="00335422"/>
    <w:rsid w:val="00335876"/>
    <w:rsid w:val="00335FCC"/>
    <w:rsid w:val="00336B98"/>
    <w:rsid w:val="003402F3"/>
    <w:rsid w:val="00340D55"/>
    <w:rsid w:val="00341F6A"/>
    <w:rsid w:val="003448C2"/>
    <w:rsid w:val="00346852"/>
    <w:rsid w:val="00347013"/>
    <w:rsid w:val="003501F0"/>
    <w:rsid w:val="00352002"/>
    <w:rsid w:val="00353ED1"/>
    <w:rsid w:val="00355C21"/>
    <w:rsid w:val="00357EA8"/>
    <w:rsid w:val="00360495"/>
    <w:rsid w:val="0036224E"/>
    <w:rsid w:val="003632E9"/>
    <w:rsid w:val="003639C8"/>
    <w:rsid w:val="0036666D"/>
    <w:rsid w:val="00366B48"/>
    <w:rsid w:val="00367104"/>
    <w:rsid w:val="0037030C"/>
    <w:rsid w:val="00371419"/>
    <w:rsid w:val="00373A15"/>
    <w:rsid w:val="00373F59"/>
    <w:rsid w:val="0037489B"/>
    <w:rsid w:val="00374E47"/>
    <w:rsid w:val="003765A0"/>
    <w:rsid w:val="0037747C"/>
    <w:rsid w:val="0037789C"/>
    <w:rsid w:val="00377D70"/>
    <w:rsid w:val="00381122"/>
    <w:rsid w:val="00381E4A"/>
    <w:rsid w:val="00382F48"/>
    <w:rsid w:val="00385A7D"/>
    <w:rsid w:val="00390B45"/>
    <w:rsid w:val="0039170A"/>
    <w:rsid w:val="00391AAE"/>
    <w:rsid w:val="003939D2"/>
    <w:rsid w:val="00394280"/>
    <w:rsid w:val="003948AB"/>
    <w:rsid w:val="00394EC5"/>
    <w:rsid w:val="00397E8F"/>
    <w:rsid w:val="003A18D1"/>
    <w:rsid w:val="003A1C1B"/>
    <w:rsid w:val="003A5FF3"/>
    <w:rsid w:val="003B0FD0"/>
    <w:rsid w:val="003B18D4"/>
    <w:rsid w:val="003B1911"/>
    <w:rsid w:val="003B1C3F"/>
    <w:rsid w:val="003B25DB"/>
    <w:rsid w:val="003B2934"/>
    <w:rsid w:val="003B5B55"/>
    <w:rsid w:val="003C126B"/>
    <w:rsid w:val="003C1513"/>
    <w:rsid w:val="003C1AD7"/>
    <w:rsid w:val="003C25A9"/>
    <w:rsid w:val="003C2A0B"/>
    <w:rsid w:val="003C36AA"/>
    <w:rsid w:val="003C37B1"/>
    <w:rsid w:val="003C3E2F"/>
    <w:rsid w:val="003C5A78"/>
    <w:rsid w:val="003C5FE0"/>
    <w:rsid w:val="003C73AB"/>
    <w:rsid w:val="003D0781"/>
    <w:rsid w:val="003D1333"/>
    <w:rsid w:val="003D4B36"/>
    <w:rsid w:val="003D679C"/>
    <w:rsid w:val="003D6FEE"/>
    <w:rsid w:val="003D7AD8"/>
    <w:rsid w:val="003E0230"/>
    <w:rsid w:val="003E0F95"/>
    <w:rsid w:val="003E1D08"/>
    <w:rsid w:val="003E2F2B"/>
    <w:rsid w:val="003E3400"/>
    <w:rsid w:val="003E5052"/>
    <w:rsid w:val="003E5BD4"/>
    <w:rsid w:val="003E6081"/>
    <w:rsid w:val="003E6C1F"/>
    <w:rsid w:val="003E7BC5"/>
    <w:rsid w:val="003F0B13"/>
    <w:rsid w:val="003F0BF7"/>
    <w:rsid w:val="003F0ED3"/>
    <w:rsid w:val="003F1A7F"/>
    <w:rsid w:val="003F2A46"/>
    <w:rsid w:val="003F3BED"/>
    <w:rsid w:val="003F42DF"/>
    <w:rsid w:val="003F4E28"/>
    <w:rsid w:val="003F51E5"/>
    <w:rsid w:val="003F5656"/>
    <w:rsid w:val="003F6B21"/>
    <w:rsid w:val="003F6CC1"/>
    <w:rsid w:val="003F70E9"/>
    <w:rsid w:val="003F71D8"/>
    <w:rsid w:val="00400B00"/>
    <w:rsid w:val="004042A6"/>
    <w:rsid w:val="00405F2E"/>
    <w:rsid w:val="00406F56"/>
    <w:rsid w:val="004075F3"/>
    <w:rsid w:val="00410CC3"/>
    <w:rsid w:val="004114D2"/>
    <w:rsid w:val="004118C0"/>
    <w:rsid w:val="00411A9D"/>
    <w:rsid w:val="00412803"/>
    <w:rsid w:val="00413CAB"/>
    <w:rsid w:val="00414862"/>
    <w:rsid w:val="00415A64"/>
    <w:rsid w:val="004165A9"/>
    <w:rsid w:val="00420D2D"/>
    <w:rsid w:val="0042117A"/>
    <w:rsid w:val="004218BD"/>
    <w:rsid w:val="004222BE"/>
    <w:rsid w:val="004226CD"/>
    <w:rsid w:val="00422785"/>
    <w:rsid w:val="00423244"/>
    <w:rsid w:val="00423BC2"/>
    <w:rsid w:val="00423EE0"/>
    <w:rsid w:val="0042410B"/>
    <w:rsid w:val="004268E2"/>
    <w:rsid w:val="004270DF"/>
    <w:rsid w:val="00427F15"/>
    <w:rsid w:val="00430582"/>
    <w:rsid w:val="004311C4"/>
    <w:rsid w:val="00431CCA"/>
    <w:rsid w:val="00431D77"/>
    <w:rsid w:val="004340F6"/>
    <w:rsid w:val="004348C8"/>
    <w:rsid w:val="00441AE6"/>
    <w:rsid w:val="004423E3"/>
    <w:rsid w:val="00445218"/>
    <w:rsid w:val="004452EB"/>
    <w:rsid w:val="0044610D"/>
    <w:rsid w:val="00446D1B"/>
    <w:rsid w:val="004471FB"/>
    <w:rsid w:val="00451255"/>
    <w:rsid w:val="0045165C"/>
    <w:rsid w:val="00451986"/>
    <w:rsid w:val="004519FC"/>
    <w:rsid w:val="00452544"/>
    <w:rsid w:val="00454EBE"/>
    <w:rsid w:val="00455376"/>
    <w:rsid w:val="00455F7F"/>
    <w:rsid w:val="0045602D"/>
    <w:rsid w:val="004564DE"/>
    <w:rsid w:val="0045768D"/>
    <w:rsid w:val="00460545"/>
    <w:rsid w:val="004621C0"/>
    <w:rsid w:val="00462BB2"/>
    <w:rsid w:val="00462D7E"/>
    <w:rsid w:val="00466B3B"/>
    <w:rsid w:val="00467B5F"/>
    <w:rsid w:val="00470505"/>
    <w:rsid w:val="00472764"/>
    <w:rsid w:val="00473782"/>
    <w:rsid w:val="00474014"/>
    <w:rsid w:val="00475AEE"/>
    <w:rsid w:val="00476A5C"/>
    <w:rsid w:val="004824CD"/>
    <w:rsid w:val="00483D70"/>
    <w:rsid w:val="004852E1"/>
    <w:rsid w:val="00485DCE"/>
    <w:rsid w:val="004910D4"/>
    <w:rsid w:val="004913F9"/>
    <w:rsid w:val="0049246E"/>
    <w:rsid w:val="00492CD6"/>
    <w:rsid w:val="00492FAD"/>
    <w:rsid w:val="00493FBD"/>
    <w:rsid w:val="0049472C"/>
    <w:rsid w:val="00494D51"/>
    <w:rsid w:val="00494FB1"/>
    <w:rsid w:val="00496576"/>
    <w:rsid w:val="00496638"/>
    <w:rsid w:val="00497659"/>
    <w:rsid w:val="004A045F"/>
    <w:rsid w:val="004A1DE0"/>
    <w:rsid w:val="004A1DF1"/>
    <w:rsid w:val="004A3DE9"/>
    <w:rsid w:val="004A5C60"/>
    <w:rsid w:val="004A6A3E"/>
    <w:rsid w:val="004A6E89"/>
    <w:rsid w:val="004A7712"/>
    <w:rsid w:val="004B26D4"/>
    <w:rsid w:val="004B378F"/>
    <w:rsid w:val="004B42BF"/>
    <w:rsid w:val="004B4C9C"/>
    <w:rsid w:val="004B5743"/>
    <w:rsid w:val="004B72DB"/>
    <w:rsid w:val="004B7F23"/>
    <w:rsid w:val="004C0A00"/>
    <w:rsid w:val="004C18AA"/>
    <w:rsid w:val="004C2CEA"/>
    <w:rsid w:val="004C4D9B"/>
    <w:rsid w:val="004C5082"/>
    <w:rsid w:val="004C5426"/>
    <w:rsid w:val="004C6BCD"/>
    <w:rsid w:val="004C7903"/>
    <w:rsid w:val="004C7B36"/>
    <w:rsid w:val="004D06D9"/>
    <w:rsid w:val="004D41EE"/>
    <w:rsid w:val="004D6443"/>
    <w:rsid w:val="004D6AAE"/>
    <w:rsid w:val="004D71A2"/>
    <w:rsid w:val="004D7AB2"/>
    <w:rsid w:val="004D7F06"/>
    <w:rsid w:val="004E07DB"/>
    <w:rsid w:val="004E081E"/>
    <w:rsid w:val="004E0A50"/>
    <w:rsid w:val="004E1008"/>
    <w:rsid w:val="004E29D8"/>
    <w:rsid w:val="004E4535"/>
    <w:rsid w:val="004E521B"/>
    <w:rsid w:val="004E5413"/>
    <w:rsid w:val="004E6D52"/>
    <w:rsid w:val="004F136D"/>
    <w:rsid w:val="004F2C07"/>
    <w:rsid w:val="004F34F0"/>
    <w:rsid w:val="004F6711"/>
    <w:rsid w:val="004F77DF"/>
    <w:rsid w:val="0050058A"/>
    <w:rsid w:val="0050199A"/>
    <w:rsid w:val="00501B0E"/>
    <w:rsid w:val="00503AF0"/>
    <w:rsid w:val="00504A63"/>
    <w:rsid w:val="00506539"/>
    <w:rsid w:val="00507809"/>
    <w:rsid w:val="00510802"/>
    <w:rsid w:val="00510E87"/>
    <w:rsid w:val="005124CE"/>
    <w:rsid w:val="0051346B"/>
    <w:rsid w:val="00514811"/>
    <w:rsid w:val="00515D0F"/>
    <w:rsid w:val="00517087"/>
    <w:rsid w:val="005172A1"/>
    <w:rsid w:val="00522516"/>
    <w:rsid w:val="00530D4F"/>
    <w:rsid w:val="00531223"/>
    <w:rsid w:val="005339C5"/>
    <w:rsid w:val="005402D1"/>
    <w:rsid w:val="00540BB1"/>
    <w:rsid w:val="0054220F"/>
    <w:rsid w:val="00542F8E"/>
    <w:rsid w:val="005438F8"/>
    <w:rsid w:val="005441B6"/>
    <w:rsid w:val="0054516F"/>
    <w:rsid w:val="0054569A"/>
    <w:rsid w:val="00547851"/>
    <w:rsid w:val="0055000D"/>
    <w:rsid w:val="0055037D"/>
    <w:rsid w:val="005509E5"/>
    <w:rsid w:val="00554155"/>
    <w:rsid w:val="00554AC7"/>
    <w:rsid w:val="00555558"/>
    <w:rsid w:val="0055621D"/>
    <w:rsid w:val="00557044"/>
    <w:rsid w:val="00557EDE"/>
    <w:rsid w:val="00557F1F"/>
    <w:rsid w:val="00562E3D"/>
    <w:rsid w:val="00563A06"/>
    <w:rsid w:val="00563A5B"/>
    <w:rsid w:val="00563FCF"/>
    <w:rsid w:val="00565248"/>
    <w:rsid w:val="00565E53"/>
    <w:rsid w:val="005663BC"/>
    <w:rsid w:val="00566AA9"/>
    <w:rsid w:val="00566B12"/>
    <w:rsid w:val="005672CA"/>
    <w:rsid w:val="00567AC1"/>
    <w:rsid w:val="00570084"/>
    <w:rsid w:val="00570657"/>
    <w:rsid w:val="0057079C"/>
    <w:rsid w:val="005717BF"/>
    <w:rsid w:val="005734FA"/>
    <w:rsid w:val="00573E6D"/>
    <w:rsid w:val="00573FFB"/>
    <w:rsid w:val="00575A4A"/>
    <w:rsid w:val="00576EFD"/>
    <w:rsid w:val="00576F73"/>
    <w:rsid w:val="00577C63"/>
    <w:rsid w:val="00577C71"/>
    <w:rsid w:val="00577CF1"/>
    <w:rsid w:val="005802B7"/>
    <w:rsid w:val="00580EBD"/>
    <w:rsid w:val="00584653"/>
    <w:rsid w:val="005849C0"/>
    <w:rsid w:val="005856AF"/>
    <w:rsid w:val="005860BF"/>
    <w:rsid w:val="00586BE7"/>
    <w:rsid w:val="00587B54"/>
    <w:rsid w:val="00590C67"/>
    <w:rsid w:val="00591A06"/>
    <w:rsid w:val="00591A6A"/>
    <w:rsid w:val="00591B1F"/>
    <w:rsid w:val="00593782"/>
    <w:rsid w:val="00595766"/>
    <w:rsid w:val="00597768"/>
    <w:rsid w:val="00597C8A"/>
    <w:rsid w:val="005A0F7D"/>
    <w:rsid w:val="005A1797"/>
    <w:rsid w:val="005A217B"/>
    <w:rsid w:val="005A269D"/>
    <w:rsid w:val="005A3543"/>
    <w:rsid w:val="005A6459"/>
    <w:rsid w:val="005A6FBA"/>
    <w:rsid w:val="005B01F6"/>
    <w:rsid w:val="005B040D"/>
    <w:rsid w:val="005B0EE3"/>
    <w:rsid w:val="005B25AF"/>
    <w:rsid w:val="005B273F"/>
    <w:rsid w:val="005B573A"/>
    <w:rsid w:val="005B6F12"/>
    <w:rsid w:val="005B70BD"/>
    <w:rsid w:val="005B7BC5"/>
    <w:rsid w:val="005C03CA"/>
    <w:rsid w:val="005C05A6"/>
    <w:rsid w:val="005C0C11"/>
    <w:rsid w:val="005C1470"/>
    <w:rsid w:val="005C1E45"/>
    <w:rsid w:val="005C2A93"/>
    <w:rsid w:val="005C2FDE"/>
    <w:rsid w:val="005C33C9"/>
    <w:rsid w:val="005C34A2"/>
    <w:rsid w:val="005C3B4C"/>
    <w:rsid w:val="005C53D3"/>
    <w:rsid w:val="005C57B5"/>
    <w:rsid w:val="005C5AFB"/>
    <w:rsid w:val="005C7A38"/>
    <w:rsid w:val="005C7DD8"/>
    <w:rsid w:val="005D0133"/>
    <w:rsid w:val="005D14EF"/>
    <w:rsid w:val="005D2AF6"/>
    <w:rsid w:val="005D4043"/>
    <w:rsid w:val="005D52D9"/>
    <w:rsid w:val="005D6DAE"/>
    <w:rsid w:val="005D710F"/>
    <w:rsid w:val="005E051F"/>
    <w:rsid w:val="005E1910"/>
    <w:rsid w:val="005E2B27"/>
    <w:rsid w:val="005E3C65"/>
    <w:rsid w:val="005E4170"/>
    <w:rsid w:val="005E43B8"/>
    <w:rsid w:val="005E4CBE"/>
    <w:rsid w:val="005E50DE"/>
    <w:rsid w:val="005E6641"/>
    <w:rsid w:val="005E6822"/>
    <w:rsid w:val="005F034F"/>
    <w:rsid w:val="005F102E"/>
    <w:rsid w:val="005F1660"/>
    <w:rsid w:val="005F1CF2"/>
    <w:rsid w:val="005F43AE"/>
    <w:rsid w:val="005F4A82"/>
    <w:rsid w:val="005F4D2D"/>
    <w:rsid w:val="00600A92"/>
    <w:rsid w:val="006033A6"/>
    <w:rsid w:val="00604FF0"/>
    <w:rsid w:val="006066C8"/>
    <w:rsid w:val="00606E35"/>
    <w:rsid w:val="00612FA1"/>
    <w:rsid w:val="0061358F"/>
    <w:rsid w:val="006141E2"/>
    <w:rsid w:val="006144A4"/>
    <w:rsid w:val="00614DCE"/>
    <w:rsid w:val="00614EB7"/>
    <w:rsid w:val="006154DE"/>
    <w:rsid w:val="00615774"/>
    <w:rsid w:val="00615E77"/>
    <w:rsid w:val="00621D94"/>
    <w:rsid w:val="00623AAB"/>
    <w:rsid w:val="00624F08"/>
    <w:rsid w:val="006250D1"/>
    <w:rsid w:val="00626CF7"/>
    <w:rsid w:val="00626E91"/>
    <w:rsid w:val="0063020A"/>
    <w:rsid w:val="006305E6"/>
    <w:rsid w:val="0063238A"/>
    <w:rsid w:val="00633397"/>
    <w:rsid w:val="00634810"/>
    <w:rsid w:val="00637AB1"/>
    <w:rsid w:val="00640200"/>
    <w:rsid w:val="006402BC"/>
    <w:rsid w:val="00640D70"/>
    <w:rsid w:val="00641DCE"/>
    <w:rsid w:val="00643A5A"/>
    <w:rsid w:val="0064409D"/>
    <w:rsid w:val="006440FB"/>
    <w:rsid w:val="00644827"/>
    <w:rsid w:val="00645C4B"/>
    <w:rsid w:val="00646947"/>
    <w:rsid w:val="00646A01"/>
    <w:rsid w:val="00647027"/>
    <w:rsid w:val="00647D77"/>
    <w:rsid w:val="00652724"/>
    <w:rsid w:val="006534B6"/>
    <w:rsid w:val="00654800"/>
    <w:rsid w:val="00654BB5"/>
    <w:rsid w:val="006558D9"/>
    <w:rsid w:val="006600CC"/>
    <w:rsid w:val="006608F0"/>
    <w:rsid w:val="00661EF6"/>
    <w:rsid w:val="00662FC9"/>
    <w:rsid w:val="0066383F"/>
    <w:rsid w:val="00663BBE"/>
    <w:rsid w:val="00665932"/>
    <w:rsid w:val="00666149"/>
    <w:rsid w:val="00666967"/>
    <w:rsid w:val="006700CD"/>
    <w:rsid w:val="00671A11"/>
    <w:rsid w:val="006747DF"/>
    <w:rsid w:val="00674E8C"/>
    <w:rsid w:val="00675B4E"/>
    <w:rsid w:val="006805B8"/>
    <w:rsid w:val="006805E4"/>
    <w:rsid w:val="0068188E"/>
    <w:rsid w:val="00681B88"/>
    <w:rsid w:val="0068370B"/>
    <w:rsid w:val="00683964"/>
    <w:rsid w:val="00683D80"/>
    <w:rsid w:val="00685097"/>
    <w:rsid w:val="00685794"/>
    <w:rsid w:val="006871EA"/>
    <w:rsid w:val="006878E4"/>
    <w:rsid w:val="006879D5"/>
    <w:rsid w:val="00687AA8"/>
    <w:rsid w:val="00687BEC"/>
    <w:rsid w:val="00687F51"/>
    <w:rsid w:val="00691F5B"/>
    <w:rsid w:val="006927C2"/>
    <w:rsid w:val="00693D30"/>
    <w:rsid w:val="006974F0"/>
    <w:rsid w:val="006978AE"/>
    <w:rsid w:val="006A298A"/>
    <w:rsid w:val="006A2F94"/>
    <w:rsid w:val="006A36D4"/>
    <w:rsid w:val="006A402E"/>
    <w:rsid w:val="006A4084"/>
    <w:rsid w:val="006A4460"/>
    <w:rsid w:val="006A53C9"/>
    <w:rsid w:val="006A6B60"/>
    <w:rsid w:val="006B02CD"/>
    <w:rsid w:val="006B0D59"/>
    <w:rsid w:val="006B22D8"/>
    <w:rsid w:val="006B3717"/>
    <w:rsid w:val="006B402A"/>
    <w:rsid w:val="006C1204"/>
    <w:rsid w:val="006C226C"/>
    <w:rsid w:val="006C42C0"/>
    <w:rsid w:val="006C576E"/>
    <w:rsid w:val="006C758D"/>
    <w:rsid w:val="006C7FD1"/>
    <w:rsid w:val="006D0153"/>
    <w:rsid w:val="006D1327"/>
    <w:rsid w:val="006D2032"/>
    <w:rsid w:val="006D409C"/>
    <w:rsid w:val="006D4827"/>
    <w:rsid w:val="006D5623"/>
    <w:rsid w:val="006D5882"/>
    <w:rsid w:val="006D66B6"/>
    <w:rsid w:val="006D67AD"/>
    <w:rsid w:val="006D7769"/>
    <w:rsid w:val="006E167F"/>
    <w:rsid w:val="006E299A"/>
    <w:rsid w:val="006E3B0B"/>
    <w:rsid w:val="006E49C9"/>
    <w:rsid w:val="006E5E12"/>
    <w:rsid w:val="006F2FD9"/>
    <w:rsid w:val="006F68F3"/>
    <w:rsid w:val="006F7259"/>
    <w:rsid w:val="00702041"/>
    <w:rsid w:val="00704397"/>
    <w:rsid w:val="00705A01"/>
    <w:rsid w:val="0070659C"/>
    <w:rsid w:val="0070672F"/>
    <w:rsid w:val="00710160"/>
    <w:rsid w:val="007102E2"/>
    <w:rsid w:val="00710521"/>
    <w:rsid w:val="00710980"/>
    <w:rsid w:val="00712D65"/>
    <w:rsid w:val="00715243"/>
    <w:rsid w:val="007170C4"/>
    <w:rsid w:val="007222C0"/>
    <w:rsid w:val="00724AC1"/>
    <w:rsid w:val="00725484"/>
    <w:rsid w:val="00730D63"/>
    <w:rsid w:val="00731F0A"/>
    <w:rsid w:val="00731F4C"/>
    <w:rsid w:val="00731FEB"/>
    <w:rsid w:val="00735201"/>
    <w:rsid w:val="00737CFB"/>
    <w:rsid w:val="007402FA"/>
    <w:rsid w:val="00741B58"/>
    <w:rsid w:val="007438E8"/>
    <w:rsid w:val="00744A1D"/>
    <w:rsid w:val="0074552D"/>
    <w:rsid w:val="00750F17"/>
    <w:rsid w:val="007549DF"/>
    <w:rsid w:val="007568BB"/>
    <w:rsid w:val="007617BA"/>
    <w:rsid w:val="007624A3"/>
    <w:rsid w:val="00763A14"/>
    <w:rsid w:val="0076589B"/>
    <w:rsid w:val="00766015"/>
    <w:rsid w:val="007660EB"/>
    <w:rsid w:val="00767CB1"/>
    <w:rsid w:val="00770959"/>
    <w:rsid w:val="00770E13"/>
    <w:rsid w:val="007735B8"/>
    <w:rsid w:val="0077636A"/>
    <w:rsid w:val="00776C52"/>
    <w:rsid w:val="00782200"/>
    <w:rsid w:val="00782526"/>
    <w:rsid w:val="00783AEF"/>
    <w:rsid w:val="007856C9"/>
    <w:rsid w:val="00785747"/>
    <w:rsid w:val="00786151"/>
    <w:rsid w:val="00786D4B"/>
    <w:rsid w:val="007876B0"/>
    <w:rsid w:val="00787E8E"/>
    <w:rsid w:val="00790329"/>
    <w:rsid w:val="00791B4B"/>
    <w:rsid w:val="00792BAC"/>
    <w:rsid w:val="0079505A"/>
    <w:rsid w:val="00795A30"/>
    <w:rsid w:val="007A1632"/>
    <w:rsid w:val="007A1799"/>
    <w:rsid w:val="007A1C32"/>
    <w:rsid w:val="007A2F8B"/>
    <w:rsid w:val="007A3740"/>
    <w:rsid w:val="007A503A"/>
    <w:rsid w:val="007A5E1C"/>
    <w:rsid w:val="007A68DE"/>
    <w:rsid w:val="007A7E51"/>
    <w:rsid w:val="007B22BF"/>
    <w:rsid w:val="007B262B"/>
    <w:rsid w:val="007B2BDE"/>
    <w:rsid w:val="007B2BE6"/>
    <w:rsid w:val="007B583E"/>
    <w:rsid w:val="007C0695"/>
    <w:rsid w:val="007C361E"/>
    <w:rsid w:val="007D1351"/>
    <w:rsid w:val="007D2335"/>
    <w:rsid w:val="007D2620"/>
    <w:rsid w:val="007D2D2A"/>
    <w:rsid w:val="007D30B1"/>
    <w:rsid w:val="007D39F8"/>
    <w:rsid w:val="007D4563"/>
    <w:rsid w:val="007D464A"/>
    <w:rsid w:val="007D5AF3"/>
    <w:rsid w:val="007E1683"/>
    <w:rsid w:val="007E25A3"/>
    <w:rsid w:val="007E270F"/>
    <w:rsid w:val="007E3256"/>
    <w:rsid w:val="007E32D6"/>
    <w:rsid w:val="007E3BC9"/>
    <w:rsid w:val="007E3F77"/>
    <w:rsid w:val="007E5857"/>
    <w:rsid w:val="007E7D32"/>
    <w:rsid w:val="007F0067"/>
    <w:rsid w:val="007F089D"/>
    <w:rsid w:val="007F0AB4"/>
    <w:rsid w:val="007F0B57"/>
    <w:rsid w:val="007F17FC"/>
    <w:rsid w:val="007F1D8D"/>
    <w:rsid w:val="007F1DC0"/>
    <w:rsid w:val="007F25A8"/>
    <w:rsid w:val="007F3EF0"/>
    <w:rsid w:val="00801084"/>
    <w:rsid w:val="0080135F"/>
    <w:rsid w:val="00803A14"/>
    <w:rsid w:val="00803F71"/>
    <w:rsid w:val="008068F1"/>
    <w:rsid w:val="0080691F"/>
    <w:rsid w:val="00807C66"/>
    <w:rsid w:val="0081077A"/>
    <w:rsid w:val="00810791"/>
    <w:rsid w:val="00810F2D"/>
    <w:rsid w:val="00811248"/>
    <w:rsid w:val="00811A99"/>
    <w:rsid w:val="00812AA4"/>
    <w:rsid w:val="008135DB"/>
    <w:rsid w:val="0081546E"/>
    <w:rsid w:val="00815E83"/>
    <w:rsid w:val="00817598"/>
    <w:rsid w:val="00820118"/>
    <w:rsid w:val="00820A43"/>
    <w:rsid w:val="008212BD"/>
    <w:rsid w:val="0082277A"/>
    <w:rsid w:val="00825245"/>
    <w:rsid w:val="00827008"/>
    <w:rsid w:val="00827C93"/>
    <w:rsid w:val="008301CA"/>
    <w:rsid w:val="008302B9"/>
    <w:rsid w:val="008305FB"/>
    <w:rsid w:val="008318C5"/>
    <w:rsid w:val="00831F46"/>
    <w:rsid w:val="00832678"/>
    <w:rsid w:val="008331A9"/>
    <w:rsid w:val="00835B38"/>
    <w:rsid w:val="00836BBE"/>
    <w:rsid w:val="00837572"/>
    <w:rsid w:val="008407C6"/>
    <w:rsid w:val="00840FD1"/>
    <w:rsid w:val="00841003"/>
    <w:rsid w:val="00842B3A"/>
    <w:rsid w:val="00844D9D"/>
    <w:rsid w:val="008453B3"/>
    <w:rsid w:val="00845F55"/>
    <w:rsid w:val="00846880"/>
    <w:rsid w:val="0085209C"/>
    <w:rsid w:val="008529B7"/>
    <w:rsid w:val="008533F7"/>
    <w:rsid w:val="00856187"/>
    <w:rsid w:val="00857974"/>
    <w:rsid w:val="0086049B"/>
    <w:rsid w:val="00861644"/>
    <w:rsid w:val="0086164A"/>
    <w:rsid w:val="00862990"/>
    <w:rsid w:val="00862E3F"/>
    <w:rsid w:val="008645AB"/>
    <w:rsid w:val="008645D6"/>
    <w:rsid w:val="008668F0"/>
    <w:rsid w:val="00866911"/>
    <w:rsid w:val="00870AC9"/>
    <w:rsid w:val="00871F9D"/>
    <w:rsid w:val="00873D3A"/>
    <w:rsid w:val="00875416"/>
    <w:rsid w:val="008842CB"/>
    <w:rsid w:val="0088733A"/>
    <w:rsid w:val="008879BC"/>
    <w:rsid w:val="00890B60"/>
    <w:rsid w:val="0089360C"/>
    <w:rsid w:val="00893A94"/>
    <w:rsid w:val="0089630D"/>
    <w:rsid w:val="008A25F0"/>
    <w:rsid w:val="008A2647"/>
    <w:rsid w:val="008A2E9E"/>
    <w:rsid w:val="008A41BA"/>
    <w:rsid w:val="008A5249"/>
    <w:rsid w:val="008A61B2"/>
    <w:rsid w:val="008A75FA"/>
    <w:rsid w:val="008A7BFD"/>
    <w:rsid w:val="008B1762"/>
    <w:rsid w:val="008B287C"/>
    <w:rsid w:val="008B36E5"/>
    <w:rsid w:val="008B7048"/>
    <w:rsid w:val="008C0010"/>
    <w:rsid w:val="008C453A"/>
    <w:rsid w:val="008C47FA"/>
    <w:rsid w:val="008C4B41"/>
    <w:rsid w:val="008C60E6"/>
    <w:rsid w:val="008D0072"/>
    <w:rsid w:val="008D17A8"/>
    <w:rsid w:val="008D2419"/>
    <w:rsid w:val="008D347B"/>
    <w:rsid w:val="008D3716"/>
    <w:rsid w:val="008D5692"/>
    <w:rsid w:val="008D5774"/>
    <w:rsid w:val="008D60EC"/>
    <w:rsid w:val="008D640A"/>
    <w:rsid w:val="008E1B66"/>
    <w:rsid w:val="008E1C8D"/>
    <w:rsid w:val="008E28DA"/>
    <w:rsid w:val="008E6AAD"/>
    <w:rsid w:val="008E72B4"/>
    <w:rsid w:val="008E7F2E"/>
    <w:rsid w:val="008F4672"/>
    <w:rsid w:val="008F5359"/>
    <w:rsid w:val="008F602E"/>
    <w:rsid w:val="008F71FB"/>
    <w:rsid w:val="00903406"/>
    <w:rsid w:val="009056F2"/>
    <w:rsid w:val="00905B05"/>
    <w:rsid w:val="00906612"/>
    <w:rsid w:val="0091051C"/>
    <w:rsid w:val="00914425"/>
    <w:rsid w:val="0091573C"/>
    <w:rsid w:val="009158A3"/>
    <w:rsid w:val="00922631"/>
    <w:rsid w:val="00922BC5"/>
    <w:rsid w:val="00922E70"/>
    <w:rsid w:val="00923DE4"/>
    <w:rsid w:val="009241F3"/>
    <w:rsid w:val="009243D1"/>
    <w:rsid w:val="009254C8"/>
    <w:rsid w:val="00925588"/>
    <w:rsid w:val="00926985"/>
    <w:rsid w:val="009277AB"/>
    <w:rsid w:val="00927F73"/>
    <w:rsid w:val="009306BE"/>
    <w:rsid w:val="00930D43"/>
    <w:rsid w:val="00931CF4"/>
    <w:rsid w:val="00934740"/>
    <w:rsid w:val="00936106"/>
    <w:rsid w:val="00937AD8"/>
    <w:rsid w:val="00942F87"/>
    <w:rsid w:val="009432BE"/>
    <w:rsid w:val="009447B4"/>
    <w:rsid w:val="0094584B"/>
    <w:rsid w:val="009478AD"/>
    <w:rsid w:val="00950169"/>
    <w:rsid w:val="00950CA4"/>
    <w:rsid w:val="00951115"/>
    <w:rsid w:val="009519CD"/>
    <w:rsid w:val="009543C6"/>
    <w:rsid w:val="009551B0"/>
    <w:rsid w:val="009569B5"/>
    <w:rsid w:val="00957415"/>
    <w:rsid w:val="00957694"/>
    <w:rsid w:val="0095787A"/>
    <w:rsid w:val="009614DE"/>
    <w:rsid w:val="00961919"/>
    <w:rsid w:val="0096237A"/>
    <w:rsid w:val="009640F4"/>
    <w:rsid w:val="009664F0"/>
    <w:rsid w:val="00970B2A"/>
    <w:rsid w:val="00971423"/>
    <w:rsid w:val="009727BB"/>
    <w:rsid w:val="00972AC8"/>
    <w:rsid w:val="009746B8"/>
    <w:rsid w:val="00980781"/>
    <w:rsid w:val="00981811"/>
    <w:rsid w:val="009820DA"/>
    <w:rsid w:val="009829FA"/>
    <w:rsid w:val="00985DB2"/>
    <w:rsid w:val="009865F6"/>
    <w:rsid w:val="009879CE"/>
    <w:rsid w:val="00990DA2"/>
    <w:rsid w:val="00992A1E"/>
    <w:rsid w:val="00993E30"/>
    <w:rsid w:val="00993F10"/>
    <w:rsid w:val="009941D6"/>
    <w:rsid w:val="00994A55"/>
    <w:rsid w:val="00995999"/>
    <w:rsid w:val="00996637"/>
    <w:rsid w:val="009A00D1"/>
    <w:rsid w:val="009A28DF"/>
    <w:rsid w:val="009A2C5A"/>
    <w:rsid w:val="009A3E51"/>
    <w:rsid w:val="009A46E2"/>
    <w:rsid w:val="009A59B1"/>
    <w:rsid w:val="009A632A"/>
    <w:rsid w:val="009B02F9"/>
    <w:rsid w:val="009B0BF9"/>
    <w:rsid w:val="009B0DB9"/>
    <w:rsid w:val="009B1FDF"/>
    <w:rsid w:val="009B2ABE"/>
    <w:rsid w:val="009B3AEB"/>
    <w:rsid w:val="009B3B7A"/>
    <w:rsid w:val="009B43EC"/>
    <w:rsid w:val="009B63E1"/>
    <w:rsid w:val="009B65DC"/>
    <w:rsid w:val="009C244C"/>
    <w:rsid w:val="009C4C29"/>
    <w:rsid w:val="009C6061"/>
    <w:rsid w:val="009C6443"/>
    <w:rsid w:val="009C7F24"/>
    <w:rsid w:val="009D087D"/>
    <w:rsid w:val="009D1B54"/>
    <w:rsid w:val="009D2C32"/>
    <w:rsid w:val="009D5B7E"/>
    <w:rsid w:val="009D61EF"/>
    <w:rsid w:val="009E320F"/>
    <w:rsid w:val="009E3382"/>
    <w:rsid w:val="009E422D"/>
    <w:rsid w:val="009E6A26"/>
    <w:rsid w:val="009F12BC"/>
    <w:rsid w:val="009F15FD"/>
    <w:rsid w:val="009F18B2"/>
    <w:rsid w:val="009F224B"/>
    <w:rsid w:val="009F283A"/>
    <w:rsid w:val="009F40CD"/>
    <w:rsid w:val="009F4501"/>
    <w:rsid w:val="009F7132"/>
    <w:rsid w:val="009F767B"/>
    <w:rsid w:val="009F76AF"/>
    <w:rsid w:val="009F7D87"/>
    <w:rsid w:val="00A00EE6"/>
    <w:rsid w:val="00A01683"/>
    <w:rsid w:val="00A0214E"/>
    <w:rsid w:val="00A03E16"/>
    <w:rsid w:val="00A05211"/>
    <w:rsid w:val="00A059CA"/>
    <w:rsid w:val="00A1128A"/>
    <w:rsid w:val="00A11A6C"/>
    <w:rsid w:val="00A11CA4"/>
    <w:rsid w:val="00A121C1"/>
    <w:rsid w:val="00A12D71"/>
    <w:rsid w:val="00A131F3"/>
    <w:rsid w:val="00A13A43"/>
    <w:rsid w:val="00A14692"/>
    <w:rsid w:val="00A14D7F"/>
    <w:rsid w:val="00A167D7"/>
    <w:rsid w:val="00A16D18"/>
    <w:rsid w:val="00A16E74"/>
    <w:rsid w:val="00A17C54"/>
    <w:rsid w:val="00A204A6"/>
    <w:rsid w:val="00A2053F"/>
    <w:rsid w:val="00A20D54"/>
    <w:rsid w:val="00A20EFD"/>
    <w:rsid w:val="00A2123D"/>
    <w:rsid w:val="00A21461"/>
    <w:rsid w:val="00A21697"/>
    <w:rsid w:val="00A2197F"/>
    <w:rsid w:val="00A2362F"/>
    <w:rsid w:val="00A26555"/>
    <w:rsid w:val="00A26A0D"/>
    <w:rsid w:val="00A275C9"/>
    <w:rsid w:val="00A30061"/>
    <w:rsid w:val="00A3180C"/>
    <w:rsid w:val="00A32163"/>
    <w:rsid w:val="00A335C7"/>
    <w:rsid w:val="00A33FF2"/>
    <w:rsid w:val="00A34E16"/>
    <w:rsid w:val="00A3567B"/>
    <w:rsid w:val="00A360BF"/>
    <w:rsid w:val="00A36A67"/>
    <w:rsid w:val="00A36C46"/>
    <w:rsid w:val="00A4022F"/>
    <w:rsid w:val="00A406D5"/>
    <w:rsid w:val="00A407BE"/>
    <w:rsid w:val="00A409BA"/>
    <w:rsid w:val="00A41FBF"/>
    <w:rsid w:val="00A422AB"/>
    <w:rsid w:val="00A4270A"/>
    <w:rsid w:val="00A46281"/>
    <w:rsid w:val="00A46B90"/>
    <w:rsid w:val="00A55476"/>
    <w:rsid w:val="00A57530"/>
    <w:rsid w:val="00A60156"/>
    <w:rsid w:val="00A6130C"/>
    <w:rsid w:val="00A619CB"/>
    <w:rsid w:val="00A61A02"/>
    <w:rsid w:val="00A631A0"/>
    <w:rsid w:val="00A638BF"/>
    <w:rsid w:val="00A65B61"/>
    <w:rsid w:val="00A661E6"/>
    <w:rsid w:val="00A71106"/>
    <w:rsid w:val="00A72C2C"/>
    <w:rsid w:val="00A73BE8"/>
    <w:rsid w:val="00A75214"/>
    <w:rsid w:val="00A752B0"/>
    <w:rsid w:val="00A75933"/>
    <w:rsid w:val="00A77226"/>
    <w:rsid w:val="00A77B88"/>
    <w:rsid w:val="00A83A8E"/>
    <w:rsid w:val="00A83B18"/>
    <w:rsid w:val="00A83C41"/>
    <w:rsid w:val="00A84322"/>
    <w:rsid w:val="00A85F1A"/>
    <w:rsid w:val="00A860C9"/>
    <w:rsid w:val="00A86619"/>
    <w:rsid w:val="00A87610"/>
    <w:rsid w:val="00A92AA2"/>
    <w:rsid w:val="00A95CBD"/>
    <w:rsid w:val="00A96EE8"/>
    <w:rsid w:val="00A97996"/>
    <w:rsid w:val="00A97E12"/>
    <w:rsid w:val="00AA3927"/>
    <w:rsid w:val="00AA3A93"/>
    <w:rsid w:val="00AA3FF5"/>
    <w:rsid w:val="00AA489A"/>
    <w:rsid w:val="00AA5264"/>
    <w:rsid w:val="00AA5973"/>
    <w:rsid w:val="00AA6653"/>
    <w:rsid w:val="00AA7816"/>
    <w:rsid w:val="00AA7A96"/>
    <w:rsid w:val="00AB0380"/>
    <w:rsid w:val="00AB3526"/>
    <w:rsid w:val="00AB5ED0"/>
    <w:rsid w:val="00AC1208"/>
    <w:rsid w:val="00AC1ACE"/>
    <w:rsid w:val="00AC289D"/>
    <w:rsid w:val="00AC5D21"/>
    <w:rsid w:val="00AC5E6F"/>
    <w:rsid w:val="00AC6090"/>
    <w:rsid w:val="00AC716E"/>
    <w:rsid w:val="00AD0D8D"/>
    <w:rsid w:val="00AD170F"/>
    <w:rsid w:val="00AD1EE2"/>
    <w:rsid w:val="00AD2DFF"/>
    <w:rsid w:val="00AD3AB1"/>
    <w:rsid w:val="00AD41B4"/>
    <w:rsid w:val="00AE008D"/>
    <w:rsid w:val="00AE1B0D"/>
    <w:rsid w:val="00AE23AC"/>
    <w:rsid w:val="00AE27DB"/>
    <w:rsid w:val="00AE27E1"/>
    <w:rsid w:val="00AE3CAB"/>
    <w:rsid w:val="00AE3CE0"/>
    <w:rsid w:val="00AE475E"/>
    <w:rsid w:val="00AE4992"/>
    <w:rsid w:val="00AE6189"/>
    <w:rsid w:val="00AE733F"/>
    <w:rsid w:val="00AE765A"/>
    <w:rsid w:val="00AF1F7D"/>
    <w:rsid w:val="00AF3BC8"/>
    <w:rsid w:val="00AF584B"/>
    <w:rsid w:val="00AF6158"/>
    <w:rsid w:val="00AF688E"/>
    <w:rsid w:val="00B00270"/>
    <w:rsid w:val="00B00579"/>
    <w:rsid w:val="00B01C9E"/>
    <w:rsid w:val="00B0216C"/>
    <w:rsid w:val="00B02AF1"/>
    <w:rsid w:val="00B0772E"/>
    <w:rsid w:val="00B1040E"/>
    <w:rsid w:val="00B10976"/>
    <w:rsid w:val="00B127BD"/>
    <w:rsid w:val="00B13D46"/>
    <w:rsid w:val="00B1573B"/>
    <w:rsid w:val="00B202FE"/>
    <w:rsid w:val="00B20373"/>
    <w:rsid w:val="00B2362C"/>
    <w:rsid w:val="00B24636"/>
    <w:rsid w:val="00B306E7"/>
    <w:rsid w:val="00B3115C"/>
    <w:rsid w:val="00B314B0"/>
    <w:rsid w:val="00B33B21"/>
    <w:rsid w:val="00B34F39"/>
    <w:rsid w:val="00B3593E"/>
    <w:rsid w:val="00B35C74"/>
    <w:rsid w:val="00B36A6E"/>
    <w:rsid w:val="00B4198B"/>
    <w:rsid w:val="00B44239"/>
    <w:rsid w:val="00B4580D"/>
    <w:rsid w:val="00B51B99"/>
    <w:rsid w:val="00B53716"/>
    <w:rsid w:val="00B54205"/>
    <w:rsid w:val="00B558CA"/>
    <w:rsid w:val="00B56895"/>
    <w:rsid w:val="00B56CC6"/>
    <w:rsid w:val="00B57DA5"/>
    <w:rsid w:val="00B60C7F"/>
    <w:rsid w:val="00B61812"/>
    <w:rsid w:val="00B61D17"/>
    <w:rsid w:val="00B64B1A"/>
    <w:rsid w:val="00B6559F"/>
    <w:rsid w:val="00B65E54"/>
    <w:rsid w:val="00B66096"/>
    <w:rsid w:val="00B7237D"/>
    <w:rsid w:val="00B73B3C"/>
    <w:rsid w:val="00B76A73"/>
    <w:rsid w:val="00B832D4"/>
    <w:rsid w:val="00B83CCE"/>
    <w:rsid w:val="00B863CC"/>
    <w:rsid w:val="00B9061D"/>
    <w:rsid w:val="00B9151B"/>
    <w:rsid w:val="00B92318"/>
    <w:rsid w:val="00B925CE"/>
    <w:rsid w:val="00B95398"/>
    <w:rsid w:val="00B953F6"/>
    <w:rsid w:val="00BA66CD"/>
    <w:rsid w:val="00BA7DB0"/>
    <w:rsid w:val="00BB0B26"/>
    <w:rsid w:val="00BB2369"/>
    <w:rsid w:val="00BB2D7A"/>
    <w:rsid w:val="00BB3595"/>
    <w:rsid w:val="00BB446C"/>
    <w:rsid w:val="00BB4605"/>
    <w:rsid w:val="00BB5BDE"/>
    <w:rsid w:val="00BB7FD3"/>
    <w:rsid w:val="00BC05FA"/>
    <w:rsid w:val="00BC0937"/>
    <w:rsid w:val="00BC14FD"/>
    <w:rsid w:val="00BC3086"/>
    <w:rsid w:val="00BC37BD"/>
    <w:rsid w:val="00BC5095"/>
    <w:rsid w:val="00BC5344"/>
    <w:rsid w:val="00BC60F0"/>
    <w:rsid w:val="00BC7584"/>
    <w:rsid w:val="00BD4290"/>
    <w:rsid w:val="00BD44F4"/>
    <w:rsid w:val="00BD65B3"/>
    <w:rsid w:val="00BD7B7D"/>
    <w:rsid w:val="00BE2C45"/>
    <w:rsid w:val="00BE4833"/>
    <w:rsid w:val="00BE5121"/>
    <w:rsid w:val="00BE5B22"/>
    <w:rsid w:val="00BE5BE8"/>
    <w:rsid w:val="00BE68E4"/>
    <w:rsid w:val="00BE710B"/>
    <w:rsid w:val="00BE7295"/>
    <w:rsid w:val="00BE7E4E"/>
    <w:rsid w:val="00BF0B29"/>
    <w:rsid w:val="00BF53FF"/>
    <w:rsid w:val="00BF5F94"/>
    <w:rsid w:val="00BF682B"/>
    <w:rsid w:val="00BF7100"/>
    <w:rsid w:val="00BF7E5C"/>
    <w:rsid w:val="00C01810"/>
    <w:rsid w:val="00C034B5"/>
    <w:rsid w:val="00C06943"/>
    <w:rsid w:val="00C07F73"/>
    <w:rsid w:val="00C10348"/>
    <w:rsid w:val="00C14626"/>
    <w:rsid w:val="00C17AC9"/>
    <w:rsid w:val="00C21283"/>
    <w:rsid w:val="00C22CC4"/>
    <w:rsid w:val="00C23D9E"/>
    <w:rsid w:val="00C306CD"/>
    <w:rsid w:val="00C30BE2"/>
    <w:rsid w:val="00C31B0A"/>
    <w:rsid w:val="00C32F86"/>
    <w:rsid w:val="00C35AD7"/>
    <w:rsid w:val="00C36C69"/>
    <w:rsid w:val="00C4008A"/>
    <w:rsid w:val="00C41133"/>
    <w:rsid w:val="00C42F1B"/>
    <w:rsid w:val="00C436B5"/>
    <w:rsid w:val="00C4422D"/>
    <w:rsid w:val="00C450AD"/>
    <w:rsid w:val="00C4677D"/>
    <w:rsid w:val="00C46B3B"/>
    <w:rsid w:val="00C47177"/>
    <w:rsid w:val="00C47EDB"/>
    <w:rsid w:val="00C50D89"/>
    <w:rsid w:val="00C50F4F"/>
    <w:rsid w:val="00C51BE1"/>
    <w:rsid w:val="00C5505D"/>
    <w:rsid w:val="00C567AE"/>
    <w:rsid w:val="00C62602"/>
    <w:rsid w:val="00C631B5"/>
    <w:rsid w:val="00C6336D"/>
    <w:rsid w:val="00C64682"/>
    <w:rsid w:val="00C6516C"/>
    <w:rsid w:val="00C66BCF"/>
    <w:rsid w:val="00C67B8E"/>
    <w:rsid w:val="00C72759"/>
    <w:rsid w:val="00C72937"/>
    <w:rsid w:val="00C741D2"/>
    <w:rsid w:val="00C75873"/>
    <w:rsid w:val="00C765D7"/>
    <w:rsid w:val="00C77583"/>
    <w:rsid w:val="00C77B66"/>
    <w:rsid w:val="00C85796"/>
    <w:rsid w:val="00C86732"/>
    <w:rsid w:val="00C86C73"/>
    <w:rsid w:val="00C872EA"/>
    <w:rsid w:val="00C87D62"/>
    <w:rsid w:val="00C936CF"/>
    <w:rsid w:val="00C95DD0"/>
    <w:rsid w:val="00C960D1"/>
    <w:rsid w:val="00C96693"/>
    <w:rsid w:val="00C976D8"/>
    <w:rsid w:val="00C97EB4"/>
    <w:rsid w:val="00CA05F0"/>
    <w:rsid w:val="00CA07BC"/>
    <w:rsid w:val="00CA09FC"/>
    <w:rsid w:val="00CA0C2D"/>
    <w:rsid w:val="00CA3B1D"/>
    <w:rsid w:val="00CA5B05"/>
    <w:rsid w:val="00CB12A5"/>
    <w:rsid w:val="00CB1C19"/>
    <w:rsid w:val="00CB3FDF"/>
    <w:rsid w:val="00CB4822"/>
    <w:rsid w:val="00CB5069"/>
    <w:rsid w:val="00CB6098"/>
    <w:rsid w:val="00CC34BE"/>
    <w:rsid w:val="00CC3BA8"/>
    <w:rsid w:val="00CC3DD7"/>
    <w:rsid w:val="00CC427A"/>
    <w:rsid w:val="00CC5983"/>
    <w:rsid w:val="00CC651A"/>
    <w:rsid w:val="00CC7BB7"/>
    <w:rsid w:val="00CD0332"/>
    <w:rsid w:val="00CD0E58"/>
    <w:rsid w:val="00CD414F"/>
    <w:rsid w:val="00CD4B32"/>
    <w:rsid w:val="00CD5E09"/>
    <w:rsid w:val="00CD648D"/>
    <w:rsid w:val="00CD785D"/>
    <w:rsid w:val="00CE1769"/>
    <w:rsid w:val="00CE2DE3"/>
    <w:rsid w:val="00CE3D9D"/>
    <w:rsid w:val="00CE42E3"/>
    <w:rsid w:val="00CE55BE"/>
    <w:rsid w:val="00CE6532"/>
    <w:rsid w:val="00CE7E31"/>
    <w:rsid w:val="00CF18EF"/>
    <w:rsid w:val="00CF2ADD"/>
    <w:rsid w:val="00CF41C1"/>
    <w:rsid w:val="00CF4484"/>
    <w:rsid w:val="00CF48C2"/>
    <w:rsid w:val="00CF4947"/>
    <w:rsid w:val="00CF4D80"/>
    <w:rsid w:val="00CF5E36"/>
    <w:rsid w:val="00CF63EC"/>
    <w:rsid w:val="00CF7B55"/>
    <w:rsid w:val="00D03B40"/>
    <w:rsid w:val="00D05217"/>
    <w:rsid w:val="00D06104"/>
    <w:rsid w:val="00D100E8"/>
    <w:rsid w:val="00D1044C"/>
    <w:rsid w:val="00D1081F"/>
    <w:rsid w:val="00D11599"/>
    <w:rsid w:val="00D11EBE"/>
    <w:rsid w:val="00D13281"/>
    <w:rsid w:val="00D13546"/>
    <w:rsid w:val="00D16195"/>
    <w:rsid w:val="00D20BDE"/>
    <w:rsid w:val="00D21454"/>
    <w:rsid w:val="00D2417E"/>
    <w:rsid w:val="00D24EE4"/>
    <w:rsid w:val="00D2505A"/>
    <w:rsid w:val="00D31E64"/>
    <w:rsid w:val="00D31F70"/>
    <w:rsid w:val="00D3376B"/>
    <w:rsid w:val="00D34C37"/>
    <w:rsid w:val="00D360F0"/>
    <w:rsid w:val="00D365B7"/>
    <w:rsid w:val="00D36DEA"/>
    <w:rsid w:val="00D40CAB"/>
    <w:rsid w:val="00D4447E"/>
    <w:rsid w:val="00D444E2"/>
    <w:rsid w:val="00D445B9"/>
    <w:rsid w:val="00D44B35"/>
    <w:rsid w:val="00D44C64"/>
    <w:rsid w:val="00D450C3"/>
    <w:rsid w:val="00D45A80"/>
    <w:rsid w:val="00D47D85"/>
    <w:rsid w:val="00D5144A"/>
    <w:rsid w:val="00D53D1A"/>
    <w:rsid w:val="00D5575B"/>
    <w:rsid w:val="00D57D0D"/>
    <w:rsid w:val="00D61BCF"/>
    <w:rsid w:val="00D62192"/>
    <w:rsid w:val="00D63DBD"/>
    <w:rsid w:val="00D63F6A"/>
    <w:rsid w:val="00D649F7"/>
    <w:rsid w:val="00D64D9B"/>
    <w:rsid w:val="00D6660D"/>
    <w:rsid w:val="00D7063A"/>
    <w:rsid w:val="00D71B2C"/>
    <w:rsid w:val="00D74368"/>
    <w:rsid w:val="00D764E0"/>
    <w:rsid w:val="00D76691"/>
    <w:rsid w:val="00D779A2"/>
    <w:rsid w:val="00D80040"/>
    <w:rsid w:val="00D8223D"/>
    <w:rsid w:val="00D822DA"/>
    <w:rsid w:val="00D83B35"/>
    <w:rsid w:val="00D85B05"/>
    <w:rsid w:val="00D8663C"/>
    <w:rsid w:val="00D87574"/>
    <w:rsid w:val="00D90713"/>
    <w:rsid w:val="00D90D60"/>
    <w:rsid w:val="00D91F07"/>
    <w:rsid w:val="00D9447B"/>
    <w:rsid w:val="00D951DA"/>
    <w:rsid w:val="00D9661F"/>
    <w:rsid w:val="00D969DA"/>
    <w:rsid w:val="00D97A60"/>
    <w:rsid w:val="00DA441D"/>
    <w:rsid w:val="00DA49C2"/>
    <w:rsid w:val="00DA7006"/>
    <w:rsid w:val="00DA7333"/>
    <w:rsid w:val="00DB04A0"/>
    <w:rsid w:val="00DB0B81"/>
    <w:rsid w:val="00DB1047"/>
    <w:rsid w:val="00DB22CB"/>
    <w:rsid w:val="00DB2A2D"/>
    <w:rsid w:val="00DB349C"/>
    <w:rsid w:val="00DB3D5E"/>
    <w:rsid w:val="00DB456F"/>
    <w:rsid w:val="00DB4F70"/>
    <w:rsid w:val="00DB52B7"/>
    <w:rsid w:val="00DB5426"/>
    <w:rsid w:val="00DB56EA"/>
    <w:rsid w:val="00DC1B1E"/>
    <w:rsid w:val="00DC1C04"/>
    <w:rsid w:val="00DC21DB"/>
    <w:rsid w:val="00DC2514"/>
    <w:rsid w:val="00DC4498"/>
    <w:rsid w:val="00DC5B59"/>
    <w:rsid w:val="00DC648C"/>
    <w:rsid w:val="00DC73C4"/>
    <w:rsid w:val="00DC7ACC"/>
    <w:rsid w:val="00DC7E4E"/>
    <w:rsid w:val="00DC7F5B"/>
    <w:rsid w:val="00DD2318"/>
    <w:rsid w:val="00DD2C5E"/>
    <w:rsid w:val="00DD36C4"/>
    <w:rsid w:val="00DD3A78"/>
    <w:rsid w:val="00DD4BAC"/>
    <w:rsid w:val="00DD5161"/>
    <w:rsid w:val="00DD635B"/>
    <w:rsid w:val="00DD7E7F"/>
    <w:rsid w:val="00DE011F"/>
    <w:rsid w:val="00DE0907"/>
    <w:rsid w:val="00DE097F"/>
    <w:rsid w:val="00DE0D93"/>
    <w:rsid w:val="00DE31BB"/>
    <w:rsid w:val="00DE4291"/>
    <w:rsid w:val="00DE5263"/>
    <w:rsid w:val="00DE678F"/>
    <w:rsid w:val="00DE6C8F"/>
    <w:rsid w:val="00DF021A"/>
    <w:rsid w:val="00DF0695"/>
    <w:rsid w:val="00DF1CED"/>
    <w:rsid w:val="00DF21D0"/>
    <w:rsid w:val="00DF29D2"/>
    <w:rsid w:val="00DF2E06"/>
    <w:rsid w:val="00DF4486"/>
    <w:rsid w:val="00DF4AE4"/>
    <w:rsid w:val="00DF4BEE"/>
    <w:rsid w:val="00DF4C55"/>
    <w:rsid w:val="00DF74CF"/>
    <w:rsid w:val="00E000ED"/>
    <w:rsid w:val="00E00EF6"/>
    <w:rsid w:val="00E054F6"/>
    <w:rsid w:val="00E0749B"/>
    <w:rsid w:val="00E1144B"/>
    <w:rsid w:val="00E12528"/>
    <w:rsid w:val="00E13333"/>
    <w:rsid w:val="00E14CD5"/>
    <w:rsid w:val="00E16E56"/>
    <w:rsid w:val="00E218C0"/>
    <w:rsid w:val="00E22162"/>
    <w:rsid w:val="00E22311"/>
    <w:rsid w:val="00E23A49"/>
    <w:rsid w:val="00E2507A"/>
    <w:rsid w:val="00E25A44"/>
    <w:rsid w:val="00E265C5"/>
    <w:rsid w:val="00E26D16"/>
    <w:rsid w:val="00E26D2B"/>
    <w:rsid w:val="00E272FC"/>
    <w:rsid w:val="00E27545"/>
    <w:rsid w:val="00E27625"/>
    <w:rsid w:val="00E27F35"/>
    <w:rsid w:val="00E307A6"/>
    <w:rsid w:val="00E33BF8"/>
    <w:rsid w:val="00E35193"/>
    <w:rsid w:val="00E36919"/>
    <w:rsid w:val="00E36FF6"/>
    <w:rsid w:val="00E41A19"/>
    <w:rsid w:val="00E47407"/>
    <w:rsid w:val="00E5060D"/>
    <w:rsid w:val="00E51698"/>
    <w:rsid w:val="00E53E0F"/>
    <w:rsid w:val="00E549E7"/>
    <w:rsid w:val="00E576C1"/>
    <w:rsid w:val="00E62D74"/>
    <w:rsid w:val="00E656DC"/>
    <w:rsid w:val="00E6719A"/>
    <w:rsid w:val="00E6758A"/>
    <w:rsid w:val="00E67EFF"/>
    <w:rsid w:val="00E722E0"/>
    <w:rsid w:val="00E7294E"/>
    <w:rsid w:val="00E73C3B"/>
    <w:rsid w:val="00E74AB2"/>
    <w:rsid w:val="00E75B38"/>
    <w:rsid w:val="00E75C2E"/>
    <w:rsid w:val="00E765A3"/>
    <w:rsid w:val="00E76BF1"/>
    <w:rsid w:val="00E77CE0"/>
    <w:rsid w:val="00E80D00"/>
    <w:rsid w:val="00E824B0"/>
    <w:rsid w:val="00E828F1"/>
    <w:rsid w:val="00E8607C"/>
    <w:rsid w:val="00E862BC"/>
    <w:rsid w:val="00E87B52"/>
    <w:rsid w:val="00E9081E"/>
    <w:rsid w:val="00E90DA7"/>
    <w:rsid w:val="00E91EE1"/>
    <w:rsid w:val="00E924D0"/>
    <w:rsid w:val="00E93CED"/>
    <w:rsid w:val="00E93E3E"/>
    <w:rsid w:val="00E956CE"/>
    <w:rsid w:val="00E96D69"/>
    <w:rsid w:val="00EA0D72"/>
    <w:rsid w:val="00EA4712"/>
    <w:rsid w:val="00EA567A"/>
    <w:rsid w:val="00EA5C2E"/>
    <w:rsid w:val="00EA6667"/>
    <w:rsid w:val="00EA695B"/>
    <w:rsid w:val="00EA6E60"/>
    <w:rsid w:val="00EB3CDF"/>
    <w:rsid w:val="00EB49BF"/>
    <w:rsid w:val="00EB4D00"/>
    <w:rsid w:val="00EB69FC"/>
    <w:rsid w:val="00EC27E2"/>
    <w:rsid w:val="00EC2CEF"/>
    <w:rsid w:val="00EC6787"/>
    <w:rsid w:val="00EC6C61"/>
    <w:rsid w:val="00EC777D"/>
    <w:rsid w:val="00EC7B6F"/>
    <w:rsid w:val="00ED05E7"/>
    <w:rsid w:val="00ED080A"/>
    <w:rsid w:val="00ED2B92"/>
    <w:rsid w:val="00ED3C09"/>
    <w:rsid w:val="00ED440A"/>
    <w:rsid w:val="00ED541B"/>
    <w:rsid w:val="00ED58FA"/>
    <w:rsid w:val="00ED747A"/>
    <w:rsid w:val="00EE0414"/>
    <w:rsid w:val="00EE091A"/>
    <w:rsid w:val="00EE29EE"/>
    <w:rsid w:val="00EE2FB9"/>
    <w:rsid w:val="00EE3FA6"/>
    <w:rsid w:val="00EE4996"/>
    <w:rsid w:val="00EE77FB"/>
    <w:rsid w:val="00EF449B"/>
    <w:rsid w:val="00EF565F"/>
    <w:rsid w:val="00EF64C6"/>
    <w:rsid w:val="00F010F5"/>
    <w:rsid w:val="00F017F6"/>
    <w:rsid w:val="00F02B74"/>
    <w:rsid w:val="00F033D4"/>
    <w:rsid w:val="00F0622B"/>
    <w:rsid w:val="00F0651C"/>
    <w:rsid w:val="00F06531"/>
    <w:rsid w:val="00F06B62"/>
    <w:rsid w:val="00F0702D"/>
    <w:rsid w:val="00F078B7"/>
    <w:rsid w:val="00F111C6"/>
    <w:rsid w:val="00F11367"/>
    <w:rsid w:val="00F11C5D"/>
    <w:rsid w:val="00F121F6"/>
    <w:rsid w:val="00F12F8D"/>
    <w:rsid w:val="00F13EC2"/>
    <w:rsid w:val="00F14CE9"/>
    <w:rsid w:val="00F15A28"/>
    <w:rsid w:val="00F16974"/>
    <w:rsid w:val="00F16C79"/>
    <w:rsid w:val="00F170CE"/>
    <w:rsid w:val="00F17450"/>
    <w:rsid w:val="00F215C5"/>
    <w:rsid w:val="00F23EF2"/>
    <w:rsid w:val="00F320C0"/>
    <w:rsid w:val="00F33A95"/>
    <w:rsid w:val="00F35257"/>
    <w:rsid w:val="00F35511"/>
    <w:rsid w:val="00F36320"/>
    <w:rsid w:val="00F36FA3"/>
    <w:rsid w:val="00F3716F"/>
    <w:rsid w:val="00F37975"/>
    <w:rsid w:val="00F40152"/>
    <w:rsid w:val="00F406E1"/>
    <w:rsid w:val="00F41156"/>
    <w:rsid w:val="00F41EEB"/>
    <w:rsid w:val="00F44122"/>
    <w:rsid w:val="00F4675F"/>
    <w:rsid w:val="00F46BCA"/>
    <w:rsid w:val="00F471FB"/>
    <w:rsid w:val="00F47301"/>
    <w:rsid w:val="00F50B83"/>
    <w:rsid w:val="00F51846"/>
    <w:rsid w:val="00F52AF2"/>
    <w:rsid w:val="00F52D31"/>
    <w:rsid w:val="00F549C4"/>
    <w:rsid w:val="00F54A23"/>
    <w:rsid w:val="00F55CCF"/>
    <w:rsid w:val="00F55CF9"/>
    <w:rsid w:val="00F566A9"/>
    <w:rsid w:val="00F6054A"/>
    <w:rsid w:val="00F606DA"/>
    <w:rsid w:val="00F60B6A"/>
    <w:rsid w:val="00F60FCB"/>
    <w:rsid w:val="00F61188"/>
    <w:rsid w:val="00F62909"/>
    <w:rsid w:val="00F62D84"/>
    <w:rsid w:val="00F63DD2"/>
    <w:rsid w:val="00F64B7B"/>
    <w:rsid w:val="00F64C30"/>
    <w:rsid w:val="00F652A3"/>
    <w:rsid w:val="00F652D4"/>
    <w:rsid w:val="00F70E7B"/>
    <w:rsid w:val="00F712C0"/>
    <w:rsid w:val="00F7143B"/>
    <w:rsid w:val="00F720DE"/>
    <w:rsid w:val="00F74630"/>
    <w:rsid w:val="00F746A9"/>
    <w:rsid w:val="00F76564"/>
    <w:rsid w:val="00F76E82"/>
    <w:rsid w:val="00F80B37"/>
    <w:rsid w:val="00F85048"/>
    <w:rsid w:val="00F8554A"/>
    <w:rsid w:val="00F858EC"/>
    <w:rsid w:val="00F859CE"/>
    <w:rsid w:val="00F86DF8"/>
    <w:rsid w:val="00F87F88"/>
    <w:rsid w:val="00F90403"/>
    <w:rsid w:val="00F92245"/>
    <w:rsid w:val="00F927E8"/>
    <w:rsid w:val="00F933D9"/>
    <w:rsid w:val="00F9453F"/>
    <w:rsid w:val="00F9465C"/>
    <w:rsid w:val="00F96144"/>
    <w:rsid w:val="00FA0D07"/>
    <w:rsid w:val="00FA2F61"/>
    <w:rsid w:val="00FA5BD0"/>
    <w:rsid w:val="00FA6B0E"/>
    <w:rsid w:val="00FA720F"/>
    <w:rsid w:val="00FA7616"/>
    <w:rsid w:val="00FB19C3"/>
    <w:rsid w:val="00FB1DD1"/>
    <w:rsid w:val="00FB1EC3"/>
    <w:rsid w:val="00FB43D5"/>
    <w:rsid w:val="00FB4C83"/>
    <w:rsid w:val="00FB4DB8"/>
    <w:rsid w:val="00FB52A7"/>
    <w:rsid w:val="00FB5F98"/>
    <w:rsid w:val="00FB63C4"/>
    <w:rsid w:val="00FB67C9"/>
    <w:rsid w:val="00FB6BD0"/>
    <w:rsid w:val="00FC1643"/>
    <w:rsid w:val="00FC31F0"/>
    <w:rsid w:val="00FC416A"/>
    <w:rsid w:val="00FC4C6C"/>
    <w:rsid w:val="00FC5D6B"/>
    <w:rsid w:val="00FC66BC"/>
    <w:rsid w:val="00FD0ACC"/>
    <w:rsid w:val="00FD3713"/>
    <w:rsid w:val="00FD43FF"/>
    <w:rsid w:val="00FD4D91"/>
    <w:rsid w:val="00FE1BE8"/>
    <w:rsid w:val="00FE1CF6"/>
    <w:rsid w:val="00FE264A"/>
    <w:rsid w:val="00FE2AF7"/>
    <w:rsid w:val="00FE3F25"/>
    <w:rsid w:val="00FE6502"/>
    <w:rsid w:val="00FE6E28"/>
    <w:rsid w:val="00FF192D"/>
    <w:rsid w:val="00FF2697"/>
    <w:rsid w:val="00FF3776"/>
    <w:rsid w:val="00FF63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1F89D"/>
  <w15:docId w15:val="{8282A125-6243-4BA5-8485-632A6952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Arial" w:hAnsi="Arial"/>
      <w:sz w:val="24"/>
    </w:rPr>
  </w:style>
  <w:style w:type="paragraph" w:styleId="Nadpis1">
    <w:name w:val="heading 1"/>
    <w:basedOn w:val="Normln"/>
    <w:next w:val="Normln"/>
    <w:link w:val="Nadpis1Char"/>
    <w:qFormat/>
    <w:pPr>
      <w:keepNext/>
      <w:numPr>
        <w:numId w:val="1"/>
      </w:numPr>
      <w:spacing w:line="360" w:lineRule="auto"/>
      <w:jc w:val="both"/>
      <w:outlineLvl w:val="0"/>
    </w:pPr>
    <w:rPr>
      <w:b/>
      <w:bCs/>
      <w:sz w:val="36"/>
    </w:rPr>
  </w:style>
  <w:style w:type="paragraph" w:styleId="Nadpis2">
    <w:name w:val="heading 2"/>
    <w:basedOn w:val="Normln"/>
    <w:next w:val="Normln"/>
    <w:qFormat/>
    <w:pPr>
      <w:keepNext/>
      <w:numPr>
        <w:ilvl w:val="1"/>
        <w:numId w:val="1"/>
      </w:numPr>
      <w:spacing w:line="360" w:lineRule="auto"/>
      <w:jc w:val="both"/>
      <w:outlineLvl w:val="1"/>
    </w:pPr>
    <w:rPr>
      <w:b/>
      <w:bCs/>
      <w:sz w:val="32"/>
    </w:rPr>
  </w:style>
  <w:style w:type="paragraph" w:styleId="Nadpis3">
    <w:name w:val="heading 3"/>
    <w:basedOn w:val="Normln"/>
    <w:next w:val="Normln"/>
    <w:qFormat/>
    <w:pPr>
      <w:keepNext/>
      <w:numPr>
        <w:ilvl w:val="2"/>
        <w:numId w:val="1"/>
      </w:numPr>
      <w:spacing w:line="360" w:lineRule="auto"/>
      <w:jc w:val="both"/>
      <w:outlineLvl w:val="2"/>
    </w:pPr>
    <w:rPr>
      <w:b/>
      <w:bCs/>
      <w:i/>
      <w:iCs/>
      <w:sz w:val="32"/>
    </w:rPr>
  </w:style>
  <w:style w:type="paragraph" w:styleId="Nadpis4">
    <w:name w:val="heading 4"/>
    <w:basedOn w:val="Normln"/>
    <w:next w:val="Normln"/>
    <w:qFormat/>
    <w:pPr>
      <w:keepNext/>
      <w:numPr>
        <w:ilvl w:val="3"/>
        <w:numId w:val="1"/>
      </w:numPr>
      <w:jc w:val="both"/>
      <w:outlineLvl w:val="3"/>
    </w:pPr>
    <w:rPr>
      <w:b/>
      <w:bCs/>
      <w:i/>
      <w:iCs/>
      <w:sz w:val="20"/>
    </w:rPr>
  </w:style>
  <w:style w:type="paragraph" w:styleId="Nadpis5">
    <w:name w:val="heading 5"/>
    <w:basedOn w:val="Normln"/>
    <w:next w:val="Normln"/>
    <w:qFormat/>
    <w:pPr>
      <w:keepNext/>
      <w:numPr>
        <w:ilvl w:val="4"/>
        <w:numId w:val="1"/>
      </w:numPr>
      <w:spacing w:line="360" w:lineRule="auto"/>
      <w:jc w:val="both"/>
      <w:outlineLvl w:val="4"/>
    </w:pPr>
    <w:rPr>
      <w:b/>
      <w:bCs/>
    </w:rPr>
  </w:style>
  <w:style w:type="paragraph" w:styleId="Nadpis6">
    <w:name w:val="heading 6"/>
    <w:basedOn w:val="Normln"/>
    <w:next w:val="Normln"/>
    <w:qFormat/>
    <w:pPr>
      <w:keepNext/>
      <w:numPr>
        <w:ilvl w:val="5"/>
        <w:numId w:val="1"/>
      </w:numPr>
      <w:spacing w:line="360" w:lineRule="auto"/>
      <w:jc w:val="both"/>
      <w:outlineLvl w:val="5"/>
    </w:pPr>
    <w:rPr>
      <w:rFonts w:cs="Arial"/>
      <w:b/>
      <w:bCs/>
      <w:sz w:val="36"/>
      <w:szCs w:val="24"/>
    </w:rPr>
  </w:style>
  <w:style w:type="paragraph" w:styleId="Nadpis7">
    <w:name w:val="heading 7"/>
    <w:basedOn w:val="Normln"/>
    <w:next w:val="Normln"/>
    <w:qFormat/>
    <w:pPr>
      <w:keepNext/>
      <w:numPr>
        <w:ilvl w:val="6"/>
        <w:numId w:val="1"/>
      </w:numPr>
      <w:spacing w:line="360" w:lineRule="auto"/>
      <w:jc w:val="both"/>
      <w:outlineLvl w:val="6"/>
    </w:pPr>
    <w:rPr>
      <w:rFonts w:cs="Arial"/>
      <w:b/>
      <w:bCs/>
      <w:i/>
      <w:iCs/>
      <w:sz w:val="28"/>
      <w:szCs w:val="24"/>
    </w:rPr>
  </w:style>
  <w:style w:type="paragraph" w:styleId="Nadpis8">
    <w:name w:val="heading 8"/>
    <w:basedOn w:val="Normln"/>
    <w:next w:val="Normln"/>
    <w:qFormat/>
    <w:pPr>
      <w:keepNext/>
      <w:numPr>
        <w:ilvl w:val="7"/>
        <w:numId w:val="1"/>
      </w:numPr>
      <w:spacing w:line="360" w:lineRule="auto"/>
      <w:jc w:val="both"/>
      <w:outlineLvl w:val="7"/>
    </w:pPr>
    <w:rPr>
      <w:rFonts w:cs="Arial"/>
      <w:b/>
      <w:bCs/>
      <w:sz w:val="36"/>
      <w:szCs w:val="24"/>
    </w:rPr>
  </w:style>
  <w:style w:type="paragraph" w:styleId="Nadpis9">
    <w:name w:val="heading 9"/>
    <w:basedOn w:val="Normln"/>
    <w:next w:val="Normln"/>
    <w:qFormat/>
    <w:pPr>
      <w:numPr>
        <w:ilvl w:val="8"/>
        <w:numId w:val="1"/>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line="360" w:lineRule="auto"/>
      <w:jc w:val="both"/>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Textpoznpodarou">
    <w:name w:val="footnote text"/>
    <w:basedOn w:val="Normln"/>
    <w:link w:val="TextpoznpodarouChar"/>
    <w:semiHidden/>
    <w:rPr>
      <w:sz w:val="20"/>
    </w:rPr>
  </w:style>
  <w:style w:type="character" w:styleId="Znakapoznpodarou">
    <w:name w:val="footnote reference"/>
    <w:semiHidden/>
    <w:rPr>
      <w:vertAlign w:val="superscript"/>
    </w:rPr>
  </w:style>
  <w:style w:type="paragraph" w:styleId="Zkladntextodsazen">
    <w:name w:val="Body Text Indent"/>
    <w:basedOn w:val="Normln"/>
    <w:pPr>
      <w:spacing w:line="360" w:lineRule="auto"/>
      <w:ind w:firstLine="360"/>
      <w:jc w:val="both"/>
    </w:pPr>
  </w:style>
  <w:style w:type="paragraph" w:styleId="Zhlav">
    <w:name w:val="header"/>
    <w:basedOn w:val="Normln"/>
    <w:link w:val="ZhlavChar"/>
    <w:uiPriority w:val="99"/>
    <w:pPr>
      <w:tabs>
        <w:tab w:val="center" w:pos="4536"/>
        <w:tab w:val="right" w:pos="9072"/>
      </w:tabs>
    </w:pPr>
  </w:style>
  <w:style w:type="paragraph" w:styleId="Zkladntext2">
    <w:name w:val="Body Text 2"/>
    <w:basedOn w:val="Normln"/>
    <w:pPr>
      <w:spacing w:line="360" w:lineRule="auto"/>
      <w:jc w:val="both"/>
    </w:pPr>
  </w:style>
  <w:style w:type="paragraph" w:styleId="Zkladntextodsazen2">
    <w:name w:val="Body Text Indent 2"/>
    <w:basedOn w:val="Normln"/>
    <w:pPr>
      <w:spacing w:line="480" w:lineRule="auto"/>
      <w:ind w:firstLine="708"/>
      <w:jc w:val="both"/>
    </w:pPr>
    <w:rPr>
      <w:color w:val="FF0000"/>
    </w:rPr>
  </w:style>
  <w:style w:type="paragraph" w:styleId="Zkladntext3">
    <w:name w:val="Body Text 3"/>
    <w:basedOn w:val="Normln"/>
    <w:pPr>
      <w:spacing w:line="360" w:lineRule="auto"/>
      <w:jc w:val="both"/>
    </w:pPr>
    <w:rPr>
      <w:rFonts w:cs="Arial"/>
      <w:color w:val="008000"/>
    </w:rPr>
  </w:style>
  <w:style w:type="paragraph" w:styleId="Zkladntextodsazen3">
    <w:name w:val="Body Text Indent 3"/>
    <w:basedOn w:val="Normln"/>
    <w:pPr>
      <w:ind w:left="709"/>
      <w:jc w:val="both"/>
    </w:pPr>
  </w:style>
  <w:style w:type="character" w:styleId="Hypertextovodkaz">
    <w:name w:val="Hyperlink"/>
    <w:rPr>
      <w:color w:val="0000FF"/>
      <w:u w:val="single"/>
    </w:rPr>
  </w:style>
  <w:style w:type="paragraph" w:styleId="Rozloendokumentu">
    <w:name w:val="Document Map"/>
    <w:basedOn w:val="Normln"/>
    <w:semiHidden/>
    <w:rsid w:val="005E6641"/>
    <w:pPr>
      <w:shd w:val="clear" w:color="auto" w:fill="000080"/>
    </w:pPr>
    <w:rPr>
      <w:rFonts w:ascii="Tahoma" w:hAnsi="Tahoma" w:cs="Tahoma"/>
      <w:sz w:val="20"/>
    </w:rPr>
  </w:style>
  <w:style w:type="paragraph" w:styleId="Textbubliny">
    <w:name w:val="Balloon Text"/>
    <w:basedOn w:val="Normln"/>
    <w:link w:val="TextbublinyChar"/>
    <w:uiPriority w:val="99"/>
    <w:semiHidden/>
    <w:rsid w:val="006558D9"/>
    <w:rPr>
      <w:rFonts w:ascii="Tahoma" w:hAnsi="Tahoma" w:cs="Tahoma"/>
      <w:sz w:val="16"/>
      <w:szCs w:val="16"/>
    </w:rPr>
  </w:style>
  <w:style w:type="character" w:customStyle="1" w:styleId="ZpatChar">
    <w:name w:val="Zápatí Char"/>
    <w:link w:val="Zpat"/>
    <w:uiPriority w:val="99"/>
    <w:rsid w:val="008C453A"/>
    <w:rPr>
      <w:rFonts w:ascii="Arial" w:hAnsi="Arial"/>
      <w:sz w:val="24"/>
    </w:rPr>
  </w:style>
  <w:style w:type="character" w:customStyle="1" w:styleId="TextpoznpodarouChar">
    <w:name w:val="Text pozn. pod čarou Char"/>
    <w:link w:val="Textpoznpodarou"/>
    <w:semiHidden/>
    <w:locked/>
    <w:rsid w:val="00D06104"/>
    <w:rPr>
      <w:rFonts w:ascii="Arial" w:hAnsi="Arial"/>
      <w:lang w:val="cs-CZ" w:eastAsia="cs-CZ" w:bidi="ar-SA"/>
    </w:rPr>
  </w:style>
  <w:style w:type="paragraph" w:styleId="Odstavecseseznamem">
    <w:name w:val="List Paragraph"/>
    <w:basedOn w:val="Normln"/>
    <w:uiPriority w:val="34"/>
    <w:qFormat/>
    <w:rsid w:val="003765A0"/>
    <w:pPr>
      <w:ind w:left="708"/>
    </w:pPr>
  </w:style>
  <w:style w:type="character" w:customStyle="1" w:styleId="ZhlavChar">
    <w:name w:val="Záhlaví Char"/>
    <w:link w:val="Zhlav"/>
    <w:uiPriority w:val="99"/>
    <w:rsid w:val="00460545"/>
    <w:rPr>
      <w:rFonts w:ascii="Arial" w:hAnsi="Arial"/>
      <w:sz w:val="24"/>
    </w:rPr>
  </w:style>
  <w:style w:type="character" w:customStyle="1" w:styleId="ZkladntextChar">
    <w:name w:val="Základní text Char"/>
    <w:link w:val="Zkladntext"/>
    <w:rsid w:val="00026922"/>
    <w:rPr>
      <w:rFonts w:ascii="Arial" w:hAnsi="Arial"/>
      <w:sz w:val="24"/>
    </w:rPr>
  </w:style>
  <w:style w:type="paragraph" w:styleId="Nzev">
    <w:name w:val="Title"/>
    <w:basedOn w:val="Normln"/>
    <w:next w:val="Normln"/>
    <w:link w:val="NzevChar"/>
    <w:qFormat/>
    <w:rsid w:val="008C4B41"/>
    <w:pPr>
      <w:spacing w:before="240" w:after="60"/>
      <w:jc w:val="center"/>
      <w:outlineLvl w:val="0"/>
    </w:pPr>
    <w:rPr>
      <w:rFonts w:ascii="Cambria" w:hAnsi="Cambria"/>
      <w:b/>
      <w:bCs/>
      <w:kern w:val="28"/>
      <w:sz w:val="32"/>
      <w:szCs w:val="32"/>
    </w:rPr>
  </w:style>
  <w:style w:type="character" w:customStyle="1" w:styleId="NzevChar">
    <w:name w:val="Název Char"/>
    <w:link w:val="Nzev"/>
    <w:rsid w:val="008C4B41"/>
    <w:rPr>
      <w:rFonts w:ascii="Cambria" w:eastAsia="Times New Roman" w:hAnsi="Cambria" w:cs="Times New Roman"/>
      <w:b/>
      <w:bCs/>
      <w:kern w:val="28"/>
      <w:sz w:val="32"/>
      <w:szCs w:val="32"/>
    </w:rPr>
  </w:style>
  <w:style w:type="paragraph" w:customStyle="1" w:styleId="PBA12">
    <w:name w:val="PB_A12"/>
    <w:basedOn w:val="Normln"/>
    <w:rsid w:val="001931AC"/>
    <w:pPr>
      <w:tabs>
        <w:tab w:val="left" w:pos="709"/>
      </w:tabs>
      <w:spacing w:before="120" w:line="312" w:lineRule="auto"/>
      <w:ind w:right="113" w:firstLine="709"/>
      <w:jc w:val="both"/>
    </w:pPr>
    <w:rPr>
      <w:szCs w:val="24"/>
    </w:rPr>
  </w:style>
  <w:style w:type="character" w:customStyle="1" w:styleId="Nadpis1Char">
    <w:name w:val="Nadpis 1 Char"/>
    <w:basedOn w:val="Standardnpsmoodstavce"/>
    <w:link w:val="Nadpis1"/>
    <w:rsid w:val="002B41D9"/>
    <w:rPr>
      <w:rFonts w:ascii="Arial" w:hAnsi="Arial"/>
      <w:b/>
      <w:bCs/>
      <w:sz w:val="36"/>
    </w:rPr>
  </w:style>
  <w:style w:type="character" w:customStyle="1" w:styleId="TextbublinyChar">
    <w:name w:val="Text bubliny Char"/>
    <w:basedOn w:val="Standardnpsmoodstavce"/>
    <w:link w:val="Textbubliny"/>
    <w:uiPriority w:val="99"/>
    <w:semiHidden/>
    <w:rsid w:val="00637AB1"/>
    <w:rPr>
      <w:rFonts w:ascii="Tahoma" w:hAnsi="Tahoma" w:cs="Tahoma"/>
      <w:sz w:val="16"/>
      <w:szCs w:val="16"/>
    </w:rPr>
  </w:style>
  <w:style w:type="character" w:styleId="Siln">
    <w:name w:val="Strong"/>
    <w:basedOn w:val="Standardnpsmoodstavce"/>
    <w:uiPriority w:val="22"/>
    <w:qFormat/>
    <w:rsid w:val="005860BF"/>
    <w:rPr>
      <w:b/>
      <w:bCs/>
    </w:rPr>
  </w:style>
  <w:style w:type="table" w:styleId="Mkatabulky">
    <w:name w:val="Table Grid"/>
    <w:basedOn w:val="Normlntabulka"/>
    <w:uiPriority w:val="39"/>
    <w:rsid w:val="00557F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n"/>
    <w:rsid w:val="00161851"/>
    <w:pPr>
      <w:spacing w:before="100" w:beforeAutospacing="1" w:after="100" w:afterAutospacing="1"/>
    </w:pPr>
    <w:rPr>
      <w:rFonts w:ascii="Times New Roman" w:hAnsi="Times New Roman"/>
      <w:szCs w:val="24"/>
    </w:rPr>
  </w:style>
  <w:style w:type="numbering" w:customStyle="1" w:styleId="Bezseznamu1">
    <w:name w:val="Bez seznamu1"/>
    <w:next w:val="Bezseznamu"/>
    <w:uiPriority w:val="99"/>
    <w:semiHidden/>
    <w:unhideWhenUsed/>
    <w:rsid w:val="00621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9995">
      <w:bodyDiv w:val="1"/>
      <w:marLeft w:val="0"/>
      <w:marRight w:val="0"/>
      <w:marTop w:val="0"/>
      <w:marBottom w:val="0"/>
      <w:divBdr>
        <w:top w:val="none" w:sz="0" w:space="0" w:color="auto"/>
        <w:left w:val="none" w:sz="0" w:space="0" w:color="auto"/>
        <w:bottom w:val="none" w:sz="0" w:space="0" w:color="auto"/>
        <w:right w:val="none" w:sz="0" w:space="0" w:color="auto"/>
      </w:divBdr>
    </w:div>
    <w:div w:id="63989529">
      <w:bodyDiv w:val="1"/>
      <w:marLeft w:val="0"/>
      <w:marRight w:val="0"/>
      <w:marTop w:val="0"/>
      <w:marBottom w:val="0"/>
      <w:divBdr>
        <w:top w:val="none" w:sz="0" w:space="0" w:color="auto"/>
        <w:left w:val="none" w:sz="0" w:space="0" w:color="auto"/>
        <w:bottom w:val="none" w:sz="0" w:space="0" w:color="auto"/>
        <w:right w:val="none" w:sz="0" w:space="0" w:color="auto"/>
      </w:divBdr>
    </w:div>
    <w:div w:id="535502593">
      <w:bodyDiv w:val="1"/>
      <w:marLeft w:val="0"/>
      <w:marRight w:val="0"/>
      <w:marTop w:val="0"/>
      <w:marBottom w:val="0"/>
      <w:divBdr>
        <w:top w:val="none" w:sz="0" w:space="0" w:color="auto"/>
        <w:left w:val="none" w:sz="0" w:space="0" w:color="auto"/>
        <w:bottom w:val="none" w:sz="0" w:space="0" w:color="auto"/>
        <w:right w:val="none" w:sz="0" w:space="0" w:color="auto"/>
      </w:divBdr>
    </w:div>
    <w:div w:id="536090211">
      <w:bodyDiv w:val="1"/>
      <w:marLeft w:val="0"/>
      <w:marRight w:val="0"/>
      <w:marTop w:val="0"/>
      <w:marBottom w:val="0"/>
      <w:divBdr>
        <w:top w:val="none" w:sz="0" w:space="0" w:color="auto"/>
        <w:left w:val="none" w:sz="0" w:space="0" w:color="auto"/>
        <w:bottom w:val="none" w:sz="0" w:space="0" w:color="auto"/>
        <w:right w:val="none" w:sz="0" w:space="0" w:color="auto"/>
      </w:divBdr>
    </w:div>
    <w:div w:id="558367860">
      <w:bodyDiv w:val="1"/>
      <w:marLeft w:val="0"/>
      <w:marRight w:val="0"/>
      <w:marTop w:val="0"/>
      <w:marBottom w:val="0"/>
      <w:divBdr>
        <w:top w:val="none" w:sz="0" w:space="0" w:color="auto"/>
        <w:left w:val="none" w:sz="0" w:space="0" w:color="auto"/>
        <w:bottom w:val="none" w:sz="0" w:space="0" w:color="auto"/>
        <w:right w:val="none" w:sz="0" w:space="0" w:color="auto"/>
      </w:divBdr>
    </w:div>
    <w:div w:id="1225680360">
      <w:bodyDiv w:val="1"/>
      <w:marLeft w:val="0"/>
      <w:marRight w:val="0"/>
      <w:marTop w:val="0"/>
      <w:marBottom w:val="0"/>
      <w:divBdr>
        <w:top w:val="none" w:sz="0" w:space="0" w:color="auto"/>
        <w:left w:val="none" w:sz="0" w:space="0" w:color="auto"/>
        <w:bottom w:val="none" w:sz="0" w:space="0" w:color="auto"/>
        <w:right w:val="none" w:sz="0" w:space="0" w:color="auto"/>
      </w:divBdr>
    </w:div>
    <w:div w:id="164554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tmp"/><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EFE0A-99D9-4968-9D15-43FFDFA2D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47</Pages>
  <Words>10320</Words>
  <Characters>60893</Characters>
  <Application>Microsoft Office Word</Application>
  <DocSecurity>0</DocSecurity>
  <Lines>507</Lines>
  <Paragraphs>142</Paragraphs>
  <ScaleCrop>false</ScaleCrop>
  <HeadingPairs>
    <vt:vector size="2" baseType="variant">
      <vt:variant>
        <vt:lpstr>Název</vt:lpstr>
      </vt:variant>
      <vt:variant>
        <vt:i4>1</vt:i4>
      </vt:variant>
    </vt:vector>
  </HeadingPairs>
  <TitlesOfParts>
    <vt:vector size="1" baseType="lpstr">
      <vt:lpstr>II</vt:lpstr>
    </vt:vector>
  </TitlesOfParts>
  <Company>MPSV CR</Company>
  <LinksUpToDate>false</LinksUpToDate>
  <CharactersWithSpaces>71071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creator>MPSV</dc:creator>
  <cp:lastModifiedBy>Blahová Alice Bc. (MPSV)</cp:lastModifiedBy>
  <cp:revision>9</cp:revision>
  <cp:lastPrinted>2019-10-23T07:08:00Z</cp:lastPrinted>
  <dcterms:created xsi:type="dcterms:W3CDTF">2021-04-21T11:24:00Z</dcterms:created>
  <dcterms:modified xsi:type="dcterms:W3CDTF">2021-04-22T19:05:00Z</dcterms:modified>
</cp:coreProperties>
</file>