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A43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1E7097EF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4BE04502" w14:textId="696DB5D1" w:rsidR="00933BE3" w:rsidRPr="004066F9" w:rsidRDefault="00BA6304" w:rsidP="004066F9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4066F9">
        <w:rPr>
          <w:b/>
          <w:bCs/>
        </w:rPr>
        <w:t xml:space="preserve">Informace k vyúčtování transferu na činnosti vykonávané v agendě SPOD </w:t>
      </w:r>
      <w:r w:rsidR="004066F9">
        <w:rPr>
          <w:b/>
          <w:bCs/>
        </w:rPr>
        <w:t xml:space="preserve">(ÚZ 13024) </w:t>
      </w:r>
      <w:r w:rsidRPr="004066F9">
        <w:rPr>
          <w:b/>
          <w:bCs/>
        </w:rPr>
        <w:t>od</w:t>
      </w:r>
      <w:r w:rsidR="004066F9">
        <w:rPr>
          <w:b/>
          <w:bCs/>
        </w:rPr>
        <w:t> </w:t>
      </w:r>
      <w:r w:rsidRPr="004066F9">
        <w:rPr>
          <w:b/>
          <w:bCs/>
        </w:rPr>
        <w:t>roku 2022</w:t>
      </w:r>
    </w:p>
    <w:p w14:paraId="75C434B7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03274C44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15A582E1" w14:textId="5D7DA17F" w:rsidR="00933BE3" w:rsidRDefault="00933BE3">
      <w:pPr>
        <w:pStyle w:val="Zhlav"/>
        <w:tabs>
          <w:tab w:val="clear" w:pos="4536"/>
          <w:tab w:val="clear" w:pos="9072"/>
        </w:tabs>
      </w:pPr>
    </w:p>
    <w:p w14:paraId="37A95D2E" w14:textId="77777777" w:rsidR="004066F9" w:rsidRDefault="004066F9">
      <w:pPr>
        <w:pStyle w:val="Zhlav"/>
        <w:tabs>
          <w:tab w:val="clear" w:pos="4536"/>
          <w:tab w:val="clear" w:pos="9072"/>
        </w:tabs>
      </w:pPr>
    </w:p>
    <w:p w14:paraId="0EA12210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56A46C18" w14:textId="77777777" w:rsidR="00933BE3" w:rsidRDefault="00933BE3">
      <w:pPr>
        <w:pStyle w:val="Zhlav"/>
        <w:tabs>
          <w:tab w:val="clear" w:pos="4536"/>
          <w:tab w:val="clear" w:pos="9072"/>
        </w:tabs>
      </w:pPr>
    </w:p>
    <w:p w14:paraId="7CD3BBF7" w14:textId="77777777" w:rsidR="00933BE3" w:rsidRDefault="00933BE3">
      <w:pPr>
        <w:pStyle w:val="Zhlav"/>
        <w:tabs>
          <w:tab w:val="clear" w:pos="4536"/>
          <w:tab w:val="clear" w:pos="9072"/>
        </w:tabs>
        <w:sectPr w:rsidR="00933BE3">
          <w:headerReference w:type="default" r:id="rId7"/>
          <w:footerReference w:type="default" r:id="rId8"/>
          <w:type w:val="continuous"/>
          <w:pgSz w:w="11906" w:h="16838" w:code="9"/>
          <w:pgMar w:top="426" w:right="851" w:bottom="1418" w:left="2041" w:header="709" w:footer="461" w:gutter="0"/>
          <w:cols w:space="708"/>
        </w:sectPr>
      </w:pPr>
    </w:p>
    <w:p w14:paraId="7884ABD8" w14:textId="4B64A8CB" w:rsidR="00DF62B2" w:rsidRPr="00FD7B72" w:rsidRDefault="00BA6304" w:rsidP="00FD7B72">
      <w:pPr>
        <w:pStyle w:val="Zkladntext2"/>
        <w:spacing w:line="288" w:lineRule="auto"/>
        <w:jc w:val="both"/>
        <w:rPr>
          <w:szCs w:val="24"/>
        </w:rPr>
      </w:pPr>
      <w:r>
        <w:rPr>
          <w:szCs w:val="24"/>
        </w:rPr>
        <w:t xml:space="preserve">Materiál je určen </w:t>
      </w:r>
      <w:r w:rsidRPr="00BA6304">
        <w:rPr>
          <w:b/>
          <w:bCs/>
          <w:szCs w:val="24"/>
        </w:rPr>
        <w:t>obcím s rozšířenou působností a hl. m. Praze</w:t>
      </w:r>
      <w:r>
        <w:rPr>
          <w:szCs w:val="24"/>
        </w:rPr>
        <w:t xml:space="preserve"> k</w:t>
      </w:r>
      <w:r w:rsidR="00DF62B2" w:rsidRPr="00FD7B72">
        <w:rPr>
          <w:szCs w:val="24"/>
        </w:rPr>
        <w:t xml:space="preserve"> upřesnění postupu při </w:t>
      </w:r>
      <w:r w:rsidR="00992877" w:rsidRPr="00FD7B72">
        <w:rPr>
          <w:szCs w:val="24"/>
        </w:rPr>
        <w:t xml:space="preserve">vyúčtování </w:t>
      </w:r>
      <w:r w:rsidR="001736B7" w:rsidRPr="00FD7B72">
        <w:rPr>
          <w:szCs w:val="24"/>
        </w:rPr>
        <w:t>transferu</w:t>
      </w:r>
      <w:r w:rsidR="00DF62B2" w:rsidRPr="00FD7B72">
        <w:rPr>
          <w:szCs w:val="24"/>
        </w:rPr>
        <w:t xml:space="preserve"> na činnosti vykonávané v agendě sociálně</w:t>
      </w:r>
      <w:r w:rsidR="00F72701" w:rsidRPr="00FD7B72">
        <w:rPr>
          <w:szCs w:val="24"/>
        </w:rPr>
        <w:t xml:space="preserve">-právní ochrany dětí </w:t>
      </w:r>
      <w:r w:rsidR="001736B7" w:rsidRPr="00FD7B72">
        <w:rPr>
          <w:szCs w:val="24"/>
        </w:rPr>
        <w:t>od</w:t>
      </w:r>
      <w:r w:rsidR="00F72701" w:rsidRPr="00FD7B72">
        <w:rPr>
          <w:szCs w:val="24"/>
        </w:rPr>
        <w:t xml:space="preserve"> rok</w:t>
      </w:r>
      <w:r w:rsidR="001736B7" w:rsidRPr="00FD7B72">
        <w:rPr>
          <w:szCs w:val="24"/>
        </w:rPr>
        <w:t>u</w:t>
      </w:r>
      <w:r w:rsidR="00F72701" w:rsidRPr="00FD7B72">
        <w:rPr>
          <w:szCs w:val="24"/>
        </w:rPr>
        <w:t xml:space="preserve"> 20</w:t>
      </w:r>
      <w:r w:rsidR="00B45B65" w:rsidRPr="00FD7B72">
        <w:rPr>
          <w:szCs w:val="24"/>
        </w:rPr>
        <w:t>2</w:t>
      </w:r>
      <w:r w:rsidR="001736B7" w:rsidRPr="00FD7B72">
        <w:rPr>
          <w:szCs w:val="24"/>
        </w:rPr>
        <w:t>2</w:t>
      </w:r>
      <w:r w:rsidR="00DF62B2" w:rsidRPr="00FD7B72">
        <w:rPr>
          <w:szCs w:val="24"/>
        </w:rPr>
        <w:t xml:space="preserve"> (dále jen „</w:t>
      </w:r>
      <w:r w:rsidR="001736B7" w:rsidRPr="00FD7B72">
        <w:rPr>
          <w:szCs w:val="24"/>
        </w:rPr>
        <w:t>transfer</w:t>
      </w:r>
      <w:r w:rsidR="00DF62B2" w:rsidRPr="00FD7B72">
        <w:rPr>
          <w:szCs w:val="24"/>
        </w:rPr>
        <w:t>“) poskytovan</w:t>
      </w:r>
      <w:r>
        <w:rPr>
          <w:szCs w:val="24"/>
        </w:rPr>
        <w:t>ého</w:t>
      </w:r>
      <w:r w:rsidR="00DF62B2" w:rsidRPr="00FD7B72">
        <w:rPr>
          <w:szCs w:val="24"/>
        </w:rPr>
        <w:t xml:space="preserve"> pod účelovým znakem ÚZ 130</w:t>
      </w:r>
      <w:r w:rsidR="001736B7" w:rsidRPr="00FD7B72">
        <w:rPr>
          <w:szCs w:val="24"/>
        </w:rPr>
        <w:t>24</w:t>
      </w:r>
      <w:r>
        <w:rPr>
          <w:szCs w:val="24"/>
        </w:rPr>
        <w:t xml:space="preserve">. </w:t>
      </w:r>
    </w:p>
    <w:p w14:paraId="14C1773B" w14:textId="77777777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</w:p>
    <w:p w14:paraId="3B17BC12" w14:textId="2721C6BD" w:rsidR="002C7584" w:rsidRPr="00FD7B72" w:rsidRDefault="001736B7" w:rsidP="00FD7B72">
      <w:pPr>
        <w:pStyle w:val="Zkladntext2"/>
        <w:spacing w:line="288" w:lineRule="auto"/>
        <w:jc w:val="both"/>
        <w:rPr>
          <w:szCs w:val="24"/>
        </w:rPr>
      </w:pPr>
      <w:r w:rsidRPr="00FD7B72">
        <w:rPr>
          <w:szCs w:val="24"/>
        </w:rPr>
        <w:t>Transfer</w:t>
      </w:r>
      <w:r w:rsidR="00DF62B2" w:rsidRPr="00FD7B72">
        <w:rPr>
          <w:szCs w:val="24"/>
        </w:rPr>
        <w:t xml:space="preserve"> na </w:t>
      </w:r>
      <w:r w:rsidRPr="00FD7B72">
        <w:rPr>
          <w:szCs w:val="24"/>
        </w:rPr>
        <w:t>výkon SPOD</w:t>
      </w:r>
      <w:r w:rsidR="00DF62B2" w:rsidRPr="00FD7B72">
        <w:rPr>
          <w:szCs w:val="24"/>
        </w:rPr>
        <w:t xml:space="preserve"> </w:t>
      </w:r>
      <w:r w:rsidR="00DF62B2" w:rsidRPr="00FD7B72">
        <w:rPr>
          <w:b/>
          <w:bCs/>
          <w:szCs w:val="24"/>
        </w:rPr>
        <w:t>j</w:t>
      </w:r>
      <w:r w:rsidRPr="00FD7B72">
        <w:rPr>
          <w:b/>
          <w:bCs/>
          <w:szCs w:val="24"/>
        </w:rPr>
        <w:t>iž není</w:t>
      </w:r>
      <w:r w:rsidR="00DF62B2" w:rsidRPr="00FD7B72">
        <w:rPr>
          <w:b/>
          <w:bCs/>
          <w:szCs w:val="24"/>
        </w:rPr>
        <w:t xml:space="preserve"> předmětem finančního vypořádání</w:t>
      </w:r>
      <w:r w:rsidR="00DF62B2" w:rsidRPr="00FD7B72">
        <w:rPr>
          <w:szCs w:val="24"/>
        </w:rPr>
        <w:t xml:space="preserve"> </w:t>
      </w:r>
      <w:r w:rsidR="00AC68C7" w:rsidRPr="00FD7B72">
        <w:rPr>
          <w:szCs w:val="24"/>
        </w:rPr>
        <w:br/>
      </w:r>
      <w:r w:rsidR="00F72701" w:rsidRPr="00FD7B72">
        <w:rPr>
          <w:szCs w:val="24"/>
        </w:rPr>
        <w:t>se státním rozpočtem</w:t>
      </w:r>
      <w:r w:rsidR="00DF62B2" w:rsidRPr="00FD7B72">
        <w:rPr>
          <w:szCs w:val="24"/>
        </w:rPr>
        <w:t xml:space="preserve">. </w:t>
      </w:r>
      <w:r w:rsidR="00204672" w:rsidRPr="00FD7B72">
        <w:rPr>
          <w:szCs w:val="24"/>
        </w:rPr>
        <w:t xml:space="preserve">V souladu s podmínkami Metodiky MPSV pro poskytování transferu, schválené jako příkaz ministryně č. 5/2022, ve znění pozdějších dodatků (dále jen „Metodika MPSV“), </w:t>
      </w:r>
      <w:r w:rsidR="00204672" w:rsidRPr="00FD7B72">
        <w:rPr>
          <w:b/>
          <w:bCs/>
          <w:szCs w:val="24"/>
        </w:rPr>
        <w:t>obce zasílají</w:t>
      </w:r>
      <w:r w:rsidRPr="00FD7B72">
        <w:rPr>
          <w:b/>
          <w:bCs/>
          <w:szCs w:val="24"/>
        </w:rPr>
        <w:t xml:space="preserve"> </w:t>
      </w:r>
      <w:r w:rsidR="00204672" w:rsidRPr="00FD7B72">
        <w:rPr>
          <w:b/>
          <w:bCs/>
          <w:szCs w:val="24"/>
        </w:rPr>
        <w:t xml:space="preserve">pouze </w:t>
      </w:r>
      <w:r w:rsidRPr="00FD7B72">
        <w:rPr>
          <w:b/>
          <w:bCs/>
          <w:szCs w:val="24"/>
        </w:rPr>
        <w:t xml:space="preserve">vyúčtování </w:t>
      </w:r>
      <w:r w:rsidR="00E10B00" w:rsidRPr="00FD7B72">
        <w:rPr>
          <w:b/>
          <w:bCs/>
          <w:szCs w:val="24"/>
        </w:rPr>
        <w:t>transferu</w:t>
      </w:r>
      <w:r w:rsidRPr="00FD7B72">
        <w:rPr>
          <w:szCs w:val="24"/>
        </w:rPr>
        <w:t>, a to přímo na Ministerstvo práce a sociálních věcí (dále též „MPSV“)</w:t>
      </w:r>
      <w:r w:rsidR="00E139B3" w:rsidRPr="00FD7B72">
        <w:rPr>
          <w:szCs w:val="24"/>
        </w:rPr>
        <w:t xml:space="preserve">. Do předmětu zprávy prosím uvádějte </w:t>
      </w:r>
      <w:r w:rsidR="00204672" w:rsidRPr="00FD7B72">
        <w:rPr>
          <w:szCs w:val="24"/>
        </w:rPr>
        <w:t>„</w:t>
      </w:r>
      <w:r w:rsidR="00E139B3" w:rsidRPr="00FD7B72">
        <w:rPr>
          <w:szCs w:val="24"/>
        </w:rPr>
        <w:t xml:space="preserve">vyúčtování transferu SPOD za rok </w:t>
      </w:r>
      <w:proofErr w:type="spellStart"/>
      <w:r w:rsidR="00E139B3" w:rsidRPr="00FD7B72">
        <w:rPr>
          <w:szCs w:val="24"/>
        </w:rPr>
        <w:t>xxxx</w:t>
      </w:r>
      <w:proofErr w:type="spellEnd"/>
      <w:r w:rsidR="00204672" w:rsidRPr="00FD7B72">
        <w:rPr>
          <w:szCs w:val="24"/>
        </w:rPr>
        <w:t>“</w:t>
      </w:r>
      <w:r w:rsidR="00E139B3" w:rsidRPr="00FD7B72">
        <w:rPr>
          <w:szCs w:val="24"/>
        </w:rPr>
        <w:t xml:space="preserve">. </w:t>
      </w:r>
    </w:p>
    <w:p w14:paraId="6CA1C24C" w14:textId="77777777" w:rsidR="002C7584" w:rsidRPr="00FD7B72" w:rsidRDefault="002C7584" w:rsidP="00FD7B72">
      <w:pPr>
        <w:pStyle w:val="Zkladntext2"/>
        <w:spacing w:line="288" w:lineRule="auto"/>
        <w:jc w:val="both"/>
        <w:rPr>
          <w:szCs w:val="24"/>
        </w:rPr>
      </w:pPr>
    </w:p>
    <w:p w14:paraId="424527DF" w14:textId="1060C9AF" w:rsidR="002C7584" w:rsidRPr="00FD7B72" w:rsidRDefault="002C7584" w:rsidP="00FD7B72">
      <w:pPr>
        <w:pStyle w:val="Zkladntext2"/>
        <w:spacing w:line="288" w:lineRule="auto"/>
        <w:jc w:val="both"/>
        <w:rPr>
          <w:szCs w:val="24"/>
        </w:rPr>
      </w:pPr>
      <w:r w:rsidRPr="00FD7B72">
        <w:rPr>
          <w:szCs w:val="24"/>
        </w:rPr>
        <w:t>Na základě vyúčtování transferu může MPSV v souladu s Metodikou MPSV či</w:t>
      </w:r>
      <w:r w:rsidR="00204672" w:rsidRPr="00FD7B72">
        <w:rPr>
          <w:szCs w:val="24"/>
        </w:rPr>
        <w:t> </w:t>
      </w:r>
      <w:r w:rsidRPr="00FD7B72">
        <w:rPr>
          <w:szCs w:val="24"/>
        </w:rPr>
        <w:t xml:space="preserve">z důvodu porušení rozpočtové kázně vyzvat obce k vrácení části </w:t>
      </w:r>
      <w:r w:rsidR="00204672" w:rsidRPr="00FD7B72">
        <w:rPr>
          <w:szCs w:val="24"/>
        </w:rPr>
        <w:t xml:space="preserve">nevyčerpaných prostředků </w:t>
      </w:r>
      <w:r w:rsidRPr="00FD7B72">
        <w:rPr>
          <w:szCs w:val="24"/>
        </w:rPr>
        <w:t>transferu</w:t>
      </w:r>
      <w:r w:rsidR="00204672" w:rsidRPr="00FD7B72">
        <w:rPr>
          <w:szCs w:val="24"/>
        </w:rPr>
        <w:t>, nebo prostředků čerpaných v rozporu s podmínkami transferu</w:t>
      </w:r>
      <w:r w:rsidRPr="00FD7B72">
        <w:rPr>
          <w:szCs w:val="24"/>
        </w:rPr>
        <w:t>.</w:t>
      </w:r>
    </w:p>
    <w:p w14:paraId="72177AB6" w14:textId="77777777" w:rsidR="002C7584" w:rsidRPr="00FD7B72" w:rsidRDefault="002C7584" w:rsidP="00FD7B72">
      <w:pPr>
        <w:pStyle w:val="Zkladntext2"/>
        <w:spacing w:line="288" w:lineRule="auto"/>
        <w:jc w:val="both"/>
        <w:rPr>
          <w:szCs w:val="24"/>
        </w:rPr>
      </w:pPr>
    </w:p>
    <w:p w14:paraId="09CB9D1E" w14:textId="1BF377CD" w:rsidR="002C7584" w:rsidRPr="00FD7B72" w:rsidRDefault="002C7584" w:rsidP="00FD7B72">
      <w:pPr>
        <w:pStyle w:val="Zkladntext2"/>
        <w:spacing w:line="288" w:lineRule="auto"/>
        <w:jc w:val="both"/>
        <w:rPr>
          <w:szCs w:val="24"/>
        </w:rPr>
      </w:pPr>
      <w:r w:rsidRPr="00FD7B72">
        <w:rPr>
          <w:szCs w:val="24"/>
        </w:rPr>
        <w:t>Případnou vratku obec přev</w:t>
      </w:r>
      <w:r w:rsidR="00204672" w:rsidRPr="00FD7B72">
        <w:rPr>
          <w:szCs w:val="24"/>
        </w:rPr>
        <w:t>ádí</w:t>
      </w:r>
      <w:r w:rsidRPr="00FD7B72">
        <w:rPr>
          <w:szCs w:val="24"/>
        </w:rPr>
        <w:t xml:space="preserve"> přímo na bankovní účet MPSV.</w:t>
      </w:r>
    </w:p>
    <w:p w14:paraId="7AD41124" w14:textId="77777777" w:rsidR="004258DD" w:rsidRPr="00FD7B72" w:rsidRDefault="004258DD" w:rsidP="00FD7B72">
      <w:pPr>
        <w:pStyle w:val="Zkladntext2"/>
        <w:spacing w:line="288" w:lineRule="auto"/>
        <w:jc w:val="both"/>
        <w:rPr>
          <w:szCs w:val="24"/>
        </w:rPr>
      </w:pPr>
    </w:p>
    <w:p w14:paraId="39D4152C" w14:textId="77777777" w:rsidR="004258DD" w:rsidRPr="00FD7B72" w:rsidRDefault="004258DD" w:rsidP="00FD7B72">
      <w:pPr>
        <w:pStyle w:val="Zkladntext2"/>
        <w:spacing w:line="288" w:lineRule="auto"/>
        <w:jc w:val="both"/>
        <w:rPr>
          <w:b/>
          <w:szCs w:val="24"/>
          <w:u w:val="single"/>
        </w:rPr>
      </w:pPr>
      <w:r w:rsidRPr="00FD7B72">
        <w:rPr>
          <w:b/>
          <w:szCs w:val="24"/>
          <w:u w:val="single"/>
        </w:rPr>
        <w:t>1) Postup předkládání vyúčtování transferu od roku 2022</w:t>
      </w:r>
    </w:p>
    <w:p w14:paraId="2B8F2989" w14:textId="2E392D49" w:rsidR="00BD669E" w:rsidRPr="00FD7B72" w:rsidRDefault="00BD669E" w:rsidP="00FD7B72">
      <w:pPr>
        <w:pStyle w:val="Zkladntext2"/>
        <w:spacing w:line="288" w:lineRule="auto"/>
        <w:jc w:val="both"/>
        <w:rPr>
          <w:szCs w:val="24"/>
        </w:rPr>
      </w:pPr>
    </w:p>
    <w:p w14:paraId="08C84106" w14:textId="4A822D7A" w:rsidR="004258DD" w:rsidRDefault="004258DD" w:rsidP="00FD7B72">
      <w:pPr>
        <w:pStyle w:val="Zkladntext2"/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Seznam předkládaných přehledů přímo MPSV:</w:t>
      </w:r>
    </w:p>
    <w:p w14:paraId="7F1784F9" w14:textId="77777777" w:rsidR="004066F9" w:rsidRPr="00FD7B72" w:rsidRDefault="004066F9" w:rsidP="00FD7B72">
      <w:pPr>
        <w:pStyle w:val="Zkladntext2"/>
        <w:suppressAutoHyphens/>
        <w:spacing w:line="288" w:lineRule="auto"/>
        <w:jc w:val="both"/>
        <w:rPr>
          <w:szCs w:val="24"/>
        </w:rPr>
      </w:pPr>
    </w:p>
    <w:p w14:paraId="05732F2B" w14:textId="6BFB7EC5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bookmarkStart w:id="0" w:name="_Hlk122440470"/>
      <w:r w:rsidRPr="00FD7B72">
        <w:rPr>
          <w:szCs w:val="24"/>
        </w:rPr>
        <w:t>Příloha vyúčtování č. 1a. Vyúčtování výdajů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výkon SPOD dle</w:t>
      </w:r>
      <w:r w:rsidR="00FD7B72" w:rsidRPr="00FD7B72">
        <w:rPr>
          <w:szCs w:val="24"/>
        </w:rPr>
        <w:t> </w:t>
      </w:r>
      <w:r w:rsidRPr="00FD7B72">
        <w:rPr>
          <w:szCs w:val="24"/>
        </w:rPr>
        <w:t xml:space="preserve">rozpočtových položek </w:t>
      </w:r>
    </w:p>
    <w:p w14:paraId="2EE529A3" w14:textId="77777777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1b. Přehled realizovaných výdajů podle druhu služby </w:t>
      </w:r>
    </w:p>
    <w:p w14:paraId="287B21B7" w14:textId="77777777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Příloha vyúčtování č. 1c. Přehled školení a kurzů, kterých se zúčastnili pracovníci OSPOD, hrazených z transferu</w:t>
      </w:r>
    </w:p>
    <w:p w14:paraId="16C9389C" w14:textId="5826B01E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i/>
          <w:iCs/>
          <w:szCs w:val="24"/>
        </w:rPr>
      </w:pPr>
      <w:r w:rsidRPr="00FD7B72">
        <w:rPr>
          <w:szCs w:val="24"/>
        </w:rPr>
        <w:t xml:space="preserve">Příloha vyúčtování č. 1d. Přehled realizovaných výdajů hrazených </w:t>
      </w:r>
      <w:r w:rsidRPr="00FD7B72">
        <w:rPr>
          <w:szCs w:val="24"/>
        </w:rPr>
        <w:br/>
        <w:t>z disponibilních prostředků z předchozích let (</w:t>
      </w:r>
      <w:r w:rsidRPr="00FD7B72">
        <w:rPr>
          <w:i/>
          <w:iCs/>
          <w:szCs w:val="24"/>
        </w:rPr>
        <w:t>za rok 2022 není potřeba vyplňovat</w:t>
      </w:r>
      <w:r w:rsidRPr="00FD7B72">
        <w:rPr>
          <w:szCs w:val="24"/>
        </w:rPr>
        <w:t>)</w:t>
      </w:r>
    </w:p>
    <w:p w14:paraId="408D64F4" w14:textId="31F05848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Příloha vyúčtování č. 2a. Skutečná výše úvazků hrazených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</w:t>
      </w:r>
      <w:r w:rsidR="00204672" w:rsidRPr="00FD7B72">
        <w:rPr>
          <w:szCs w:val="24"/>
        </w:rPr>
        <w:t> </w:t>
      </w:r>
      <w:r w:rsidRPr="00FD7B72">
        <w:rPr>
          <w:szCs w:val="24"/>
        </w:rPr>
        <w:t xml:space="preserve">výkon SPOD a státního příspěvku na výkon pěstounské péče </w:t>
      </w:r>
    </w:p>
    <w:p w14:paraId="0B66CBE5" w14:textId="3AECBFAD" w:rsidR="004258DD" w:rsidRPr="00FD7B72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2b. Přehled pracovních pozic, platového zařazení </w:t>
      </w:r>
      <w:r w:rsidRPr="00FD7B72">
        <w:rPr>
          <w:szCs w:val="24"/>
        </w:rPr>
        <w:br/>
        <w:t>a platů pracovníků orgánu SPOD hrazených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výkon SPOD </w:t>
      </w:r>
    </w:p>
    <w:p w14:paraId="69683948" w14:textId="6EB62A32" w:rsidR="00DF62B2" w:rsidRPr="004066F9" w:rsidRDefault="004258DD" w:rsidP="00FD7B72">
      <w:pPr>
        <w:pStyle w:val="Zkladntext2"/>
        <w:numPr>
          <w:ilvl w:val="0"/>
          <w:numId w:val="2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lastRenderedPageBreak/>
        <w:t>Příloha vyúčtování č. 2c. Přehled DPP a DPČ hrazených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výkon SPOD </w:t>
      </w:r>
      <w:bookmarkEnd w:id="0"/>
    </w:p>
    <w:p w14:paraId="13D0B4D2" w14:textId="77687198" w:rsidR="004066F9" w:rsidRDefault="004066F9" w:rsidP="00FD7B72">
      <w:pPr>
        <w:pStyle w:val="Zkladntext2"/>
        <w:spacing w:line="288" w:lineRule="auto"/>
        <w:jc w:val="both"/>
        <w:rPr>
          <w:szCs w:val="24"/>
        </w:rPr>
      </w:pPr>
    </w:p>
    <w:p w14:paraId="7CDAC3C9" w14:textId="77777777" w:rsidR="004066F9" w:rsidRPr="00FD7B72" w:rsidRDefault="004066F9" w:rsidP="00FD7B72">
      <w:pPr>
        <w:pStyle w:val="Zkladntext2"/>
        <w:spacing w:line="288" w:lineRule="auto"/>
        <w:jc w:val="both"/>
        <w:rPr>
          <w:szCs w:val="24"/>
        </w:rPr>
      </w:pPr>
    </w:p>
    <w:p w14:paraId="5E6A67E8" w14:textId="77777777" w:rsidR="00DF62B2" w:rsidRPr="00FD7B72" w:rsidRDefault="00DF62B2" w:rsidP="00FD7B72">
      <w:pPr>
        <w:pStyle w:val="Zkladntext2"/>
        <w:spacing w:line="288" w:lineRule="auto"/>
        <w:jc w:val="both"/>
        <w:rPr>
          <w:b/>
          <w:szCs w:val="24"/>
        </w:rPr>
      </w:pPr>
      <w:r w:rsidRPr="00FD7B72">
        <w:rPr>
          <w:b/>
          <w:szCs w:val="24"/>
        </w:rPr>
        <w:t xml:space="preserve">a) Obec s rozšířenou působností </w:t>
      </w:r>
    </w:p>
    <w:p w14:paraId="63AE6245" w14:textId="77777777" w:rsidR="00422265" w:rsidRPr="00FD7B72" w:rsidRDefault="00422265" w:rsidP="00FD7B72">
      <w:pPr>
        <w:pStyle w:val="Zkladntext2"/>
        <w:spacing w:line="288" w:lineRule="auto"/>
        <w:jc w:val="both"/>
        <w:rPr>
          <w:szCs w:val="24"/>
        </w:rPr>
      </w:pPr>
    </w:p>
    <w:p w14:paraId="224788EF" w14:textId="1491186E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V termínu </w:t>
      </w:r>
      <w:r w:rsidR="001736B7" w:rsidRPr="00FD7B72">
        <w:rPr>
          <w:szCs w:val="24"/>
        </w:rPr>
        <w:t xml:space="preserve">do </w:t>
      </w:r>
      <w:r w:rsidR="00162BB3" w:rsidRPr="00FD7B72">
        <w:rPr>
          <w:szCs w:val="24"/>
        </w:rPr>
        <w:t>20</w:t>
      </w:r>
      <w:r w:rsidR="001736B7" w:rsidRPr="00FD7B72">
        <w:rPr>
          <w:szCs w:val="24"/>
        </w:rPr>
        <w:t>. února</w:t>
      </w:r>
      <w:r w:rsidRPr="00FD7B72">
        <w:rPr>
          <w:szCs w:val="24"/>
        </w:rPr>
        <w:t xml:space="preserve"> předkládají obce </w:t>
      </w:r>
      <w:r w:rsidR="00422265" w:rsidRPr="00FD7B72">
        <w:rPr>
          <w:szCs w:val="24"/>
        </w:rPr>
        <w:t>na</w:t>
      </w:r>
      <w:r w:rsidR="004258DD" w:rsidRPr="00FD7B72">
        <w:rPr>
          <w:szCs w:val="24"/>
        </w:rPr>
        <w:t xml:space="preserve"> výše uvedených</w:t>
      </w:r>
      <w:r w:rsidRPr="00FD7B72">
        <w:rPr>
          <w:szCs w:val="24"/>
        </w:rPr>
        <w:t xml:space="preserve"> formulářích MPSV vyúčtování </w:t>
      </w:r>
      <w:r w:rsidR="00E139B3" w:rsidRPr="00FD7B72">
        <w:rPr>
          <w:szCs w:val="24"/>
        </w:rPr>
        <w:t>transferu</w:t>
      </w:r>
      <w:r w:rsidRPr="00FD7B72">
        <w:rPr>
          <w:szCs w:val="24"/>
        </w:rPr>
        <w:t xml:space="preserve">, které zahrnuje podrobné údaje o čerpání poskytnutých prostředků a jejich skutečném využití. Vyúčtování </w:t>
      </w:r>
      <w:r w:rsidR="00E139B3" w:rsidRPr="00FD7B72">
        <w:rPr>
          <w:szCs w:val="24"/>
        </w:rPr>
        <w:t>transferu</w:t>
      </w:r>
      <w:r w:rsidRPr="00FD7B72">
        <w:rPr>
          <w:szCs w:val="24"/>
        </w:rPr>
        <w:t xml:space="preserve"> bude prováděno za celý rozpočtový rok.</w:t>
      </w:r>
      <w:r w:rsidR="00422265" w:rsidRPr="00FD7B72">
        <w:rPr>
          <w:szCs w:val="24"/>
        </w:rPr>
        <w:t xml:space="preserve"> </w:t>
      </w:r>
      <w:r w:rsidR="00422265" w:rsidRPr="00FD7B72">
        <w:rPr>
          <w:b/>
          <w:bCs/>
          <w:szCs w:val="24"/>
        </w:rPr>
        <w:t>Toto vyúčtování zasílají obce s rozšířenou působností formou datové zprávy přímo MPSV</w:t>
      </w:r>
      <w:r w:rsidR="00422265" w:rsidRPr="00FD7B72">
        <w:rPr>
          <w:szCs w:val="24"/>
        </w:rPr>
        <w:t xml:space="preserve">. Již tedy nedochází k zaslání vyúčtování prostřednictvím kraje. Je zde tedy rozdílný postup mezi </w:t>
      </w:r>
      <w:r w:rsidR="001736B7" w:rsidRPr="00FD7B72">
        <w:rPr>
          <w:szCs w:val="24"/>
        </w:rPr>
        <w:t xml:space="preserve">dřívější </w:t>
      </w:r>
      <w:r w:rsidR="00EC37CB" w:rsidRPr="00FD7B72">
        <w:rPr>
          <w:szCs w:val="24"/>
        </w:rPr>
        <w:t>dotac</w:t>
      </w:r>
      <w:r w:rsidR="001736B7" w:rsidRPr="00FD7B72">
        <w:rPr>
          <w:szCs w:val="24"/>
        </w:rPr>
        <w:t>í a transferem</w:t>
      </w:r>
      <w:r w:rsidR="00EC37CB" w:rsidRPr="00FD7B72">
        <w:rPr>
          <w:szCs w:val="24"/>
        </w:rPr>
        <w:t>.</w:t>
      </w:r>
    </w:p>
    <w:p w14:paraId="761107CE" w14:textId="77777777" w:rsidR="00F72701" w:rsidRPr="00FD7B72" w:rsidRDefault="00F72701" w:rsidP="00FD7B72">
      <w:pPr>
        <w:pStyle w:val="Zkladntext2"/>
        <w:spacing w:line="288" w:lineRule="auto"/>
        <w:jc w:val="both"/>
        <w:rPr>
          <w:szCs w:val="24"/>
        </w:rPr>
      </w:pPr>
    </w:p>
    <w:p w14:paraId="06656BC4" w14:textId="0F00124B" w:rsidR="00F72701" w:rsidRPr="00FD7B72" w:rsidRDefault="00F72701" w:rsidP="00FD7B72">
      <w:pPr>
        <w:pStyle w:val="Zkladntext2"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Upozorňujeme, že MPSV vychází z předpokladu, že předložené a podepsané dokumenty vyúčtování </w:t>
      </w:r>
      <w:r w:rsidR="004258DD" w:rsidRPr="00FD7B72">
        <w:rPr>
          <w:szCs w:val="24"/>
        </w:rPr>
        <w:t>transferu</w:t>
      </w:r>
      <w:r w:rsidRPr="00FD7B72">
        <w:rPr>
          <w:szCs w:val="24"/>
        </w:rPr>
        <w:t xml:space="preserve"> </w:t>
      </w:r>
      <w:r w:rsidRPr="00FD7B72">
        <w:rPr>
          <w:b/>
          <w:bCs/>
          <w:szCs w:val="24"/>
        </w:rPr>
        <w:t>obsahují správné informace</w:t>
      </w:r>
      <w:r w:rsidRPr="00FD7B72">
        <w:rPr>
          <w:szCs w:val="24"/>
        </w:rPr>
        <w:t xml:space="preserve">. Tyto informace jsou dále využity při hodnocení vyúčtování či při případné žádosti dané obce </w:t>
      </w:r>
      <w:r w:rsidR="004A159D" w:rsidRPr="00FD7B72">
        <w:rPr>
          <w:szCs w:val="24"/>
        </w:rPr>
        <w:t>transfer ex-post (doplatek)</w:t>
      </w:r>
      <w:r w:rsidRPr="00FD7B72">
        <w:rPr>
          <w:szCs w:val="24"/>
        </w:rPr>
        <w:t xml:space="preserve"> za </w:t>
      </w:r>
      <w:r w:rsidR="004A159D" w:rsidRPr="00FD7B72">
        <w:rPr>
          <w:szCs w:val="24"/>
        </w:rPr>
        <w:t xml:space="preserve">daný </w:t>
      </w:r>
      <w:r w:rsidRPr="00FD7B72">
        <w:rPr>
          <w:szCs w:val="24"/>
        </w:rPr>
        <w:t xml:space="preserve">rok. </w:t>
      </w:r>
      <w:r w:rsidRPr="00FD7B72">
        <w:rPr>
          <w:b/>
          <w:bCs/>
          <w:szCs w:val="24"/>
        </w:rPr>
        <w:t xml:space="preserve">Neúplné či chybně </w:t>
      </w:r>
      <w:r w:rsidR="004B55D3" w:rsidRPr="00FD7B72">
        <w:rPr>
          <w:b/>
          <w:bCs/>
          <w:szCs w:val="24"/>
        </w:rPr>
        <w:t xml:space="preserve">vyplněné </w:t>
      </w:r>
      <w:r w:rsidRPr="00FD7B72">
        <w:rPr>
          <w:b/>
          <w:bCs/>
          <w:szCs w:val="24"/>
        </w:rPr>
        <w:t xml:space="preserve">vyúčtování tak může vést ke krácení žádosti o </w:t>
      </w:r>
      <w:r w:rsidR="004A159D" w:rsidRPr="00FD7B72">
        <w:rPr>
          <w:b/>
          <w:bCs/>
          <w:szCs w:val="24"/>
        </w:rPr>
        <w:t>ex-post transfer</w:t>
      </w:r>
      <w:r w:rsidRPr="00FD7B72">
        <w:rPr>
          <w:b/>
          <w:bCs/>
          <w:szCs w:val="24"/>
        </w:rPr>
        <w:t xml:space="preserve"> nebo v krajním případě </w:t>
      </w:r>
      <w:r w:rsidR="004A159D" w:rsidRPr="00FD7B72">
        <w:rPr>
          <w:b/>
          <w:bCs/>
          <w:szCs w:val="24"/>
        </w:rPr>
        <w:t>k porušení</w:t>
      </w:r>
      <w:r w:rsidRPr="00FD7B72">
        <w:rPr>
          <w:b/>
          <w:bCs/>
          <w:szCs w:val="24"/>
        </w:rPr>
        <w:t xml:space="preserve"> rozpočtových pravidel</w:t>
      </w:r>
      <w:r w:rsidRPr="00FD7B72">
        <w:rPr>
          <w:szCs w:val="24"/>
        </w:rPr>
        <w:t xml:space="preserve">. </w:t>
      </w:r>
      <w:r w:rsidR="008736E3" w:rsidRPr="00FD7B72">
        <w:rPr>
          <w:szCs w:val="24"/>
        </w:rPr>
        <w:t xml:space="preserve">Dále upozorňujeme, že obce s rozšířenou působností jsou </w:t>
      </w:r>
      <w:r w:rsidR="004B55D3" w:rsidRPr="00FD7B72">
        <w:rPr>
          <w:szCs w:val="24"/>
        </w:rPr>
        <w:t xml:space="preserve">odpovědné </w:t>
      </w:r>
      <w:r w:rsidR="008736E3" w:rsidRPr="00FD7B72">
        <w:rPr>
          <w:szCs w:val="24"/>
        </w:rPr>
        <w:t xml:space="preserve">za zaslání formulářů vyúčtování </w:t>
      </w:r>
      <w:r w:rsidR="004A159D" w:rsidRPr="00FD7B72">
        <w:rPr>
          <w:szCs w:val="24"/>
        </w:rPr>
        <w:t>transferu</w:t>
      </w:r>
      <w:r w:rsidR="008736E3" w:rsidRPr="00FD7B72">
        <w:rPr>
          <w:szCs w:val="24"/>
        </w:rPr>
        <w:t>.</w:t>
      </w:r>
    </w:p>
    <w:p w14:paraId="4ABDACE7" w14:textId="77777777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</w:p>
    <w:p w14:paraId="699EF94D" w14:textId="08BD3467" w:rsidR="00DF62B2" w:rsidRPr="00FD7B72" w:rsidRDefault="004A159D" w:rsidP="00FD7B72">
      <w:pPr>
        <w:pStyle w:val="Zkladntext2"/>
        <w:spacing w:line="288" w:lineRule="auto"/>
        <w:jc w:val="both"/>
        <w:rPr>
          <w:b/>
          <w:szCs w:val="24"/>
        </w:rPr>
      </w:pPr>
      <w:r w:rsidRPr="00FD7B72">
        <w:rPr>
          <w:b/>
          <w:szCs w:val="24"/>
        </w:rPr>
        <w:t>b</w:t>
      </w:r>
      <w:r w:rsidR="00DF62B2" w:rsidRPr="00FD7B72">
        <w:rPr>
          <w:b/>
          <w:szCs w:val="24"/>
        </w:rPr>
        <w:t xml:space="preserve">) </w:t>
      </w:r>
      <w:r w:rsidR="00E139B3" w:rsidRPr="00FD7B72">
        <w:rPr>
          <w:b/>
          <w:szCs w:val="24"/>
        </w:rPr>
        <w:t>S</w:t>
      </w:r>
      <w:r w:rsidRPr="00FD7B72">
        <w:rPr>
          <w:b/>
          <w:szCs w:val="24"/>
        </w:rPr>
        <w:t>tatutární města Brno, Plzeň a Ostrava</w:t>
      </w:r>
    </w:p>
    <w:p w14:paraId="561BBBE1" w14:textId="21B66574" w:rsidR="00E139B3" w:rsidRPr="00FD7B72" w:rsidRDefault="00E139B3" w:rsidP="00FD7B72">
      <w:pPr>
        <w:pStyle w:val="Zkladntext2"/>
        <w:spacing w:line="288" w:lineRule="auto"/>
        <w:jc w:val="both"/>
        <w:rPr>
          <w:bCs/>
          <w:szCs w:val="24"/>
        </w:rPr>
      </w:pPr>
      <w:r w:rsidRPr="00FD7B72">
        <w:rPr>
          <w:bCs/>
          <w:szCs w:val="24"/>
        </w:rPr>
        <w:t xml:space="preserve">V termínu do </w:t>
      </w:r>
      <w:r w:rsidR="00162BB3" w:rsidRPr="00FD7B72">
        <w:rPr>
          <w:bCs/>
          <w:szCs w:val="24"/>
        </w:rPr>
        <w:t>20</w:t>
      </w:r>
      <w:r w:rsidRPr="00FD7B72">
        <w:rPr>
          <w:bCs/>
          <w:szCs w:val="24"/>
        </w:rPr>
        <w:t xml:space="preserve">. února předkládají </w:t>
      </w:r>
      <w:r w:rsidR="00204672" w:rsidRPr="00FD7B72">
        <w:rPr>
          <w:bCs/>
          <w:szCs w:val="24"/>
        </w:rPr>
        <w:t>s</w:t>
      </w:r>
      <w:r w:rsidRPr="00FD7B72">
        <w:rPr>
          <w:bCs/>
          <w:szCs w:val="24"/>
        </w:rPr>
        <w:t>tatutární města Brno, Plzeň a Ostrava na výše uvedených formulářích MPSV vyúčtování transferu</w:t>
      </w:r>
      <w:r w:rsidR="00204672" w:rsidRPr="00FD7B72">
        <w:rPr>
          <w:bCs/>
          <w:szCs w:val="24"/>
        </w:rPr>
        <w:t>, přičemž se formuláře vyplňují</w:t>
      </w:r>
      <w:r w:rsidRPr="00FD7B72">
        <w:rPr>
          <w:bCs/>
          <w:szCs w:val="24"/>
        </w:rPr>
        <w:t xml:space="preserve"> za</w:t>
      </w:r>
      <w:r w:rsidR="00204672" w:rsidRPr="00FD7B72">
        <w:rPr>
          <w:bCs/>
          <w:szCs w:val="24"/>
        </w:rPr>
        <w:t> </w:t>
      </w:r>
      <w:r w:rsidRPr="00FD7B72">
        <w:rPr>
          <w:bCs/>
          <w:szCs w:val="24"/>
        </w:rPr>
        <w:t>každou městskou část</w:t>
      </w:r>
      <w:r w:rsidR="00204672" w:rsidRPr="00FD7B72">
        <w:rPr>
          <w:bCs/>
          <w:szCs w:val="24"/>
        </w:rPr>
        <w:t xml:space="preserve"> </w:t>
      </w:r>
      <w:r w:rsidRPr="00FD7B72">
        <w:rPr>
          <w:bCs/>
          <w:szCs w:val="24"/>
        </w:rPr>
        <w:t>a</w:t>
      </w:r>
      <w:r w:rsidR="00204672" w:rsidRPr="00FD7B72">
        <w:rPr>
          <w:bCs/>
          <w:szCs w:val="24"/>
        </w:rPr>
        <w:t> </w:t>
      </w:r>
      <w:r w:rsidRPr="00FD7B72">
        <w:rPr>
          <w:bCs/>
          <w:szCs w:val="24"/>
        </w:rPr>
        <w:t xml:space="preserve">magistrát statutárního města samostatně. </w:t>
      </w:r>
      <w:r w:rsidR="00204672" w:rsidRPr="00FD7B72">
        <w:rPr>
          <w:bCs/>
          <w:szCs w:val="24"/>
        </w:rPr>
        <w:t>Pro</w:t>
      </w:r>
      <w:r w:rsidR="00FD7B72" w:rsidRPr="00FD7B72">
        <w:rPr>
          <w:bCs/>
          <w:szCs w:val="24"/>
        </w:rPr>
        <w:t> </w:t>
      </w:r>
      <w:r w:rsidR="00204672" w:rsidRPr="00FD7B72">
        <w:rPr>
          <w:bCs/>
          <w:szCs w:val="24"/>
        </w:rPr>
        <w:t>zajištění </w:t>
      </w:r>
      <w:r w:rsidRPr="00FD7B72">
        <w:rPr>
          <w:bCs/>
          <w:szCs w:val="24"/>
        </w:rPr>
        <w:t xml:space="preserve">přehlednosti žádáme </w:t>
      </w:r>
      <w:r w:rsidR="00204672" w:rsidRPr="00FD7B72">
        <w:rPr>
          <w:bCs/>
          <w:szCs w:val="24"/>
        </w:rPr>
        <w:t xml:space="preserve">formuláře pro odevzdání </w:t>
      </w:r>
      <w:r w:rsidR="00204672" w:rsidRPr="00FD7B72">
        <w:rPr>
          <w:b/>
          <w:szCs w:val="24"/>
        </w:rPr>
        <w:t xml:space="preserve">kompletovat </w:t>
      </w:r>
      <w:r w:rsidRPr="00FD7B72">
        <w:rPr>
          <w:b/>
          <w:szCs w:val="24"/>
        </w:rPr>
        <w:t>po</w:t>
      </w:r>
      <w:r w:rsidR="00FD7B72" w:rsidRPr="00FD7B72">
        <w:rPr>
          <w:b/>
          <w:szCs w:val="24"/>
        </w:rPr>
        <w:t> </w:t>
      </w:r>
      <w:r w:rsidRPr="00FD7B72">
        <w:rPr>
          <w:b/>
          <w:szCs w:val="24"/>
        </w:rPr>
        <w:t>jednotlivých městských částech</w:t>
      </w:r>
      <w:r w:rsidR="00204672" w:rsidRPr="00FD7B72">
        <w:rPr>
          <w:b/>
          <w:szCs w:val="24"/>
        </w:rPr>
        <w:t xml:space="preserve"> dohromady </w:t>
      </w:r>
      <w:r w:rsidR="00204672" w:rsidRPr="00FD7B72">
        <w:rPr>
          <w:bCs/>
          <w:szCs w:val="24"/>
        </w:rPr>
        <w:t>(„balíček“ za městkou část)</w:t>
      </w:r>
      <w:r w:rsidRPr="00FD7B72">
        <w:rPr>
          <w:bCs/>
          <w:szCs w:val="24"/>
        </w:rPr>
        <w:t>, nikoliv po</w:t>
      </w:r>
      <w:r w:rsidR="00204672" w:rsidRPr="00FD7B72">
        <w:rPr>
          <w:bCs/>
          <w:szCs w:val="24"/>
        </w:rPr>
        <w:t>dle jednotlivých</w:t>
      </w:r>
      <w:r w:rsidRPr="00FD7B72">
        <w:rPr>
          <w:bCs/>
          <w:szCs w:val="24"/>
        </w:rPr>
        <w:t xml:space="preserve"> příloh vyúčtování.</w:t>
      </w:r>
    </w:p>
    <w:p w14:paraId="0014CC2C" w14:textId="77777777" w:rsidR="00E139B3" w:rsidRPr="00FD7B72" w:rsidRDefault="00E139B3" w:rsidP="00FD7B72">
      <w:pPr>
        <w:pStyle w:val="Zkladntext2"/>
        <w:spacing w:line="288" w:lineRule="auto"/>
        <w:jc w:val="both"/>
        <w:rPr>
          <w:bCs/>
          <w:szCs w:val="24"/>
        </w:rPr>
      </w:pPr>
    </w:p>
    <w:p w14:paraId="5D90034C" w14:textId="67A01040" w:rsidR="00E139B3" w:rsidRPr="00FD7B72" w:rsidRDefault="00E139B3" w:rsidP="00FD7B72">
      <w:pPr>
        <w:pStyle w:val="Zkladntext2"/>
        <w:spacing w:line="288" w:lineRule="auto"/>
        <w:jc w:val="both"/>
        <w:rPr>
          <w:bCs/>
          <w:szCs w:val="24"/>
        </w:rPr>
      </w:pPr>
      <w:r w:rsidRPr="00FD7B72">
        <w:rPr>
          <w:bCs/>
          <w:szCs w:val="24"/>
        </w:rPr>
        <w:t xml:space="preserve">Magistrát </w:t>
      </w:r>
      <w:r w:rsidR="00204672" w:rsidRPr="00FD7B72">
        <w:rPr>
          <w:bCs/>
          <w:szCs w:val="24"/>
        </w:rPr>
        <w:t xml:space="preserve">města </w:t>
      </w:r>
      <w:r w:rsidRPr="00FD7B72">
        <w:rPr>
          <w:bCs/>
          <w:szCs w:val="24"/>
        </w:rPr>
        <w:t>následně zašle ucelené vyúčtování transferu za celé statutární město</w:t>
      </w:r>
      <w:r w:rsidR="002C7584" w:rsidRPr="00FD7B72">
        <w:rPr>
          <w:bCs/>
          <w:szCs w:val="24"/>
        </w:rPr>
        <w:t xml:space="preserve"> a jeho městské části</w:t>
      </w:r>
      <w:r w:rsidRPr="00FD7B72">
        <w:rPr>
          <w:bCs/>
          <w:szCs w:val="24"/>
        </w:rPr>
        <w:t xml:space="preserve"> na MPSV.</w:t>
      </w:r>
      <w:r w:rsidR="002C7584" w:rsidRPr="00FD7B72">
        <w:rPr>
          <w:bCs/>
          <w:szCs w:val="24"/>
        </w:rPr>
        <w:t xml:space="preserve"> Obdobně vystupuje Magistrát v případě případných vratek.</w:t>
      </w:r>
    </w:p>
    <w:p w14:paraId="7EAA90CF" w14:textId="0D845BF9" w:rsidR="00E139B3" w:rsidRDefault="00E139B3" w:rsidP="00FD7B72">
      <w:pPr>
        <w:pStyle w:val="Zkladntext2"/>
        <w:spacing w:line="288" w:lineRule="auto"/>
        <w:jc w:val="both"/>
        <w:rPr>
          <w:b/>
          <w:szCs w:val="24"/>
        </w:rPr>
      </w:pPr>
    </w:p>
    <w:p w14:paraId="0BE97BBA" w14:textId="77777777" w:rsidR="00FD7B72" w:rsidRPr="00FD7B72" w:rsidRDefault="00FD7B72" w:rsidP="00FD7B72">
      <w:pPr>
        <w:pStyle w:val="Zkladntext2"/>
        <w:spacing w:line="288" w:lineRule="auto"/>
        <w:jc w:val="both"/>
        <w:rPr>
          <w:b/>
          <w:szCs w:val="24"/>
        </w:rPr>
      </w:pPr>
    </w:p>
    <w:p w14:paraId="6D350D03" w14:textId="219FFD7D" w:rsidR="00E139B3" w:rsidRPr="00FD7B72" w:rsidRDefault="00E139B3" w:rsidP="00FD7B72">
      <w:pPr>
        <w:pStyle w:val="Zkladntext2"/>
        <w:spacing w:line="288" w:lineRule="auto"/>
        <w:jc w:val="both"/>
        <w:rPr>
          <w:b/>
          <w:szCs w:val="24"/>
        </w:rPr>
      </w:pPr>
      <w:r w:rsidRPr="00FD7B72">
        <w:rPr>
          <w:b/>
          <w:szCs w:val="24"/>
        </w:rPr>
        <w:t xml:space="preserve">c) Hl. m. Praha </w:t>
      </w:r>
    </w:p>
    <w:p w14:paraId="56969153" w14:textId="77777777" w:rsidR="00204672" w:rsidRPr="00FD7B72" w:rsidRDefault="002C7584" w:rsidP="00FD7B72">
      <w:pPr>
        <w:pStyle w:val="Zkladntext2"/>
        <w:spacing w:line="288" w:lineRule="auto"/>
        <w:jc w:val="both"/>
        <w:rPr>
          <w:bCs/>
          <w:szCs w:val="24"/>
        </w:rPr>
      </w:pPr>
      <w:r w:rsidRPr="00FD7B72">
        <w:rPr>
          <w:szCs w:val="24"/>
        </w:rPr>
        <w:t xml:space="preserve">V termínu do </w:t>
      </w:r>
      <w:r w:rsidR="00162BB3" w:rsidRPr="00FD7B72">
        <w:rPr>
          <w:szCs w:val="24"/>
        </w:rPr>
        <w:t>20</w:t>
      </w:r>
      <w:r w:rsidRPr="00FD7B72">
        <w:rPr>
          <w:szCs w:val="24"/>
        </w:rPr>
        <w:t xml:space="preserve">. února předkládá hl. m. Praha na výše uvedených formulářích MPSV vyúčtování transferu za každou městskou část. </w:t>
      </w:r>
      <w:r w:rsidR="00E139B3" w:rsidRPr="00FD7B72">
        <w:rPr>
          <w:szCs w:val="24"/>
        </w:rPr>
        <w:t>V</w:t>
      </w:r>
      <w:r w:rsidRPr="00FD7B72">
        <w:rPr>
          <w:szCs w:val="24"/>
        </w:rPr>
        <w:t> </w:t>
      </w:r>
      <w:r w:rsidR="00E139B3" w:rsidRPr="00FD7B72">
        <w:rPr>
          <w:szCs w:val="24"/>
        </w:rPr>
        <w:t>př</w:t>
      </w:r>
      <w:r w:rsidRPr="00FD7B72">
        <w:rPr>
          <w:szCs w:val="24"/>
        </w:rPr>
        <w:t xml:space="preserve">ípadě hl. m. Prahy však, na rozdíl od </w:t>
      </w:r>
      <w:r w:rsidR="00204672" w:rsidRPr="00FD7B72">
        <w:rPr>
          <w:szCs w:val="24"/>
        </w:rPr>
        <w:t>s</w:t>
      </w:r>
      <w:r w:rsidRPr="00FD7B72">
        <w:rPr>
          <w:szCs w:val="24"/>
        </w:rPr>
        <w:t>tatutárních měst, je transfer poskytován pouze na výkon agendy SPOD na</w:t>
      </w:r>
      <w:r w:rsidR="00204672" w:rsidRPr="00FD7B72">
        <w:rPr>
          <w:szCs w:val="24"/>
        </w:rPr>
        <w:t> </w:t>
      </w:r>
      <w:r w:rsidRPr="00FD7B72">
        <w:rPr>
          <w:szCs w:val="24"/>
        </w:rPr>
        <w:t xml:space="preserve">městských částech, nikoliv na samostatném Magistrátu hl. m. Prahy (dále jen „MHMP“). MHMP tak vystupuje v případě vyúčtování a případných vratek pouze jako prostředník, který vyúčtování od městských částí hl. m. Prahy vybere a následně zašle uceleně na MPSV. I zde rámci přehlednosti žádáme </w:t>
      </w:r>
      <w:r w:rsidR="00204672" w:rsidRPr="00FD7B72">
        <w:rPr>
          <w:bCs/>
          <w:szCs w:val="24"/>
        </w:rPr>
        <w:t xml:space="preserve">formuláře pro odevzdání </w:t>
      </w:r>
      <w:r w:rsidR="00204672" w:rsidRPr="00FD7B72">
        <w:rPr>
          <w:b/>
          <w:szCs w:val="24"/>
        </w:rPr>
        <w:lastRenderedPageBreak/>
        <w:t xml:space="preserve">kompletovat po jednotlivých městských částech dohromady </w:t>
      </w:r>
      <w:r w:rsidR="00204672" w:rsidRPr="00FD7B72">
        <w:rPr>
          <w:bCs/>
          <w:szCs w:val="24"/>
        </w:rPr>
        <w:t>(„balíček“ za městkou část), nikoliv podle jednotlivých příloh vyúčtování.</w:t>
      </w:r>
    </w:p>
    <w:p w14:paraId="3DF16EAF" w14:textId="6951F9FC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</w:p>
    <w:p w14:paraId="23818486" w14:textId="0711A20B" w:rsidR="005A2809" w:rsidRPr="00FD7B72" w:rsidRDefault="005A2809" w:rsidP="00FD7B72">
      <w:pPr>
        <w:pStyle w:val="Zkladntext2"/>
        <w:spacing w:line="288" w:lineRule="auto"/>
        <w:jc w:val="both"/>
        <w:rPr>
          <w:szCs w:val="24"/>
        </w:rPr>
      </w:pPr>
    </w:p>
    <w:p w14:paraId="11ACFD36" w14:textId="2EFE1F1A" w:rsidR="00DF62B2" w:rsidRPr="00FD7B72" w:rsidRDefault="00DF62B2" w:rsidP="00FD7B72">
      <w:pPr>
        <w:pStyle w:val="Zkladntext2"/>
        <w:spacing w:line="288" w:lineRule="auto"/>
        <w:jc w:val="both"/>
        <w:rPr>
          <w:b/>
          <w:szCs w:val="24"/>
          <w:u w:val="single"/>
        </w:rPr>
      </w:pPr>
      <w:r w:rsidRPr="00FD7B72">
        <w:rPr>
          <w:b/>
          <w:szCs w:val="24"/>
          <w:u w:val="single"/>
        </w:rPr>
        <w:t xml:space="preserve">2) Komentář k přílohám vyúčtování </w:t>
      </w:r>
      <w:r w:rsidR="00E10B00" w:rsidRPr="00FD7B72">
        <w:rPr>
          <w:b/>
          <w:szCs w:val="24"/>
          <w:u w:val="single"/>
        </w:rPr>
        <w:t>transferu</w:t>
      </w:r>
      <w:r w:rsidRPr="00FD7B72">
        <w:rPr>
          <w:b/>
          <w:szCs w:val="24"/>
          <w:u w:val="single"/>
        </w:rPr>
        <w:t xml:space="preserve"> </w:t>
      </w:r>
      <w:r w:rsidR="002C7584" w:rsidRPr="00FD7B72">
        <w:rPr>
          <w:b/>
          <w:szCs w:val="24"/>
          <w:u w:val="single"/>
        </w:rPr>
        <w:t>od</w:t>
      </w:r>
      <w:r w:rsidRPr="00FD7B72">
        <w:rPr>
          <w:b/>
          <w:szCs w:val="24"/>
          <w:u w:val="single"/>
        </w:rPr>
        <w:t xml:space="preserve"> rok</w:t>
      </w:r>
      <w:r w:rsidR="002C7584" w:rsidRPr="00FD7B72">
        <w:rPr>
          <w:b/>
          <w:szCs w:val="24"/>
          <w:u w:val="single"/>
        </w:rPr>
        <w:t>u 2022</w:t>
      </w:r>
    </w:p>
    <w:p w14:paraId="347AAB41" w14:textId="77777777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</w:p>
    <w:p w14:paraId="61089DA6" w14:textId="6D0406AB" w:rsidR="00DF62B2" w:rsidRPr="00FD7B72" w:rsidRDefault="00DF62B2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V příloze </w:t>
      </w:r>
      <w:proofErr w:type="gramStart"/>
      <w:r w:rsidRPr="00FD7B72">
        <w:rPr>
          <w:szCs w:val="24"/>
        </w:rPr>
        <w:t>1a</w:t>
      </w:r>
      <w:proofErr w:type="gramEnd"/>
      <w:r w:rsidRPr="00FD7B72">
        <w:rPr>
          <w:szCs w:val="24"/>
        </w:rPr>
        <w:t>. Vyúčtování výdajů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výkon SPOD dle rozpočtových položek za </w:t>
      </w:r>
      <w:r w:rsidR="002C7584" w:rsidRPr="00FD7B72">
        <w:rPr>
          <w:szCs w:val="24"/>
        </w:rPr>
        <w:t xml:space="preserve">daný rok </w:t>
      </w:r>
      <w:r w:rsidRPr="00FD7B72">
        <w:rPr>
          <w:szCs w:val="24"/>
        </w:rPr>
        <w:t>je v souladu s</w:t>
      </w:r>
      <w:r w:rsidR="002C7584" w:rsidRPr="00FD7B72">
        <w:rPr>
          <w:szCs w:val="24"/>
        </w:rPr>
        <w:t> </w:t>
      </w:r>
      <w:r w:rsidRPr="00FD7B72">
        <w:rPr>
          <w:szCs w:val="24"/>
        </w:rPr>
        <w:t>Metodikou</w:t>
      </w:r>
      <w:r w:rsidR="002C7584" w:rsidRPr="00FD7B72">
        <w:rPr>
          <w:szCs w:val="24"/>
        </w:rPr>
        <w:t xml:space="preserve"> MPSV </w:t>
      </w:r>
      <w:r w:rsidRPr="00FD7B72">
        <w:rPr>
          <w:szCs w:val="24"/>
        </w:rPr>
        <w:t xml:space="preserve">a vydanými </w:t>
      </w:r>
      <w:r w:rsidR="00E10B00" w:rsidRPr="00FD7B72">
        <w:rPr>
          <w:szCs w:val="24"/>
        </w:rPr>
        <w:t>oznámeními</w:t>
      </w:r>
      <w:r w:rsidRPr="00FD7B72">
        <w:rPr>
          <w:szCs w:val="24"/>
        </w:rPr>
        <w:t xml:space="preserve"> o poskytnutí </w:t>
      </w:r>
      <w:r w:rsidR="00E10B00" w:rsidRPr="00FD7B72">
        <w:rPr>
          <w:szCs w:val="24"/>
        </w:rPr>
        <w:t>transferu, a jeho případných dodatků,</w:t>
      </w:r>
      <w:r w:rsidRPr="00FD7B72">
        <w:rPr>
          <w:szCs w:val="24"/>
        </w:rPr>
        <w:t xml:space="preserve"> sledován podíl mezi osobními a ostatními výdaji. Za tímto účelem je nutné samostatně vyčíslit v příslušných rozpočtových položkách výdaje za školení a vzdělávání zaměstnanců, supervize a případové konference a zařadit tyto výdaje v tabulce pod bod 1.b. Formulář přílohy je v tomto již upraven a v posledních dvou řádcích se automaticky zobrazí podíl ostatních výdajů na celkových výdajích hrazených z</w:t>
      </w:r>
      <w:r w:rsidR="004B55D3" w:rsidRPr="00FD7B72">
        <w:rPr>
          <w:szCs w:val="24"/>
        </w:rPr>
        <w:t>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. Vždy je třeba provádět kontrolu součtových řádků, aby při vyplnění nedošlo k vynechání některých položek v součtech, a to zejména v případě přidávání nových řádků položek. </w:t>
      </w:r>
      <w:r w:rsidR="00E10B00" w:rsidRPr="00FD7B72">
        <w:rPr>
          <w:szCs w:val="24"/>
        </w:rPr>
        <w:t>Nově formulář obsahuje také informaci o výši převedených finančních prostředků z předchozího roku či</w:t>
      </w:r>
      <w:r w:rsidR="00204672" w:rsidRPr="00FD7B72">
        <w:rPr>
          <w:szCs w:val="24"/>
        </w:rPr>
        <w:t> </w:t>
      </w:r>
      <w:r w:rsidR="00E10B00" w:rsidRPr="00FD7B72">
        <w:rPr>
          <w:szCs w:val="24"/>
        </w:rPr>
        <w:t xml:space="preserve">převáděných do dalšího roku. </w:t>
      </w:r>
      <w:r w:rsidRPr="00FD7B72">
        <w:rPr>
          <w:szCs w:val="24"/>
        </w:rPr>
        <w:t xml:space="preserve"> </w:t>
      </w:r>
    </w:p>
    <w:p w14:paraId="2294DC9F" w14:textId="77777777" w:rsidR="00DF62B2" w:rsidRPr="00FD7B72" w:rsidRDefault="00DF62B2" w:rsidP="00FD7B72">
      <w:pPr>
        <w:pStyle w:val="Zkladntext2"/>
        <w:spacing w:line="288" w:lineRule="auto"/>
        <w:ind w:left="720"/>
        <w:jc w:val="both"/>
        <w:rPr>
          <w:szCs w:val="24"/>
        </w:rPr>
      </w:pPr>
    </w:p>
    <w:p w14:paraId="43E08824" w14:textId="77777777" w:rsidR="00DF62B2" w:rsidRPr="00FD7B72" w:rsidRDefault="00DF62B2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V příloze č. 1b. budou rozepsány hrazené odborné i provozní služby podle jednotlivých druhů (např. psychologické poradenství, tlumočnické služby atd.) s uvedením souhrnné částky za jednotlivé druhy služeb.</w:t>
      </w:r>
    </w:p>
    <w:p w14:paraId="17D3B8C1" w14:textId="77777777" w:rsidR="00934E39" w:rsidRPr="00FD7B72" w:rsidRDefault="00934E39" w:rsidP="00FD7B72">
      <w:pPr>
        <w:pStyle w:val="Odstavecseseznamem"/>
        <w:spacing w:line="288" w:lineRule="auto"/>
        <w:rPr>
          <w:szCs w:val="24"/>
        </w:rPr>
      </w:pPr>
    </w:p>
    <w:p w14:paraId="30637844" w14:textId="74D40171" w:rsidR="00934E39" w:rsidRPr="00FD7B72" w:rsidRDefault="00934E39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V příloze č. 1c budou odlišeny hrazené uskutečněné kurzy od</w:t>
      </w:r>
      <w:r w:rsidR="004B55D3" w:rsidRPr="00FD7B72">
        <w:rPr>
          <w:szCs w:val="24"/>
        </w:rPr>
        <w:t> </w:t>
      </w:r>
      <w:r w:rsidRPr="00FD7B72">
        <w:rPr>
          <w:szCs w:val="24"/>
        </w:rPr>
        <w:t>neuskutečněných, ale uhrazených kurzů povinného vzdělávání, které byl</w:t>
      </w:r>
      <w:r w:rsidR="004B55D3" w:rsidRPr="00FD7B72">
        <w:rPr>
          <w:szCs w:val="24"/>
        </w:rPr>
        <w:t>o</w:t>
      </w:r>
      <w:r w:rsidRPr="00FD7B72">
        <w:rPr>
          <w:szCs w:val="24"/>
        </w:rPr>
        <w:t xml:space="preserve"> umožněn</w:t>
      </w:r>
      <w:r w:rsidR="004B55D3" w:rsidRPr="00FD7B72">
        <w:rPr>
          <w:szCs w:val="24"/>
        </w:rPr>
        <w:t>o</w:t>
      </w:r>
      <w:r w:rsidRPr="00FD7B72">
        <w:rPr>
          <w:szCs w:val="24"/>
        </w:rPr>
        <w:t xml:space="preserve"> zahrnout do 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základě dodatku č. 1 k Metodice MPSV.</w:t>
      </w:r>
    </w:p>
    <w:p w14:paraId="1D3EDE03" w14:textId="77777777" w:rsidR="00E10B00" w:rsidRPr="00FD7B72" w:rsidRDefault="00E10B00" w:rsidP="00FD7B72">
      <w:pPr>
        <w:pStyle w:val="Odstavecseseznamem"/>
        <w:spacing w:line="288" w:lineRule="auto"/>
        <w:rPr>
          <w:szCs w:val="24"/>
        </w:rPr>
      </w:pPr>
    </w:p>
    <w:p w14:paraId="6937D04C" w14:textId="03D9403D" w:rsidR="00E10B00" w:rsidRPr="00FD7B72" w:rsidRDefault="00E10B00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V příloze č. 1d budou rozepsány případné výdaje hrazené z převedených finančních prostředků předchozího roku rozdělené na osobní výdaje a provozní a ostatní výdaje, obdobně jako v případě přílohy č. 1a.</w:t>
      </w:r>
    </w:p>
    <w:p w14:paraId="73098C5C" w14:textId="77777777" w:rsidR="00DF62B2" w:rsidRPr="00FD7B72" w:rsidRDefault="00DF62B2" w:rsidP="00FD7B72">
      <w:pPr>
        <w:pStyle w:val="Odstavecseseznamem"/>
        <w:spacing w:line="288" w:lineRule="auto"/>
        <w:rPr>
          <w:color w:val="auto"/>
          <w:szCs w:val="24"/>
        </w:rPr>
      </w:pPr>
    </w:p>
    <w:p w14:paraId="505AA673" w14:textId="4C34D1B6" w:rsidR="00DF62B2" w:rsidRPr="00FD7B72" w:rsidRDefault="00DF62B2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>V příloze č. 2a. Skutečná výše úvazků hrazená z </w:t>
      </w:r>
      <w:r w:rsidR="00E10B00" w:rsidRPr="00FD7B72">
        <w:rPr>
          <w:szCs w:val="24"/>
        </w:rPr>
        <w:t>transferu</w:t>
      </w:r>
      <w:r w:rsidRPr="00FD7B72">
        <w:rPr>
          <w:szCs w:val="24"/>
        </w:rPr>
        <w:t xml:space="preserve"> na výkon SPOD a státního příspěvku na výkon pěstounské péče je potřeba odlišit úvazky pracovníků zařazených k výkonu SPOD podle toho, zda naplňují nebo nenaplňují požadavky kritéria </w:t>
      </w:r>
      <w:proofErr w:type="gramStart"/>
      <w:r w:rsidRPr="00FD7B72">
        <w:rPr>
          <w:szCs w:val="24"/>
        </w:rPr>
        <w:t>5a</w:t>
      </w:r>
      <w:proofErr w:type="gramEnd"/>
      <w:r w:rsidRPr="00FD7B72">
        <w:rPr>
          <w:szCs w:val="24"/>
        </w:rPr>
        <w:t xml:space="preserve"> standardů kvality SPO, tedy kvalifikační předpoklady k výkonu povolání sociálního pracovníka v SPOD.  </w:t>
      </w:r>
    </w:p>
    <w:p w14:paraId="40B05B86" w14:textId="77777777" w:rsidR="00DF62B2" w:rsidRPr="00FD7B72" w:rsidRDefault="00DF62B2" w:rsidP="00FD7B72">
      <w:pPr>
        <w:pStyle w:val="Odstavecseseznamem"/>
        <w:spacing w:line="288" w:lineRule="auto"/>
        <w:rPr>
          <w:color w:val="auto"/>
          <w:szCs w:val="24"/>
        </w:rPr>
      </w:pPr>
    </w:p>
    <w:p w14:paraId="0AF4857C" w14:textId="3CE5ADC4" w:rsidR="00DF62B2" w:rsidRPr="00FD7B72" w:rsidRDefault="00DF62B2" w:rsidP="00FD7B72">
      <w:pPr>
        <w:pStyle w:val="Zkladntext2"/>
        <w:numPr>
          <w:ilvl w:val="0"/>
          <w:numId w:val="4"/>
        </w:numPr>
        <w:suppressAutoHyphens/>
        <w:spacing w:line="288" w:lineRule="auto"/>
        <w:jc w:val="both"/>
        <w:rPr>
          <w:szCs w:val="24"/>
        </w:rPr>
      </w:pPr>
      <w:r w:rsidRPr="00FD7B72">
        <w:rPr>
          <w:szCs w:val="24"/>
        </w:rPr>
        <w:t xml:space="preserve">V příloze č. 2b. Přehled pracovních pozic, platového zařazení a platů pracovníků orgánu SPOD hrazených </w:t>
      </w:r>
      <w:r w:rsidR="00F72701" w:rsidRPr="00FD7B72">
        <w:rPr>
          <w:szCs w:val="24"/>
        </w:rPr>
        <w:t>z </w:t>
      </w:r>
      <w:r w:rsidR="00E10B00" w:rsidRPr="00FD7B72">
        <w:rPr>
          <w:szCs w:val="24"/>
        </w:rPr>
        <w:t>transferu</w:t>
      </w:r>
      <w:r w:rsidR="00F72701" w:rsidRPr="00FD7B72">
        <w:rPr>
          <w:szCs w:val="24"/>
        </w:rPr>
        <w:t xml:space="preserve"> na výkon SPOD </w:t>
      </w:r>
      <w:r w:rsidRPr="00FD7B72">
        <w:rPr>
          <w:szCs w:val="24"/>
        </w:rPr>
        <w:t xml:space="preserve">jsou vyplňovány údaje pouze o pracovnících na hlavní pracovní poměr. </w:t>
      </w:r>
      <w:r w:rsidR="00934E39" w:rsidRPr="00FD7B72">
        <w:rPr>
          <w:b/>
          <w:szCs w:val="24"/>
        </w:rPr>
        <w:t xml:space="preserve">V rámci této přílohy jsou nově uváděny také výše </w:t>
      </w:r>
      <w:r w:rsidR="00E10B00" w:rsidRPr="00FD7B72">
        <w:rPr>
          <w:b/>
          <w:szCs w:val="24"/>
        </w:rPr>
        <w:t xml:space="preserve">náborových příspěvků a odměn za dovršení pracovního výročí dle části VIII, A) Osobní výdaje bod 1.7 </w:t>
      </w:r>
      <w:r w:rsidR="00E10B00" w:rsidRPr="00FD7B72">
        <w:rPr>
          <w:b/>
          <w:szCs w:val="24"/>
        </w:rPr>
        <w:lastRenderedPageBreak/>
        <w:t>a</w:t>
      </w:r>
      <w:r w:rsidR="00FD7B72" w:rsidRPr="00FD7B72">
        <w:rPr>
          <w:b/>
          <w:szCs w:val="24"/>
        </w:rPr>
        <w:t> </w:t>
      </w:r>
      <w:r w:rsidR="00E10B00" w:rsidRPr="00FD7B72">
        <w:rPr>
          <w:b/>
          <w:szCs w:val="24"/>
        </w:rPr>
        <w:t>1.8, pokud je obec v roce vyplatila</w:t>
      </w:r>
      <w:r w:rsidR="00934E39" w:rsidRPr="00FD7B72">
        <w:rPr>
          <w:b/>
          <w:szCs w:val="24"/>
        </w:rPr>
        <w:t xml:space="preserve">.  </w:t>
      </w:r>
      <w:r w:rsidR="00AC68C7" w:rsidRPr="00FD7B72">
        <w:rPr>
          <w:szCs w:val="24"/>
        </w:rPr>
        <w:t>Opětovně</w:t>
      </w:r>
      <w:r w:rsidRPr="00FD7B72">
        <w:rPr>
          <w:szCs w:val="24"/>
        </w:rPr>
        <w:t xml:space="preserve"> je zde také k vyplnění informace o meziročních změnách v platovém zařazení pracovníků OSPOD, která bude ve statistickém porovnání pro MPSV důležitou informací o vývoji v platovém zařazení pracovníků OSPOD v ČR s dopadem na rozpočet </w:t>
      </w:r>
      <w:r w:rsidR="00FD7B72" w:rsidRPr="00FD7B72">
        <w:rPr>
          <w:szCs w:val="24"/>
        </w:rPr>
        <w:t>transferu</w:t>
      </w:r>
      <w:r w:rsidRPr="00FD7B72">
        <w:rPr>
          <w:szCs w:val="24"/>
        </w:rPr>
        <w:t>.</w:t>
      </w:r>
      <w:r w:rsidR="00A83EB0" w:rsidRPr="00FD7B72">
        <w:rPr>
          <w:szCs w:val="24"/>
        </w:rPr>
        <w:t xml:space="preserve"> </w:t>
      </w:r>
      <w:r w:rsidR="00A83EB0" w:rsidRPr="00FD7B72">
        <w:rPr>
          <w:b/>
          <w:szCs w:val="24"/>
        </w:rPr>
        <w:t xml:space="preserve">Upozorňujeme, že </w:t>
      </w:r>
      <w:r w:rsidR="00F72701" w:rsidRPr="00FD7B72">
        <w:rPr>
          <w:b/>
          <w:szCs w:val="24"/>
        </w:rPr>
        <w:t>údaje v této příloze se vztahují pouze na</w:t>
      </w:r>
      <w:r w:rsidR="00FD7B72" w:rsidRPr="00FD7B72">
        <w:rPr>
          <w:b/>
          <w:szCs w:val="24"/>
        </w:rPr>
        <w:t> </w:t>
      </w:r>
      <w:r w:rsidR="00F72701" w:rsidRPr="00FD7B72">
        <w:rPr>
          <w:b/>
          <w:szCs w:val="24"/>
        </w:rPr>
        <w:t>výdaje hrazené z </w:t>
      </w:r>
      <w:r w:rsidR="00E10B00" w:rsidRPr="00FD7B72">
        <w:rPr>
          <w:b/>
          <w:szCs w:val="24"/>
        </w:rPr>
        <w:t>transferu</w:t>
      </w:r>
      <w:r w:rsidR="00F72701" w:rsidRPr="00FD7B72">
        <w:rPr>
          <w:b/>
          <w:szCs w:val="24"/>
        </w:rPr>
        <w:t xml:space="preserve"> na výkon SPOD. V případě, že některé výdaje byly hrazeny z jiných prostředků obce, se do této tabulky neuvádějí. Např. mimořádné odměny nad limity stanovené v rámci Metodiky MPSV.</w:t>
      </w:r>
      <w:r w:rsidR="00934E39" w:rsidRPr="00FD7B72">
        <w:rPr>
          <w:b/>
          <w:szCs w:val="24"/>
        </w:rPr>
        <w:t xml:space="preserve"> </w:t>
      </w:r>
    </w:p>
    <w:p w14:paraId="61B19420" w14:textId="77777777" w:rsidR="00DF62B2" w:rsidRPr="00FD7B72" w:rsidRDefault="00DF62B2" w:rsidP="00FD7B72">
      <w:pPr>
        <w:pStyle w:val="Zkladntext2"/>
        <w:spacing w:line="288" w:lineRule="auto"/>
        <w:jc w:val="both"/>
        <w:rPr>
          <w:szCs w:val="24"/>
        </w:rPr>
      </w:pPr>
    </w:p>
    <w:p w14:paraId="4D055071" w14:textId="173C4220" w:rsidR="00FD7B72" w:rsidRDefault="00FD7B72" w:rsidP="00FD7B72">
      <w:pPr>
        <w:pStyle w:val="Zkladntext2"/>
        <w:spacing w:line="288" w:lineRule="auto"/>
        <w:jc w:val="both"/>
        <w:rPr>
          <w:b/>
          <w:szCs w:val="24"/>
          <w:u w:val="single"/>
        </w:rPr>
      </w:pPr>
    </w:p>
    <w:p w14:paraId="7DC177E6" w14:textId="77777777" w:rsidR="00FD7B72" w:rsidRDefault="00FD7B72" w:rsidP="00FD7B72">
      <w:pPr>
        <w:pStyle w:val="Zkladntext2"/>
        <w:spacing w:line="288" w:lineRule="auto"/>
        <w:jc w:val="both"/>
        <w:rPr>
          <w:b/>
          <w:szCs w:val="24"/>
          <w:u w:val="single"/>
        </w:rPr>
      </w:pPr>
    </w:p>
    <w:p w14:paraId="748C84A9" w14:textId="6124362F" w:rsidR="00DF62B2" w:rsidRPr="00FD7B72" w:rsidRDefault="00FD7B72" w:rsidP="00FD7B72">
      <w:pPr>
        <w:pStyle w:val="Zkladntext2"/>
        <w:spacing w:line="288" w:lineRule="auto"/>
        <w:jc w:val="both"/>
        <w:rPr>
          <w:b/>
          <w:szCs w:val="24"/>
        </w:rPr>
      </w:pPr>
      <w:r>
        <w:rPr>
          <w:b/>
          <w:szCs w:val="24"/>
          <w:u w:val="single"/>
        </w:rPr>
        <w:t>3</w:t>
      </w:r>
      <w:r w:rsidR="00DF62B2" w:rsidRPr="00FD7B72">
        <w:rPr>
          <w:b/>
          <w:szCs w:val="24"/>
          <w:u w:val="single"/>
        </w:rPr>
        <w:t xml:space="preserve">) Doplatky </w:t>
      </w:r>
      <w:r w:rsidR="00E10B00" w:rsidRPr="00FD7B72">
        <w:rPr>
          <w:b/>
          <w:szCs w:val="24"/>
          <w:u w:val="single"/>
        </w:rPr>
        <w:t>transferu</w:t>
      </w:r>
      <w:r w:rsidR="00DF62B2" w:rsidRPr="00FD7B72">
        <w:rPr>
          <w:b/>
          <w:szCs w:val="24"/>
          <w:u w:val="single"/>
        </w:rPr>
        <w:t xml:space="preserve"> na výkon SPOD na pokrytí výdajů roku </w:t>
      </w:r>
    </w:p>
    <w:p w14:paraId="4DCA3CF5" w14:textId="77777777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</w:p>
    <w:p w14:paraId="62915CB1" w14:textId="48D26226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  <w:r w:rsidRPr="00FD7B72">
        <w:rPr>
          <w:rFonts w:ascii="Arial" w:hAnsi="Arial" w:cs="Arial"/>
          <w:color w:val="000000"/>
        </w:rPr>
        <w:t xml:space="preserve">Jestliže obec v rámci vyúčtování </w:t>
      </w:r>
      <w:r w:rsidR="00853195" w:rsidRPr="00FD7B72">
        <w:rPr>
          <w:rFonts w:ascii="Arial" w:hAnsi="Arial" w:cs="Arial"/>
          <w:color w:val="000000"/>
        </w:rPr>
        <w:t>transferu</w:t>
      </w:r>
      <w:r w:rsidRPr="00FD7B72">
        <w:rPr>
          <w:rFonts w:ascii="Arial" w:hAnsi="Arial" w:cs="Arial"/>
          <w:color w:val="000000"/>
        </w:rPr>
        <w:t xml:space="preserve"> vykazuje uskutečněné výdaje ve výši přesahující část</w:t>
      </w:r>
      <w:r w:rsidR="001539A2" w:rsidRPr="00FD7B72">
        <w:rPr>
          <w:rFonts w:ascii="Arial" w:hAnsi="Arial" w:cs="Arial"/>
          <w:color w:val="000000"/>
        </w:rPr>
        <w:t xml:space="preserve">ku </w:t>
      </w:r>
      <w:r w:rsidR="00853195" w:rsidRPr="00FD7B72">
        <w:rPr>
          <w:rFonts w:ascii="Arial" w:hAnsi="Arial" w:cs="Arial"/>
          <w:color w:val="000000"/>
        </w:rPr>
        <w:t>transferu</w:t>
      </w:r>
      <w:r w:rsidR="001539A2" w:rsidRPr="00FD7B72">
        <w:rPr>
          <w:rFonts w:ascii="Arial" w:hAnsi="Arial" w:cs="Arial"/>
          <w:color w:val="000000"/>
        </w:rPr>
        <w:t xml:space="preserve"> poskytnuté v</w:t>
      </w:r>
      <w:r w:rsidR="00853195" w:rsidRPr="00FD7B72">
        <w:rPr>
          <w:rFonts w:ascii="Arial" w:hAnsi="Arial" w:cs="Arial"/>
          <w:color w:val="000000"/>
        </w:rPr>
        <w:t xml:space="preserve"> daném </w:t>
      </w:r>
      <w:r w:rsidR="001539A2" w:rsidRPr="00FD7B72">
        <w:rPr>
          <w:rFonts w:ascii="Arial" w:hAnsi="Arial" w:cs="Arial"/>
          <w:color w:val="000000"/>
        </w:rPr>
        <w:t>roce</w:t>
      </w:r>
      <w:r w:rsidRPr="00FD7B72">
        <w:rPr>
          <w:rFonts w:ascii="Arial" w:hAnsi="Arial" w:cs="Arial"/>
          <w:color w:val="000000"/>
        </w:rPr>
        <w:t>, je oprávněna žádat o doplat</w:t>
      </w:r>
      <w:r w:rsidR="001539A2" w:rsidRPr="00FD7B72">
        <w:rPr>
          <w:rFonts w:ascii="Arial" w:hAnsi="Arial" w:cs="Arial"/>
          <w:color w:val="000000"/>
        </w:rPr>
        <w:t xml:space="preserve">ek </w:t>
      </w:r>
      <w:r w:rsidR="00853195" w:rsidRPr="00FD7B72">
        <w:rPr>
          <w:rFonts w:ascii="Arial" w:hAnsi="Arial" w:cs="Arial"/>
          <w:color w:val="000000"/>
        </w:rPr>
        <w:t>transferu</w:t>
      </w:r>
      <w:r w:rsidR="001539A2" w:rsidRPr="00FD7B72">
        <w:rPr>
          <w:rFonts w:ascii="Arial" w:hAnsi="Arial" w:cs="Arial"/>
          <w:color w:val="000000"/>
        </w:rPr>
        <w:t xml:space="preserve"> za </w:t>
      </w:r>
      <w:r w:rsidR="00853195" w:rsidRPr="00FD7B72">
        <w:rPr>
          <w:rFonts w:ascii="Arial" w:hAnsi="Arial" w:cs="Arial"/>
          <w:color w:val="000000"/>
        </w:rPr>
        <w:t xml:space="preserve">daný </w:t>
      </w:r>
      <w:r w:rsidR="001539A2" w:rsidRPr="00FD7B72">
        <w:rPr>
          <w:rFonts w:ascii="Arial" w:hAnsi="Arial" w:cs="Arial"/>
          <w:color w:val="000000"/>
        </w:rPr>
        <w:t>rok</w:t>
      </w:r>
      <w:r w:rsidRPr="00FD7B72">
        <w:rPr>
          <w:rFonts w:ascii="Arial" w:hAnsi="Arial" w:cs="Arial"/>
          <w:color w:val="000000"/>
        </w:rPr>
        <w:t xml:space="preserve">. </w:t>
      </w:r>
    </w:p>
    <w:p w14:paraId="7D9DDC65" w14:textId="77777777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</w:p>
    <w:p w14:paraId="2C1D16B0" w14:textId="7EEF5F2A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  <w:r w:rsidRPr="00FD7B72">
        <w:rPr>
          <w:rFonts w:ascii="Arial" w:hAnsi="Arial" w:cs="Arial"/>
          <w:color w:val="000000"/>
        </w:rPr>
        <w:t>Podmínky řízení o</w:t>
      </w:r>
      <w:r w:rsidR="00902EF1" w:rsidRPr="00FD7B72">
        <w:rPr>
          <w:rFonts w:ascii="Arial" w:hAnsi="Arial" w:cs="Arial"/>
          <w:color w:val="000000"/>
        </w:rPr>
        <w:t xml:space="preserve"> transferu ex-post</w:t>
      </w:r>
      <w:r w:rsidRPr="00FD7B72">
        <w:rPr>
          <w:rFonts w:ascii="Arial" w:hAnsi="Arial" w:cs="Arial"/>
          <w:color w:val="000000"/>
        </w:rPr>
        <w:t xml:space="preserve"> </w:t>
      </w:r>
      <w:r w:rsidR="00902EF1" w:rsidRPr="00FD7B72">
        <w:rPr>
          <w:rFonts w:ascii="Arial" w:hAnsi="Arial" w:cs="Arial"/>
          <w:color w:val="000000"/>
        </w:rPr>
        <w:t>(</w:t>
      </w:r>
      <w:r w:rsidRPr="00FD7B72">
        <w:rPr>
          <w:rFonts w:ascii="Arial" w:hAnsi="Arial" w:cs="Arial"/>
          <w:color w:val="000000"/>
        </w:rPr>
        <w:t>doplatcích</w:t>
      </w:r>
      <w:r w:rsidR="00902EF1" w:rsidRPr="00FD7B72">
        <w:rPr>
          <w:rFonts w:ascii="Arial" w:hAnsi="Arial" w:cs="Arial"/>
          <w:color w:val="000000"/>
        </w:rPr>
        <w:t>)</w:t>
      </w:r>
      <w:r w:rsidR="001539A2" w:rsidRPr="00FD7B72">
        <w:rPr>
          <w:rFonts w:ascii="Arial" w:hAnsi="Arial" w:cs="Arial"/>
          <w:color w:val="000000"/>
        </w:rPr>
        <w:t xml:space="preserve"> na výkon SPOD </w:t>
      </w:r>
      <w:r w:rsidR="00902EF1" w:rsidRPr="00FD7B72">
        <w:rPr>
          <w:rFonts w:ascii="Arial" w:hAnsi="Arial" w:cs="Arial"/>
          <w:color w:val="000000"/>
        </w:rPr>
        <w:t>jsou součástí</w:t>
      </w:r>
      <w:r w:rsidRPr="00FD7B72">
        <w:rPr>
          <w:rFonts w:ascii="Arial" w:hAnsi="Arial" w:cs="Arial"/>
          <w:color w:val="000000"/>
        </w:rPr>
        <w:t xml:space="preserve"> </w:t>
      </w:r>
      <w:r w:rsidR="00F70F5F" w:rsidRPr="00FD7B72">
        <w:rPr>
          <w:rFonts w:ascii="Arial" w:hAnsi="Arial" w:cs="Arial"/>
          <w:color w:val="000000"/>
        </w:rPr>
        <w:t xml:space="preserve">dokumentu o </w:t>
      </w:r>
      <w:r w:rsidR="00162BB3" w:rsidRPr="00FD7B72">
        <w:rPr>
          <w:rFonts w:ascii="Arial" w:hAnsi="Arial" w:cs="Arial"/>
          <w:color w:val="000000"/>
        </w:rPr>
        <w:t>obecn</w:t>
      </w:r>
      <w:r w:rsidR="00F70F5F" w:rsidRPr="00FD7B72">
        <w:rPr>
          <w:rFonts w:ascii="Arial" w:hAnsi="Arial" w:cs="Arial"/>
          <w:color w:val="000000"/>
        </w:rPr>
        <w:t>ých</w:t>
      </w:r>
      <w:r w:rsidR="00162BB3" w:rsidRPr="00FD7B72">
        <w:rPr>
          <w:rFonts w:ascii="Arial" w:hAnsi="Arial" w:cs="Arial"/>
          <w:color w:val="000000"/>
        </w:rPr>
        <w:t xml:space="preserve"> podmínek řízení o transferu na webu MPSV. Obce mohou v termínu do 20. února požádat o transfer ex-post za předchozí rok.</w:t>
      </w:r>
    </w:p>
    <w:p w14:paraId="72FC2B7C" w14:textId="77777777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</w:p>
    <w:p w14:paraId="4F1D342C" w14:textId="4505046F" w:rsidR="00DF62B2" w:rsidRPr="00FD7B72" w:rsidRDefault="00DF62B2" w:rsidP="00FD7B72">
      <w:pPr>
        <w:tabs>
          <w:tab w:val="left" w:pos="-720"/>
        </w:tabs>
        <w:suppressAutoHyphens/>
        <w:spacing w:line="288" w:lineRule="auto"/>
        <w:jc w:val="both"/>
        <w:outlineLvl w:val="0"/>
        <w:rPr>
          <w:spacing w:val="-3"/>
          <w:szCs w:val="24"/>
        </w:rPr>
      </w:pPr>
      <w:r w:rsidRPr="00FD7B72">
        <w:rPr>
          <w:spacing w:val="-3"/>
          <w:szCs w:val="24"/>
        </w:rPr>
        <w:t xml:space="preserve">MPSV je jako poskytovatel veřejných prostředků povinno, zejména před vyplacením požadovaných prostředků ex-post, zabývat se důkladně žádostmi o doplatek a vykázanými výdaji, které mají přiznané prostředky pokrývat. Prostředky v rámci doplatků nelze přiznávat automaticky bez podrobného zhodnocení účelu jejich vynaložení, efektivnosti a hospodárnosti, a to s sebou nese kromě administrativních úkonů také podrobné hodnocení celkového ročního čerpání prostředků </w:t>
      </w:r>
      <w:r w:rsidR="00162BB3" w:rsidRPr="00FD7B72">
        <w:rPr>
          <w:spacing w:val="-3"/>
          <w:szCs w:val="24"/>
        </w:rPr>
        <w:t>transferu</w:t>
      </w:r>
      <w:r w:rsidRPr="00FD7B72">
        <w:rPr>
          <w:spacing w:val="-3"/>
          <w:szCs w:val="24"/>
        </w:rPr>
        <w:t xml:space="preserve">. Teprve na základě podrobného vyhodnocení je ze strany MPSV rozhodováno o přiznání </w:t>
      </w:r>
      <w:r w:rsidR="00162BB3" w:rsidRPr="00FD7B72">
        <w:rPr>
          <w:spacing w:val="-3"/>
          <w:szCs w:val="24"/>
        </w:rPr>
        <w:t>ex-post</w:t>
      </w:r>
      <w:r w:rsidRPr="00FD7B72">
        <w:rPr>
          <w:spacing w:val="-3"/>
          <w:szCs w:val="24"/>
        </w:rPr>
        <w:t xml:space="preserve"> </w:t>
      </w:r>
      <w:r w:rsidR="00162BB3" w:rsidRPr="00FD7B72">
        <w:rPr>
          <w:spacing w:val="-3"/>
          <w:szCs w:val="24"/>
        </w:rPr>
        <w:t>transferu</w:t>
      </w:r>
      <w:r w:rsidRPr="00FD7B72">
        <w:rPr>
          <w:spacing w:val="-3"/>
          <w:szCs w:val="24"/>
        </w:rPr>
        <w:t xml:space="preserve">, jeho částečném přiznání nebo nepřiznání. V případě osobních výdajů se často jedná také o nutnost prověření uznatelnosti výdajů z hlediska plnění standardů kvality SPO pracovníků přímo vykonávajících agendu SPOD, na které je </w:t>
      </w:r>
      <w:r w:rsidR="00162BB3" w:rsidRPr="00FD7B72">
        <w:rPr>
          <w:spacing w:val="-3"/>
          <w:szCs w:val="24"/>
        </w:rPr>
        <w:t>transfer</w:t>
      </w:r>
      <w:r w:rsidRPr="00FD7B72">
        <w:rPr>
          <w:spacing w:val="-3"/>
          <w:szCs w:val="24"/>
        </w:rPr>
        <w:t xml:space="preserve"> požadována, a podrobné hodnocení přiměřenosti přiznávaných mimotarifních složek platu. Vzhledem k tomu, že žádosti o </w:t>
      </w:r>
      <w:r w:rsidR="005A2809" w:rsidRPr="00FD7B72">
        <w:rPr>
          <w:spacing w:val="-3"/>
          <w:szCs w:val="24"/>
        </w:rPr>
        <w:t>ex-post transfer</w:t>
      </w:r>
      <w:r w:rsidRPr="00FD7B72">
        <w:rPr>
          <w:spacing w:val="-3"/>
          <w:szCs w:val="24"/>
        </w:rPr>
        <w:t xml:space="preserve"> jsou často velmi nekonkrétně odůvodněny a požadované přílohy bývají chybně vyplňovány, dožádání doplňujících podkladů tak představuje každoročně podstatnou část řízení. Je tedy nutné, aby žádosti o </w:t>
      </w:r>
      <w:r w:rsidR="005A2809" w:rsidRPr="00FD7B72">
        <w:rPr>
          <w:spacing w:val="-3"/>
          <w:szCs w:val="24"/>
        </w:rPr>
        <w:t>ex-post transfer</w:t>
      </w:r>
      <w:r w:rsidRPr="00FD7B72">
        <w:rPr>
          <w:spacing w:val="-3"/>
          <w:szCs w:val="24"/>
        </w:rPr>
        <w:t xml:space="preserve"> byly vždy řádně zdůvodněny a doloženy podklady, které nezpochybnitelně osvětlují zejména meziroční růsty výdajů v agendě SPOD (výpočty růstu platů apod.). </w:t>
      </w:r>
      <w:r w:rsidR="005A2809" w:rsidRPr="00FD7B72">
        <w:rPr>
          <w:b/>
          <w:bCs/>
          <w:spacing w:val="-3"/>
          <w:szCs w:val="24"/>
        </w:rPr>
        <w:t>Na závěr si dovolujeme upozornit, že na některé výdaje nelze žádat o ex-post transfer</w:t>
      </w:r>
      <w:r w:rsidR="00FD7B72" w:rsidRPr="00FD7B72">
        <w:rPr>
          <w:b/>
          <w:bCs/>
          <w:spacing w:val="-3"/>
          <w:szCs w:val="24"/>
        </w:rPr>
        <w:t xml:space="preserve"> </w:t>
      </w:r>
      <w:r w:rsidR="00FD7B72" w:rsidRPr="00FD7B72">
        <w:rPr>
          <w:spacing w:val="-3"/>
          <w:szCs w:val="24"/>
        </w:rPr>
        <w:t>(v</w:t>
      </w:r>
      <w:r w:rsidR="005A2809" w:rsidRPr="00FD7B72">
        <w:rPr>
          <w:spacing w:val="-3"/>
          <w:szCs w:val="24"/>
        </w:rPr>
        <w:t>iz Metodika MPSV</w:t>
      </w:r>
      <w:r w:rsidR="00FD7B72" w:rsidRPr="00FD7B72">
        <w:rPr>
          <w:spacing w:val="-3"/>
          <w:szCs w:val="24"/>
        </w:rPr>
        <w:t>)</w:t>
      </w:r>
      <w:r w:rsidR="005A2809" w:rsidRPr="00FD7B72">
        <w:rPr>
          <w:spacing w:val="-3"/>
          <w:szCs w:val="24"/>
        </w:rPr>
        <w:t>.</w:t>
      </w:r>
    </w:p>
    <w:p w14:paraId="2E676D34" w14:textId="77777777" w:rsidR="00DF62B2" w:rsidRPr="00FD7B72" w:rsidRDefault="00DF62B2" w:rsidP="00FD7B72">
      <w:pPr>
        <w:pStyle w:val="Normlnweb"/>
        <w:spacing w:line="288" w:lineRule="auto"/>
        <w:jc w:val="both"/>
        <w:rPr>
          <w:rFonts w:ascii="Arial" w:hAnsi="Arial" w:cs="Arial"/>
          <w:color w:val="000000"/>
        </w:rPr>
      </w:pPr>
    </w:p>
    <w:p w14:paraId="50D528F9" w14:textId="4D7AC633" w:rsidR="00DF62B2" w:rsidRPr="00FD7B72" w:rsidRDefault="00DF62B2" w:rsidP="00FD7B72">
      <w:pPr>
        <w:tabs>
          <w:tab w:val="left" w:pos="-720"/>
        </w:tabs>
        <w:spacing w:line="288" w:lineRule="auto"/>
        <w:jc w:val="both"/>
        <w:outlineLvl w:val="0"/>
        <w:rPr>
          <w:spacing w:val="-3"/>
          <w:szCs w:val="24"/>
        </w:rPr>
      </w:pPr>
      <w:r w:rsidRPr="00FD7B72">
        <w:rPr>
          <w:b/>
          <w:color w:val="00000A"/>
          <w:spacing w:val="-3"/>
          <w:szCs w:val="24"/>
        </w:rPr>
        <w:t xml:space="preserve">Žádáme </w:t>
      </w:r>
      <w:r w:rsidRPr="00FD7B72">
        <w:rPr>
          <w:b/>
          <w:spacing w:val="-3"/>
          <w:szCs w:val="24"/>
        </w:rPr>
        <w:t xml:space="preserve">o předání tohoto informačního materiálu </w:t>
      </w:r>
      <w:r w:rsidR="005A2809" w:rsidRPr="00FD7B72">
        <w:rPr>
          <w:b/>
          <w:spacing w:val="-3"/>
          <w:szCs w:val="24"/>
        </w:rPr>
        <w:t xml:space="preserve">a Metodiky MSPV </w:t>
      </w:r>
      <w:r w:rsidRPr="00FD7B72">
        <w:rPr>
          <w:b/>
          <w:spacing w:val="-3"/>
          <w:szCs w:val="24"/>
        </w:rPr>
        <w:t xml:space="preserve">také finančním </w:t>
      </w:r>
      <w:r w:rsidR="005A2809" w:rsidRPr="00FD7B72">
        <w:rPr>
          <w:b/>
          <w:spacing w:val="-3"/>
          <w:szCs w:val="24"/>
        </w:rPr>
        <w:t xml:space="preserve">a personálním </w:t>
      </w:r>
      <w:r w:rsidRPr="00FD7B72">
        <w:rPr>
          <w:b/>
          <w:spacing w:val="-3"/>
          <w:szCs w:val="24"/>
        </w:rPr>
        <w:t>odborům</w:t>
      </w:r>
      <w:r w:rsidR="005A2809" w:rsidRPr="00FD7B72">
        <w:rPr>
          <w:b/>
          <w:spacing w:val="-3"/>
          <w:szCs w:val="24"/>
        </w:rPr>
        <w:t xml:space="preserve"> či jiným odpovědným pracovníkům na obcích</w:t>
      </w:r>
      <w:r w:rsidR="00A91513" w:rsidRPr="00FD7B72">
        <w:rPr>
          <w:b/>
          <w:spacing w:val="-3"/>
          <w:szCs w:val="24"/>
        </w:rPr>
        <w:t>.</w:t>
      </w:r>
    </w:p>
    <w:p w14:paraId="1C91C46E" w14:textId="77777777" w:rsidR="00DF62B2" w:rsidRPr="00FD7B72" w:rsidRDefault="00DF62B2" w:rsidP="00FD7B72">
      <w:pPr>
        <w:tabs>
          <w:tab w:val="left" w:pos="-720"/>
        </w:tabs>
        <w:spacing w:line="288" w:lineRule="auto"/>
        <w:jc w:val="both"/>
        <w:outlineLvl w:val="0"/>
        <w:rPr>
          <w:spacing w:val="-3"/>
          <w:szCs w:val="24"/>
        </w:rPr>
      </w:pPr>
    </w:p>
    <w:p w14:paraId="1F297FFD" w14:textId="7A12810B" w:rsidR="00DF62B2" w:rsidRPr="00FD7B72" w:rsidRDefault="00DF62B2" w:rsidP="00FD7B72">
      <w:pPr>
        <w:tabs>
          <w:tab w:val="left" w:pos="-720"/>
        </w:tabs>
        <w:spacing w:line="288" w:lineRule="auto"/>
        <w:jc w:val="both"/>
        <w:outlineLvl w:val="0"/>
        <w:rPr>
          <w:color w:val="00000A"/>
          <w:spacing w:val="-3"/>
          <w:szCs w:val="24"/>
        </w:rPr>
      </w:pPr>
      <w:r w:rsidRPr="00FD7B72">
        <w:rPr>
          <w:color w:val="00000A"/>
          <w:spacing w:val="-3"/>
          <w:szCs w:val="24"/>
        </w:rPr>
        <w:t>Vzhledem k charakteru příloh informačního materiálu budou veškeré podklady k </w:t>
      </w:r>
      <w:r w:rsidRPr="00FD7B72">
        <w:rPr>
          <w:spacing w:val="-3"/>
          <w:szCs w:val="24"/>
        </w:rPr>
        <w:t>vyúčtování dotace v editovatelné podobě k dispozici na internetových stránkách MPSV (</w:t>
      </w:r>
      <w:hyperlink r:id="rId9" w:history="1">
        <w:r w:rsidR="00E10B00" w:rsidRPr="00FD7B72">
          <w:rPr>
            <w:rStyle w:val="Hypertextovodkaz"/>
            <w:szCs w:val="24"/>
          </w:rPr>
          <w:t>https://www.mpsv.cz/web/cz/transfer-na-vykon-spod-od-roku-2022</w:t>
        </w:r>
      </w:hyperlink>
      <w:r w:rsidR="00E10B00" w:rsidRPr="00FD7B72">
        <w:rPr>
          <w:szCs w:val="24"/>
        </w:rPr>
        <w:t xml:space="preserve"> </w:t>
      </w:r>
      <w:r w:rsidRPr="00FD7B72">
        <w:rPr>
          <w:spacing w:val="-3"/>
          <w:szCs w:val="24"/>
        </w:rPr>
        <w:t>).</w:t>
      </w:r>
      <w:r w:rsidRPr="00FD7B72">
        <w:rPr>
          <w:color w:val="00000A"/>
          <w:spacing w:val="-3"/>
          <w:szCs w:val="24"/>
        </w:rPr>
        <w:t xml:space="preserve"> </w:t>
      </w:r>
    </w:p>
    <w:p w14:paraId="5B18E827" w14:textId="77777777" w:rsidR="00DF62B2" w:rsidRPr="00FD7B72" w:rsidRDefault="00DF62B2" w:rsidP="00DF62B2">
      <w:pPr>
        <w:pStyle w:val="Zkladntext2"/>
        <w:spacing w:line="276" w:lineRule="auto"/>
        <w:jc w:val="both"/>
        <w:rPr>
          <w:szCs w:val="24"/>
        </w:rPr>
      </w:pPr>
    </w:p>
    <w:p w14:paraId="777642C7" w14:textId="77777777" w:rsidR="00FD7B72" w:rsidRDefault="00FD7B72" w:rsidP="00DF62B2">
      <w:pPr>
        <w:pStyle w:val="Zkladntext2"/>
        <w:spacing w:line="276" w:lineRule="auto"/>
        <w:jc w:val="both"/>
        <w:rPr>
          <w:szCs w:val="24"/>
        </w:rPr>
      </w:pPr>
    </w:p>
    <w:p w14:paraId="2EFD83FC" w14:textId="77777777" w:rsidR="00FD7B72" w:rsidRDefault="00FD7B72" w:rsidP="00DF62B2">
      <w:pPr>
        <w:pStyle w:val="Zkladntext2"/>
        <w:spacing w:line="276" w:lineRule="auto"/>
        <w:jc w:val="both"/>
        <w:rPr>
          <w:szCs w:val="24"/>
        </w:rPr>
      </w:pPr>
    </w:p>
    <w:p w14:paraId="14C336D2" w14:textId="77777777" w:rsidR="005828B7" w:rsidRPr="00FD7B72" w:rsidRDefault="005828B7" w:rsidP="00DF62B2">
      <w:pPr>
        <w:pStyle w:val="Zhlav"/>
        <w:tabs>
          <w:tab w:val="center" w:pos="5670"/>
        </w:tabs>
        <w:rPr>
          <w:szCs w:val="24"/>
        </w:rPr>
      </w:pPr>
    </w:p>
    <w:p w14:paraId="4839D20C" w14:textId="77777777" w:rsidR="00FD7B72" w:rsidRDefault="00FD7B72" w:rsidP="00DF62B2">
      <w:pPr>
        <w:pStyle w:val="Zhlav"/>
        <w:tabs>
          <w:tab w:val="center" w:pos="5670"/>
        </w:tabs>
        <w:rPr>
          <w:szCs w:val="24"/>
          <w:u w:val="single"/>
        </w:rPr>
      </w:pPr>
    </w:p>
    <w:p w14:paraId="2EDC8D50" w14:textId="77777777" w:rsidR="00FD7B72" w:rsidRDefault="00FD7B72" w:rsidP="00DF62B2">
      <w:pPr>
        <w:pStyle w:val="Zhlav"/>
        <w:tabs>
          <w:tab w:val="center" w:pos="5670"/>
        </w:tabs>
        <w:rPr>
          <w:szCs w:val="24"/>
          <w:u w:val="single"/>
        </w:rPr>
      </w:pPr>
    </w:p>
    <w:p w14:paraId="74A76950" w14:textId="77777777" w:rsidR="00FD7B72" w:rsidRDefault="00FD7B72" w:rsidP="00DF62B2">
      <w:pPr>
        <w:pStyle w:val="Zhlav"/>
        <w:tabs>
          <w:tab w:val="center" w:pos="5670"/>
        </w:tabs>
        <w:rPr>
          <w:szCs w:val="24"/>
          <w:u w:val="single"/>
        </w:rPr>
      </w:pPr>
    </w:p>
    <w:p w14:paraId="2D3CB8A5" w14:textId="77777777" w:rsidR="00FD7B72" w:rsidRDefault="00FD7B72" w:rsidP="00DF62B2">
      <w:pPr>
        <w:pStyle w:val="Zhlav"/>
        <w:tabs>
          <w:tab w:val="center" w:pos="5670"/>
        </w:tabs>
        <w:rPr>
          <w:szCs w:val="24"/>
          <w:u w:val="single"/>
        </w:rPr>
      </w:pPr>
    </w:p>
    <w:p w14:paraId="4E324501" w14:textId="558011EE" w:rsidR="00DF62B2" w:rsidRPr="00FD7B72" w:rsidRDefault="00DF62B2" w:rsidP="00DF62B2">
      <w:pPr>
        <w:pStyle w:val="Zhlav"/>
        <w:tabs>
          <w:tab w:val="center" w:pos="5670"/>
        </w:tabs>
        <w:rPr>
          <w:szCs w:val="24"/>
          <w:u w:val="single"/>
        </w:rPr>
      </w:pPr>
      <w:r w:rsidRPr="00FD7B72">
        <w:rPr>
          <w:szCs w:val="24"/>
          <w:u w:val="single"/>
        </w:rPr>
        <w:t xml:space="preserve">Přílohy </w:t>
      </w:r>
    </w:p>
    <w:p w14:paraId="68504C5A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1a. Vyúčtování výdajů z transferu na výkon SPOD dle rozpočtových položek </w:t>
      </w:r>
    </w:p>
    <w:p w14:paraId="6B8E154C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1b. Přehled realizovaných výdajů podle druhu služby </w:t>
      </w:r>
    </w:p>
    <w:p w14:paraId="44D4076F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>Příloha vyúčtování č. 1c. Přehled školení a kurzů, kterých se zúčastnili pracovníci OSPOD, hrazených z transferu</w:t>
      </w:r>
    </w:p>
    <w:p w14:paraId="152E0CDC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i/>
          <w:iCs/>
          <w:szCs w:val="24"/>
        </w:rPr>
      </w:pPr>
      <w:r w:rsidRPr="00FD7B72">
        <w:rPr>
          <w:szCs w:val="24"/>
        </w:rPr>
        <w:t xml:space="preserve">Příloha vyúčtování č. 1d. Přehled realizovaných výdajů hrazených </w:t>
      </w:r>
      <w:r w:rsidRPr="00FD7B72">
        <w:rPr>
          <w:szCs w:val="24"/>
        </w:rPr>
        <w:br/>
        <w:t>z disponibilních prostředků z předchozích let (</w:t>
      </w:r>
      <w:r w:rsidRPr="00FD7B72">
        <w:rPr>
          <w:i/>
          <w:iCs/>
          <w:szCs w:val="24"/>
        </w:rPr>
        <w:t>za rok 2022 není potřeba vyplňovat</w:t>
      </w:r>
      <w:r w:rsidRPr="00FD7B72">
        <w:rPr>
          <w:szCs w:val="24"/>
        </w:rPr>
        <w:t>)</w:t>
      </w:r>
    </w:p>
    <w:p w14:paraId="22B01E1A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2a. Skutečná výše úvazků hrazených z transferu na výkon SPOD a státního příspěvku na výkon pěstounské péče </w:t>
      </w:r>
    </w:p>
    <w:p w14:paraId="597F9E8A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2b. Přehled pracovních pozic, platového zařazení </w:t>
      </w:r>
      <w:r w:rsidRPr="00FD7B72">
        <w:rPr>
          <w:szCs w:val="24"/>
        </w:rPr>
        <w:br/>
        <w:t xml:space="preserve">a platů pracovníků orgánu SPOD hrazených z transferu na výkon SPOD </w:t>
      </w:r>
    </w:p>
    <w:p w14:paraId="0FF1FED5" w14:textId="77777777" w:rsidR="00E10B00" w:rsidRPr="00FD7B72" w:rsidRDefault="00E10B00" w:rsidP="00E10B00">
      <w:pPr>
        <w:pStyle w:val="Zkladntext2"/>
        <w:numPr>
          <w:ilvl w:val="0"/>
          <w:numId w:val="9"/>
        </w:numPr>
        <w:suppressAutoHyphens/>
        <w:spacing w:line="276" w:lineRule="auto"/>
        <w:jc w:val="both"/>
        <w:rPr>
          <w:szCs w:val="24"/>
        </w:rPr>
      </w:pPr>
      <w:r w:rsidRPr="00FD7B72">
        <w:rPr>
          <w:szCs w:val="24"/>
        </w:rPr>
        <w:t xml:space="preserve">Příloha vyúčtování č. 2c. Přehled DPP a DPČ hrazených z transferu na výkon SPOD </w:t>
      </w:r>
    </w:p>
    <w:p w14:paraId="43FF5B0E" w14:textId="77777777" w:rsidR="007824ED" w:rsidRPr="00FD7B72" w:rsidRDefault="007824ED" w:rsidP="00DF62B2">
      <w:pPr>
        <w:rPr>
          <w:b/>
          <w:szCs w:val="24"/>
        </w:rPr>
      </w:pPr>
    </w:p>
    <w:p w14:paraId="2DC43F43" w14:textId="77777777" w:rsidR="00426F02" w:rsidRDefault="00426F02" w:rsidP="007824ED">
      <w:pPr>
        <w:pStyle w:val="Zhlav"/>
        <w:tabs>
          <w:tab w:val="clear" w:pos="4536"/>
          <w:tab w:val="clear" w:pos="9072"/>
          <w:tab w:val="center" w:pos="5670"/>
        </w:tabs>
        <w:ind w:firstLine="708"/>
        <w:rPr>
          <w:szCs w:val="24"/>
        </w:rPr>
      </w:pPr>
    </w:p>
    <w:p w14:paraId="27CA046F" w14:textId="77777777" w:rsidR="00426F02" w:rsidRDefault="00426F02" w:rsidP="007824ED">
      <w:pPr>
        <w:pStyle w:val="Zhlav"/>
        <w:tabs>
          <w:tab w:val="clear" w:pos="4536"/>
          <w:tab w:val="clear" w:pos="9072"/>
          <w:tab w:val="center" w:pos="5670"/>
        </w:tabs>
        <w:ind w:firstLine="708"/>
        <w:rPr>
          <w:szCs w:val="24"/>
        </w:rPr>
      </w:pPr>
    </w:p>
    <w:p w14:paraId="2E95288D" w14:textId="77777777" w:rsidR="00426F02" w:rsidRDefault="00426F02" w:rsidP="007824ED">
      <w:pPr>
        <w:pStyle w:val="Zhlav"/>
        <w:tabs>
          <w:tab w:val="clear" w:pos="4536"/>
          <w:tab w:val="clear" w:pos="9072"/>
          <w:tab w:val="center" w:pos="5670"/>
        </w:tabs>
        <w:ind w:firstLine="708"/>
        <w:rPr>
          <w:szCs w:val="24"/>
        </w:rPr>
      </w:pPr>
    </w:p>
    <w:p w14:paraId="087C4EF3" w14:textId="77777777" w:rsidR="00426F02" w:rsidRDefault="00426F02" w:rsidP="007824ED">
      <w:pPr>
        <w:pStyle w:val="Zhlav"/>
        <w:tabs>
          <w:tab w:val="clear" w:pos="4536"/>
          <w:tab w:val="clear" w:pos="9072"/>
          <w:tab w:val="center" w:pos="5670"/>
        </w:tabs>
        <w:ind w:firstLine="708"/>
        <w:rPr>
          <w:szCs w:val="24"/>
        </w:rPr>
      </w:pPr>
    </w:p>
    <w:p w14:paraId="64935EC2" w14:textId="77777777" w:rsidR="00426F0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</w:p>
    <w:p w14:paraId="1B1FC073" w14:textId="77777777" w:rsidR="00426F0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</w:p>
    <w:p w14:paraId="66291F3C" w14:textId="77777777" w:rsidR="00426F0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</w:p>
    <w:p w14:paraId="683556D1" w14:textId="77777777" w:rsidR="00426F0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</w:p>
    <w:p w14:paraId="694EC3D3" w14:textId="77777777" w:rsidR="00426F0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</w:p>
    <w:p w14:paraId="365506B9" w14:textId="615086C3" w:rsidR="007824ED" w:rsidRPr="00FD7B72" w:rsidRDefault="00426F02" w:rsidP="00426F02">
      <w:pPr>
        <w:pStyle w:val="Zhlav"/>
        <w:tabs>
          <w:tab w:val="clear" w:pos="4536"/>
          <w:tab w:val="clear" w:pos="9072"/>
          <w:tab w:val="center" w:pos="5670"/>
        </w:tabs>
        <w:rPr>
          <w:szCs w:val="24"/>
        </w:rPr>
      </w:pPr>
      <w:r>
        <w:rPr>
          <w:szCs w:val="24"/>
        </w:rPr>
        <w:t>Aktualizace k 2. 1. 2023</w:t>
      </w:r>
      <w:r w:rsidR="007824ED" w:rsidRPr="00FD7B72">
        <w:rPr>
          <w:szCs w:val="24"/>
        </w:rPr>
        <w:tab/>
      </w:r>
    </w:p>
    <w:sectPr w:rsidR="007824ED" w:rsidRPr="00FD7B72" w:rsidSect="00BB73AC">
      <w:footerReference w:type="default" r:id="rId10"/>
      <w:type w:val="continuous"/>
      <w:pgSz w:w="11906" w:h="16838" w:code="9"/>
      <w:pgMar w:top="426" w:right="851" w:bottom="1418" w:left="2041" w:header="709" w:footer="4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B4C" w14:textId="77777777" w:rsidR="00A111A2" w:rsidRDefault="00A111A2">
      <w:r>
        <w:separator/>
      </w:r>
    </w:p>
  </w:endnote>
  <w:endnote w:type="continuationSeparator" w:id="0">
    <w:p w14:paraId="6CBBDBFA" w14:textId="77777777" w:rsidR="00A111A2" w:rsidRDefault="00A1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48AE" w14:textId="77777777" w:rsidR="00934D59" w:rsidRDefault="00933BE3">
    <w:pPr>
      <w:autoSpaceDE w:val="0"/>
      <w:autoSpaceDN w:val="0"/>
      <w:adjustRightInd w:val="0"/>
      <w:rPr>
        <w:color w:val="808080"/>
        <w:sz w:val="20"/>
      </w:rPr>
    </w:pPr>
    <w:r>
      <w:rPr>
        <w:color w:val="808080"/>
        <w:sz w:val="20"/>
      </w:rPr>
      <w:t xml:space="preserve">Ministerstvo práce a </w:t>
    </w:r>
    <w:r w:rsidR="00790320">
      <w:rPr>
        <w:color w:val="808080"/>
        <w:sz w:val="20"/>
      </w:rPr>
      <w:t>sociálních věcí,</w:t>
    </w:r>
    <w:r w:rsidR="00934D59">
      <w:rPr>
        <w:color w:val="808080"/>
        <w:sz w:val="20"/>
      </w:rPr>
      <w:t xml:space="preserve"> Na Poříčním právu 1, Praha 2, 128 01</w:t>
    </w:r>
  </w:p>
  <w:p w14:paraId="4DF41EA4" w14:textId="77777777" w:rsidR="002E7759" w:rsidRDefault="00934D59">
    <w:pPr>
      <w:autoSpaceDE w:val="0"/>
      <w:autoSpaceDN w:val="0"/>
      <w:adjustRightInd w:val="0"/>
      <w:rPr>
        <w:color w:val="808080"/>
        <w:sz w:val="20"/>
      </w:rPr>
    </w:pPr>
    <w:r>
      <w:rPr>
        <w:color w:val="808080"/>
        <w:sz w:val="20"/>
      </w:rPr>
      <w:t>O</w:t>
    </w:r>
    <w:r w:rsidR="00B168C7">
      <w:rPr>
        <w:color w:val="808080"/>
        <w:sz w:val="20"/>
      </w:rPr>
      <w:t xml:space="preserve">dbor </w:t>
    </w:r>
    <w:r w:rsidR="00E023A0">
      <w:rPr>
        <w:color w:val="808080"/>
        <w:sz w:val="20"/>
      </w:rPr>
      <w:t xml:space="preserve">rodinné politiky a </w:t>
    </w:r>
    <w:r w:rsidR="00B168C7">
      <w:rPr>
        <w:color w:val="808080"/>
        <w:sz w:val="20"/>
      </w:rPr>
      <w:t>ochrany práv dětí</w:t>
    </w:r>
  </w:p>
  <w:p w14:paraId="294854D8" w14:textId="77777777" w:rsidR="00933BE3" w:rsidRPr="00BB73AC" w:rsidRDefault="00933BE3" w:rsidP="00BB73AC">
    <w:pPr>
      <w:autoSpaceDE w:val="0"/>
      <w:autoSpaceDN w:val="0"/>
      <w:adjustRightInd w:val="0"/>
      <w:rPr>
        <w:color w:val="808080"/>
        <w:sz w:val="20"/>
      </w:rPr>
    </w:pPr>
    <w:r>
      <w:rPr>
        <w:color w:val="808080"/>
        <w:sz w:val="20"/>
      </w:rPr>
      <w:t>tel.: + 420</w:t>
    </w:r>
    <w:r w:rsidR="00D021C3">
      <w:rPr>
        <w:color w:val="808080"/>
        <w:sz w:val="20"/>
      </w:rPr>
      <w:t> </w:t>
    </w:r>
    <w:r>
      <w:rPr>
        <w:color w:val="808080"/>
        <w:sz w:val="20"/>
      </w:rPr>
      <w:t>221</w:t>
    </w:r>
    <w:r w:rsidR="000009E4">
      <w:rPr>
        <w:color w:val="808080"/>
        <w:sz w:val="20"/>
      </w:rPr>
      <w:t> </w:t>
    </w:r>
    <w:r>
      <w:rPr>
        <w:color w:val="808080"/>
        <w:sz w:val="20"/>
      </w:rPr>
      <w:t>92</w:t>
    </w:r>
    <w:r w:rsidR="000009E4">
      <w:rPr>
        <w:color w:val="808080"/>
        <w:sz w:val="20"/>
      </w:rPr>
      <w:t>1 111</w:t>
    </w:r>
    <w:r>
      <w:rPr>
        <w:color w:val="808080"/>
        <w:sz w:val="20"/>
      </w:rPr>
      <w:t>;</w:t>
    </w:r>
    <w:r w:rsidR="002E7759">
      <w:rPr>
        <w:color w:val="808080"/>
        <w:sz w:val="20"/>
      </w:rPr>
      <w:t xml:space="preserve"> www.mpsv.cz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652244"/>
      <w:docPartObj>
        <w:docPartGallery w:val="Page Numbers (Bottom of Page)"/>
        <w:docPartUnique/>
      </w:docPartObj>
    </w:sdtPr>
    <w:sdtEndPr/>
    <w:sdtContent>
      <w:p w14:paraId="34CB60A1" w14:textId="77777777" w:rsidR="00BB73AC" w:rsidRDefault="00BB73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A0">
          <w:rPr>
            <w:noProof/>
          </w:rPr>
          <w:t>2</w:t>
        </w:r>
        <w:r>
          <w:fldChar w:fldCharType="end"/>
        </w:r>
      </w:p>
    </w:sdtContent>
  </w:sdt>
  <w:p w14:paraId="7946DFB8" w14:textId="77777777" w:rsidR="00BB73AC" w:rsidRDefault="00BB73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7A48" w14:textId="77777777" w:rsidR="00A111A2" w:rsidRDefault="00A111A2">
      <w:r>
        <w:separator/>
      </w:r>
    </w:p>
  </w:footnote>
  <w:footnote w:type="continuationSeparator" w:id="0">
    <w:p w14:paraId="1B65ED52" w14:textId="77777777" w:rsidR="00A111A2" w:rsidRDefault="00A1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CB2E" w14:textId="77777777" w:rsidR="00933BE3" w:rsidRDefault="002E7759">
    <w:pPr>
      <w:pStyle w:val="Zhlav"/>
      <w:jc w:val="center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7728" behindDoc="0" locked="1" layoutInCell="1" allowOverlap="1" wp14:anchorId="5FD96D94" wp14:editId="334DBF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8205" cy="10858500"/>
          <wp:effectExtent l="0" t="0" r="0" b="0"/>
          <wp:wrapNone/>
          <wp:docPr id="32" name="obrázek 5" descr="pru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u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395"/>
    <w:multiLevelType w:val="singleLevel"/>
    <w:tmpl w:val="D960E574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abstractNum w:abstractNumId="1" w15:restartNumberingAfterBreak="0">
    <w:nsid w:val="123E7548"/>
    <w:multiLevelType w:val="hybridMultilevel"/>
    <w:tmpl w:val="C9E88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5DF1"/>
    <w:multiLevelType w:val="hybridMultilevel"/>
    <w:tmpl w:val="9EC6A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6A5D"/>
    <w:multiLevelType w:val="hybridMultilevel"/>
    <w:tmpl w:val="C596C0A6"/>
    <w:lvl w:ilvl="0" w:tplc="18DCF9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82F"/>
    <w:multiLevelType w:val="multilevel"/>
    <w:tmpl w:val="59F47562"/>
    <w:lvl w:ilvl="0">
      <w:start w:val="13"/>
      <w:numFmt w:val="bullet"/>
      <w:lvlText w:val="-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C94D22"/>
    <w:multiLevelType w:val="hybridMultilevel"/>
    <w:tmpl w:val="C9E88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27367"/>
    <w:multiLevelType w:val="hybridMultilevel"/>
    <w:tmpl w:val="357E8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6293"/>
    <w:multiLevelType w:val="hybridMultilevel"/>
    <w:tmpl w:val="C9E88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1E6"/>
    <w:multiLevelType w:val="hybridMultilevel"/>
    <w:tmpl w:val="72FA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3B"/>
    <w:rsid w:val="000009E4"/>
    <w:rsid w:val="000B1BB7"/>
    <w:rsid w:val="00102BAE"/>
    <w:rsid w:val="0012322B"/>
    <w:rsid w:val="0014222A"/>
    <w:rsid w:val="001539A2"/>
    <w:rsid w:val="00162BB3"/>
    <w:rsid w:val="001736B7"/>
    <w:rsid w:val="001E41C4"/>
    <w:rsid w:val="00203C46"/>
    <w:rsid w:val="00204672"/>
    <w:rsid w:val="00213631"/>
    <w:rsid w:val="00275A27"/>
    <w:rsid w:val="00283953"/>
    <w:rsid w:val="00291DD0"/>
    <w:rsid w:val="002B7FB2"/>
    <w:rsid w:val="002C7584"/>
    <w:rsid w:val="002E7759"/>
    <w:rsid w:val="003C41EA"/>
    <w:rsid w:val="003C642C"/>
    <w:rsid w:val="003D5CA4"/>
    <w:rsid w:val="003D6F57"/>
    <w:rsid w:val="003E667B"/>
    <w:rsid w:val="004066F9"/>
    <w:rsid w:val="00422265"/>
    <w:rsid w:val="004258DD"/>
    <w:rsid w:val="00426F02"/>
    <w:rsid w:val="004A159D"/>
    <w:rsid w:val="004A1F3B"/>
    <w:rsid w:val="004B55D3"/>
    <w:rsid w:val="00562988"/>
    <w:rsid w:val="005828B7"/>
    <w:rsid w:val="005A2809"/>
    <w:rsid w:val="005A3DA2"/>
    <w:rsid w:val="005D27C8"/>
    <w:rsid w:val="00614F2B"/>
    <w:rsid w:val="006A0064"/>
    <w:rsid w:val="006D3167"/>
    <w:rsid w:val="006E6755"/>
    <w:rsid w:val="006E69EE"/>
    <w:rsid w:val="0072539C"/>
    <w:rsid w:val="00743C68"/>
    <w:rsid w:val="007824ED"/>
    <w:rsid w:val="00790320"/>
    <w:rsid w:val="007D458C"/>
    <w:rsid w:val="007D47A9"/>
    <w:rsid w:val="00816C38"/>
    <w:rsid w:val="00853195"/>
    <w:rsid w:val="008736E3"/>
    <w:rsid w:val="0087450A"/>
    <w:rsid w:val="008A0F72"/>
    <w:rsid w:val="008C726D"/>
    <w:rsid w:val="00902EF1"/>
    <w:rsid w:val="00903827"/>
    <w:rsid w:val="00933BE3"/>
    <w:rsid w:val="00934D59"/>
    <w:rsid w:val="00934E39"/>
    <w:rsid w:val="00992877"/>
    <w:rsid w:val="009F00C8"/>
    <w:rsid w:val="00A111A2"/>
    <w:rsid w:val="00A148AE"/>
    <w:rsid w:val="00A26780"/>
    <w:rsid w:val="00A34247"/>
    <w:rsid w:val="00A6564C"/>
    <w:rsid w:val="00A83EB0"/>
    <w:rsid w:val="00A91513"/>
    <w:rsid w:val="00AC68C7"/>
    <w:rsid w:val="00B168C7"/>
    <w:rsid w:val="00B45B65"/>
    <w:rsid w:val="00B67A2D"/>
    <w:rsid w:val="00BA6304"/>
    <w:rsid w:val="00BB73AC"/>
    <w:rsid w:val="00BD669E"/>
    <w:rsid w:val="00C426E0"/>
    <w:rsid w:val="00C819B4"/>
    <w:rsid w:val="00CF1DB4"/>
    <w:rsid w:val="00D021C3"/>
    <w:rsid w:val="00D4431D"/>
    <w:rsid w:val="00DF05AE"/>
    <w:rsid w:val="00DF62B2"/>
    <w:rsid w:val="00E00970"/>
    <w:rsid w:val="00E023A0"/>
    <w:rsid w:val="00E10B00"/>
    <w:rsid w:val="00E139B3"/>
    <w:rsid w:val="00EC37CB"/>
    <w:rsid w:val="00F01693"/>
    <w:rsid w:val="00F345B2"/>
    <w:rsid w:val="00F70F5F"/>
    <w:rsid w:val="00F72701"/>
    <w:rsid w:val="00FB501F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DE544F"/>
  <w15:docId w15:val="{1189B618-DF86-43F5-B6A1-8DA4D200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u w:val="single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rPr>
      <w:sz w:val="22"/>
    </w:rPr>
  </w:style>
  <w:style w:type="paragraph" w:styleId="Zkladntext2">
    <w:name w:val="Body Text 2"/>
    <w:basedOn w:val="Normln"/>
    <w:link w:val="Zkladntext2Char"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B73AC"/>
    <w:rPr>
      <w:rFonts w:ascii="Arial" w:hAnsi="Arial" w:cs="Arial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DF62B2"/>
    <w:pPr>
      <w:suppressAutoHyphens/>
      <w:ind w:left="720"/>
      <w:contextualSpacing/>
    </w:pPr>
    <w:rPr>
      <w:color w:val="00000A"/>
    </w:rPr>
  </w:style>
  <w:style w:type="paragraph" w:styleId="Normlnweb">
    <w:name w:val="Normal (Web)"/>
    <w:basedOn w:val="Normln"/>
    <w:uiPriority w:val="99"/>
    <w:unhideWhenUsed/>
    <w:rsid w:val="00DF62B2"/>
    <w:rPr>
      <w:rFonts w:ascii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CF1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1DB4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824ED"/>
    <w:rPr>
      <w:rFonts w:ascii="Arial" w:hAnsi="Arial" w:cs="Arial"/>
      <w:sz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D47A9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E10B00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mpsv.cz/web/cz/transfer-na-vykon-spod-od-roku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1490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Vokálová Sára (MPSV)</dc:creator>
  <cp:lastModifiedBy>Kainarová Zdenka Ing. (MPSV)</cp:lastModifiedBy>
  <cp:revision>16</cp:revision>
  <cp:lastPrinted>2019-12-19T09:12:00Z</cp:lastPrinted>
  <dcterms:created xsi:type="dcterms:W3CDTF">2020-12-18T07:57:00Z</dcterms:created>
  <dcterms:modified xsi:type="dcterms:W3CDTF">2023-01-02T14:24:00Z</dcterms:modified>
</cp:coreProperties>
</file>