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7567" w14:textId="77777777" w:rsidR="00F703CA" w:rsidRPr="00F703CA" w:rsidRDefault="00F703CA" w:rsidP="00F703CA">
      <w:pPr>
        <w:keepNext/>
        <w:spacing w:before="240" w:after="60" w:line="240" w:lineRule="auto"/>
        <w:jc w:val="center"/>
        <w:outlineLvl w:val="2"/>
        <w:rPr>
          <w:rFonts w:ascii="Tahoma" w:eastAsia="Times New Roman" w:hAnsi="Tahoma" w:cs="Tahoma"/>
          <w:b/>
          <w:bCs/>
          <w:kern w:val="0"/>
          <w:sz w:val="20"/>
          <w:szCs w:val="26"/>
          <w:lang w:val="x-none" w:eastAsia="x-none"/>
          <w14:ligatures w14:val="none"/>
        </w:rPr>
      </w:pPr>
    </w:p>
    <w:p w14:paraId="2D07DB7E" w14:textId="77777777" w:rsidR="00F703CA" w:rsidRPr="00B3127B" w:rsidRDefault="00F703CA" w:rsidP="00F703CA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ČESTNÉ PROHLÁŠENÍ</w:t>
      </w:r>
    </w:p>
    <w:p w14:paraId="217C39E8" w14:textId="77777777" w:rsidR="00F703CA" w:rsidRPr="00B3127B" w:rsidRDefault="00F703CA" w:rsidP="00F703CA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35C6378C" w14:textId="77777777" w:rsidR="00F703CA" w:rsidRPr="00B3127B" w:rsidRDefault="00F703CA" w:rsidP="00F703CA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žadatele o podporu v režimu de </w:t>
      </w:r>
      <w:proofErr w:type="gramStart"/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minimis - k</w:t>
      </w:r>
      <w:proofErr w:type="gramEnd"/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 žádosti o prominutí penále</w:t>
      </w:r>
    </w:p>
    <w:p w14:paraId="104DCD87" w14:textId="77777777" w:rsidR="00F703CA" w:rsidRPr="00B3127B" w:rsidRDefault="00F703CA" w:rsidP="00F703CA">
      <w:pPr>
        <w:tabs>
          <w:tab w:val="left" w:pos="2160"/>
        </w:tabs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ab/>
      </w:r>
    </w:p>
    <w:p w14:paraId="13D27B74" w14:textId="77777777" w:rsidR="00F703CA" w:rsidRPr="00B3127B" w:rsidRDefault="00F703CA" w:rsidP="00F703CA">
      <w:pPr>
        <w:spacing w:after="0" w:line="36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Označení žadatele (Obchodní jméno / Jméno a příjmení </w:t>
      </w:r>
      <w:proofErr w:type="gramStart"/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žadatele - OSVČ</w:t>
      </w:r>
      <w:proofErr w:type="gramEnd"/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):</w:t>
      </w:r>
    </w:p>
    <w:p w14:paraId="0CD6C897" w14:textId="77777777" w:rsidR="00F703CA" w:rsidRPr="00B3127B" w:rsidRDefault="00F703CA" w:rsidP="00F703CA">
      <w:pPr>
        <w:spacing w:after="0" w:line="36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………………………………………………………………………………………………………………………………………………….</w:t>
      </w:r>
    </w:p>
    <w:p w14:paraId="26DA0C38" w14:textId="77777777" w:rsidR="00F703CA" w:rsidRPr="00B3127B" w:rsidRDefault="00F703CA" w:rsidP="00F703CA">
      <w:pPr>
        <w:spacing w:after="0" w:line="36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Sídlo / Adresa žadatele: 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</w:t>
      </w:r>
    </w:p>
    <w:p w14:paraId="16137F23" w14:textId="77777777" w:rsidR="00F703CA" w:rsidRPr="00B3127B" w:rsidRDefault="00F703CA" w:rsidP="00F703CA">
      <w:pPr>
        <w:spacing w:after="0" w:line="36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IČO / datum narození: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…………………………………………… </w:t>
      </w: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VS: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……………………………………………………</w:t>
      </w:r>
    </w:p>
    <w:p w14:paraId="05011D70" w14:textId="77777777" w:rsidR="00F703CA" w:rsidRPr="00B3127B" w:rsidRDefault="00F703CA" w:rsidP="00F703CA">
      <w:pPr>
        <w:spacing w:after="0" w:line="36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Statutární orgán: 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…………………………………………………………………………………………………………………….</w:t>
      </w:r>
    </w:p>
    <w:p w14:paraId="16D2FC40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3723DD52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V souvislosti se žádostí o prominutí penále z důvodu odstranění tvrdosti zákona ve smyslu ustanovení § 104ch zákona č. 582/1991 Sb., o organizaci a provádění sociálního zabezpečení, ve znění pozdějších předpisů (dále jen „zákon č. 582/1991“), podle vyhlášky MPSV č. 161/1998 Sb., o promíjení penále správami sociálního zabezpečení, ve znění pozdějších předpisů (dále jen „vyhláška č. 161/1998“) a na základě nařízení Komise (EU) 2023/2831 o použití článků 107 a 108 Smlouvy o fungování EU na podporu de minimis [dále jen „nařízení Komise (EU) 2023/2831“ ], nařízením Komise (EU) č. 1408/2013 ve znění nařízení Komise (EU) 2019/316, 2022/2046 a 2023/2391 o použití článků 107 a 108 Smlouvy o fungování EU na podporu de minimis v odvětví zemědělství [dále jen „nařízení Komise (EU) č. 1408/2013“] a nařízení Komise (EU) č. 717/2014, ve znění nařízení Komise (EU) 2020/2008, 2022/2514 a 2023/2391 o použití článků 107 a 108 Smlouvy o fungování EU na podporu de minimis v odvětví rybolovu a akvakultury [dále jen „nařízení Komise (EU) č. 717/2014“ ] tímto výše uvedený žadatel prohlašuje, že:</w:t>
      </w:r>
    </w:p>
    <w:p w14:paraId="75EE63DC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5579DD4A" w14:textId="77777777" w:rsidR="00F703CA" w:rsidRPr="00B3127B" w:rsidRDefault="00F703CA" w:rsidP="00F703CA">
      <w:pPr>
        <w:tabs>
          <w:tab w:val="left" w:pos="2835"/>
        </w:tabs>
        <w:spacing w:after="0" w:line="240" w:lineRule="auto"/>
        <w:ind w:left="2124" w:firstLine="708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3F2B4F27" w14:textId="77777777" w:rsidR="00F703CA" w:rsidRPr="00B3127B" w:rsidRDefault="00F703CA" w:rsidP="00F703CA">
      <w:pPr>
        <w:tabs>
          <w:tab w:val="left" w:pos="2268"/>
        </w:tabs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proofErr w:type="gramStart"/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podniká - nepodniká</w:t>
      </w:r>
      <w:proofErr w:type="gramEnd"/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 *)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Pr="00B3127B"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  <w:t xml:space="preserve">v odvětví </w:t>
      </w:r>
      <w:r w:rsidRPr="00B3127B">
        <w:rPr>
          <w:rFonts w:ascii="Tahoma" w:eastAsia="Calibri" w:hAnsi="Tahoma" w:cs="Tahoma"/>
          <w:b/>
          <w:kern w:val="0"/>
          <w:sz w:val="20"/>
          <w:szCs w:val="20"/>
          <w:u w:val="single"/>
          <w14:ligatures w14:val="none"/>
        </w:rPr>
        <w:t>prvovýroby</w:t>
      </w:r>
      <w:r w:rsidRPr="00B3127B"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  <w:t xml:space="preserve"> zemědělských produktů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uvedených v nařízení</w:t>
      </w:r>
    </w:p>
    <w:p w14:paraId="7B885AE3" w14:textId="77777777" w:rsidR="00F703CA" w:rsidRPr="00B3127B" w:rsidRDefault="00F703CA" w:rsidP="00F703CA">
      <w:pPr>
        <w:tabs>
          <w:tab w:val="left" w:pos="2410"/>
        </w:tabs>
        <w:spacing w:after="0" w:line="240" w:lineRule="auto"/>
        <w:ind w:left="212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ab/>
        <w:t>Komise (EU) č. 1408/2013 (viz poučení k čestnému prohlášení)</w:t>
      </w:r>
    </w:p>
    <w:p w14:paraId="3913C0DC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45DA7E48" w14:textId="77777777" w:rsidR="00F703CA" w:rsidRPr="00B3127B" w:rsidRDefault="00F703CA" w:rsidP="00F703CA">
      <w:pPr>
        <w:tabs>
          <w:tab w:val="left" w:pos="2410"/>
        </w:tabs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proofErr w:type="gramStart"/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podniká - nepodniká</w:t>
      </w:r>
      <w:proofErr w:type="gramEnd"/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 *) </w:t>
      </w:r>
      <w:r w:rsidRPr="00B3127B"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  <w:t>v odvětví rybolovu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Pr="00B3127B"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  <w:t>a akvakultury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– nařízení Komise (EU) č. 717/2014</w:t>
      </w:r>
    </w:p>
    <w:p w14:paraId="6A2B5922" w14:textId="77777777" w:rsidR="00F703CA" w:rsidRPr="00B3127B" w:rsidRDefault="00F703CA" w:rsidP="00F703CA">
      <w:pPr>
        <w:spacing w:after="0" w:line="240" w:lineRule="auto"/>
        <w:ind w:left="2410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(viz poučení k čestnému prohlášení)</w:t>
      </w:r>
    </w:p>
    <w:p w14:paraId="1C076A69" w14:textId="77777777" w:rsidR="00F703CA" w:rsidRPr="00B3127B" w:rsidRDefault="00F703CA" w:rsidP="00F703CA">
      <w:pPr>
        <w:spacing w:after="0" w:line="240" w:lineRule="auto"/>
        <w:ind w:left="2410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389F7B0" w14:textId="77777777" w:rsidR="00F703CA" w:rsidRPr="00B3127B" w:rsidRDefault="00F703CA" w:rsidP="00F703CA">
      <w:pPr>
        <w:tabs>
          <w:tab w:val="num" w:pos="851"/>
          <w:tab w:val="num" w:pos="2628"/>
        </w:tabs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Žadatel dále prohlašuje, že jako účetní období používá 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[</w:t>
      </w:r>
      <w:r w:rsidRPr="00B3127B">
        <w:rPr>
          <w:rFonts w:ascii="Arial" w:eastAsia="Calibri" w:hAnsi="Arial" w:cs="Arial"/>
          <w:kern w:val="0"/>
          <w:sz w:val="20"/>
          <w:szCs w:val="24"/>
          <w14:ligatures w14:val="none"/>
        </w:rPr>
        <w:t>netýká se podpor poskytnutých dle nařízení Komise (EU) 2023/2831</w:t>
      </w:r>
      <w:bookmarkStart w:id="0" w:name="_Hlk169020046"/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]</w:t>
      </w:r>
    </w:p>
    <w:bookmarkEnd w:id="0"/>
    <w:p w14:paraId="3EF007F5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Arial" w:eastAsia="Calibri" w:hAnsi="Arial" w:cs="Arial"/>
          <w:kern w:val="0"/>
          <w:sz w:val="20"/>
          <w:szCs w:val="24"/>
          <w14:ligatures w14:val="none"/>
        </w:rPr>
      </w:pPr>
    </w:p>
    <w:p w14:paraId="196E26DC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</w:p>
    <w:p w14:paraId="31D58C22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86DAF65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instrText xml:space="preserve"> FORMCHECKBOX </w:instrText>
      </w:r>
      <w:r w:rsidR="00000000"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</w:r>
      <w:r w:rsidR="00000000"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fldChar w:fldCharType="separate"/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fldChar w:fldCharType="end"/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 kalendářní rok.</w:t>
      </w:r>
    </w:p>
    <w:p w14:paraId="52EE94A0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instrText xml:space="preserve"> FORMCHECKBOX </w:instrText>
      </w:r>
      <w:r w:rsidR="00000000"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</w:r>
      <w:r w:rsidR="00000000"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fldChar w:fldCharType="separate"/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fldChar w:fldCharType="end"/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 hospodářský rok (začátek ………………</w:t>
      </w:r>
      <w:proofErr w:type="gramStart"/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…….</w:t>
      </w:r>
      <w:proofErr w:type="gramEnd"/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, konec ……………………).</w:t>
      </w:r>
    </w:p>
    <w:p w14:paraId="25C89D49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1C46C739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255970B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Podniky</w:t>
      </w:r>
      <w:r w:rsidRPr="00B3127B">
        <w:rPr>
          <w:rFonts w:ascii="Tahoma" w:eastAsia="Calibri" w:hAnsi="Tahoma" w:cs="Tahoma"/>
          <w:b/>
          <w:kern w:val="0"/>
          <w:sz w:val="20"/>
          <w:szCs w:val="20"/>
          <w:vertAlign w:val="superscript"/>
          <w14:ligatures w14:val="none"/>
        </w:rPr>
        <w:footnoteReference w:id="1"/>
      </w: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 propojené s žadatelem o podporu</w:t>
      </w:r>
    </w:p>
    <w:p w14:paraId="089069D3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27387B8D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Žadatel o podporu se považuje za propojený podnik s jinými podniky</w:t>
      </w:r>
      <w:r w:rsidRPr="00B3127B">
        <w:rPr>
          <w:rFonts w:ascii="Tahoma" w:eastAsia="Calibri" w:hAnsi="Tahoma" w:cs="Tahoma"/>
          <w:b/>
          <w:bCs/>
          <w:kern w:val="0"/>
          <w:sz w:val="20"/>
          <w:szCs w:val="20"/>
          <w:vertAlign w:val="superscript"/>
          <w14:ligatures w14:val="none"/>
        </w:rPr>
        <w:footnoteReference w:id="2"/>
      </w:r>
      <w:r w:rsidRPr="00B3127B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, pokud i tyto subjekty mezi sebou mají některý z následujících vztahů:</w:t>
      </w:r>
    </w:p>
    <w:p w14:paraId="3CE89708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</w:p>
    <w:p w14:paraId="41F6DA55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a) jeden subjekt vlastní více než 50 % hlasovacích práv, která náležejí akcionářům nebo společníkům v jiném subjektu;</w:t>
      </w:r>
    </w:p>
    <w:p w14:paraId="3622D335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710D7A68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b) jeden subjekt má právo jmenovat nebo odvolat více než 50 % členů správního, řídícího nebo dozorčího orgánu jiného subjektu;</w:t>
      </w:r>
    </w:p>
    <w:p w14:paraId="2D1DE609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F0EC3A7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c) jeden subjekt má právo uplatňovat více než 50 % vliv v jiném subjektu podle smlouvy uzavřené s daným subjektem nebo dle ustanovení v zakladatelské smlouvě nebo ve stanovách tohoto subjektu;</w:t>
      </w:r>
    </w:p>
    <w:p w14:paraId="2474DC73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3239E824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728B880A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DEED51A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Subjekty, které mají s žadatelem o podporu jakýkoli vztah uvedený pod písm. a) až d) </w:t>
      </w:r>
      <w:r w:rsidRPr="00B3127B"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  <w:t>prostřednictvím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</w:t>
      </w:r>
      <w:r w:rsidRPr="00B3127B"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  <w:t>jednoho nebo více dalších subjektů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, se také považují za podnik propojený s žadatelem o podporu. Do výčtu podniků propojených přímo či zprostředkovaně se žadatelem o podporu se zahrnují </w:t>
      </w:r>
      <w:r w:rsidRPr="00B3127B">
        <w:rPr>
          <w:rFonts w:ascii="Tahoma" w:eastAsia="Calibri" w:hAnsi="Tahoma" w:cs="Tahoma"/>
          <w:kern w:val="0"/>
          <w:sz w:val="20"/>
          <w:szCs w:val="20"/>
          <w:u w:val="single"/>
          <w14:ligatures w14:val="none"/>
        </w:rPr>
        <w:t>osoby zapsané v základním registru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právnických osob, podnikajících fyzických osob a orgánů veřejné moci ("registr osob") v souladu se zákonem č. 111/2009 Sb., o základních registrech, ve znění pozdějších předpisů.</w:t>
      </w:r>
    </w:p>
    <w:p w14:paraId="7E722ED1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7D7B092C" w14:textId="77777777" w:rsidR="00F703CA" w:rsidRPr="00B3127B" w:rsidRDefault="00F703CA" w:rsidP="00F703C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Žadatel prohlašuje, že</w:t>
      </w:r>
    </w:p>
    <w:p w14:paraId="741BE9EC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DE9F632" w14:textId="77777777" w:rsidR="00F703CA" w:rsidRPr="00B3127B" w:rsidRDefault="00F703CA" w:rsidP="00F703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MS Gothic" w:eastAsia="MS Gothic" w:hAnsi="MS Gothic" w:cs="Tahoma" w:hint="eastAsia"/>
          <w:b/>
          <w:kern w:val="0"/>
          <w:sz w:val="20"/>
          <w:szCs w:val="20"/>
          <w14:ligatures w14:val="none"/>
        </w:rPr>
        <w:t>☐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ab/>
      </w:r>
      <w:r w:rsidRPr="00B3127B">
        <w:rPr>
          <w:rFonts w:ascii="Tahoma" w:eastAsia="Calibri" w:hAnsi="Tahoma" w:cs="Tahoma"/>
          <w:b/>
          <w:kern w:val="0"/>
          <w:sz w:val="20"/>
          <w:szCs w:val="20"/>
          <w:u w:val="single"/>
          <w14:ligatures w14:val="none"/>
        </w:rPr>
        <w:t>není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ve výše uvedeném smyslu propojen s jiným podnikem.</w:t>
      </w:r>
    </w:p>
    <w:p w14:paraId="4396D8EB" w14:textId="77777777" w:rsidR="00F703CA" w:rsidRPr="00B3127B" w:rsidRDefault="00F703CA" w:rsidP="00F703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B3127B">
        <w:rPr>
          <w:rFonts w:ascii="MS Gothic" w:eastAsia="MS Gothic" w:hAnsi="MS Gothic" w:cs="Tahoma" w:hint="eastAsia"/>
          <w:b/>
          <w:kern w:val="0"/>
          <w:sz w:val="20"/>
          <w:szCs w:val="20"/>
          <w14:ligatures w14:val="none"/>
        </w:rPr>
        <w:t>☐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ab/>
      </w:r>
      <w:r w:rsidRPr="00B3127B">
        <w:rPr>
          <w:rFonts w:ascii="Tahoma" w:eastAsia="Calibri" w:hAnsi="Tahoma" w:cs="Tahoma"/>
          <w:b/>
          <w:kern w:val="0"/>
          <w:sz w:val="20"/>
          <w:szCs w:val="20"/>
          <w:u w:val="single"/>
          <w14:ligatures w14:val="none"/>
        </w:rPr>
        <w:t>je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ve výše uvedeném smyslu propojen s následujícími podniky:</w:t>
      </w:r>
    </w:p>
    <w:p w14:paraId="0D0C99D9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3534"/>
        <w:gridCol w:w="2176"/>
      </w:tblGrid>
      <w:tr w:rsidR="00F703CA" w:rsidRPr="00B3127B" w14:paraId="681CA939" w14:textId="77777777" w:rsidTr="006E4E9D">
        <w:trPr>
          <w:trHeight w:val="279"/>
        </w:trPr>
        <w:tc>
          <w:tcPr>
            <w:tcW w:w="3510" w:type="dxa"/>
          </w:tcPr>
          <w:p w14:paraId="3776D194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B3127B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Obchodní jméno podniku/</w:t>
            </w:r>
          </w:p>
          <w:p w14:paraId="6452F9FF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B3127B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Jméno a příjmení</w:t>
            </w:r>
          </w:p>
        </w:tc>
        <w:tc>
          <w:tcPr>
            <w:tcW w:w="3686" w:type="dxa"/>
          </w:tcPr>
          <w:p w14:paraId="5E4DA6AB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B3127B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Sídlo/Adresa</w:t>
            </w:r>
          </w:p>
        </w:tc>
        <w:tc>
          <w:tcPr>
            <w:tcW w:w="2242" w:type="dxa"/>
          </w:tcPr>
          <w:p w14:paraId="63FFD1B3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B3127B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IČO/Datum narození</w:t>
            </w:r>
          </w:p>
        </w:tc>
      </w:tr>
      <w:tr w:rsidR="00F703CA" w:rsidRPr="00B3127B" w14:paraId="6B22B595" w14:textId="77777777" w:rsidTr="006E4E9D">
        <w:tc>
          <w:tcPr>
            <w:tcW w:w="3510" w:type="dxa"/>
          </w:tcPr>
          <w:p w14:paraId="2E94F0CF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</w:tcPr>
          <w:p w14:paraId="22E70DC4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2" w:type="dxa"/>
          </w:tcPr>
          <w:p w14:paraId="1507E682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B3127B" w14:paraId="5AB347A3" w14:textId="77777777" w:rsidTr="006E4E9D">
        <w:tc>
          <w:tcPr>
            <w:tcW w:w="3510" w:type="dxa"/>
          </w:tcPr>
          <w:p w14:paraId="2D9D035A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</w:tcPr>
          <w:p w14:paraId="7B964EA9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2" w:type="dxa"/>
          </w:tcPr>
          <w:p w14:paraId="5054A7B9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B3127B" w14:paraId="028C79BB" w14:textId="77777777" w:rsidTr="006E4E9D">
        <w:tc>
          <w:tcPr>
            <w:tcW w:w="3510" w:type="dxa"/>
          </w:tcPr>
          <w:p w14:paraId="2AD0137B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</w:tcPr>
          <w:p w14:paraId="0B88124E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2" w:type="dxa"/>
          </w:tcPr>
          <w:p w14:paraId="7E32EBC9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B3127B" w14:paraId="707C9897" w14:textId="77777777" w:rsidTr="006E4E9D">
        <w:tc>
          <w:tcPr>
            <w:tcW w:w="3510" w:type="dxa"/>
          </w:tcPr>
          <w:p w14:paraId="6226AA36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</w:tcPr>
          <w:p w14:paraId="005CCB11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2" w:type="dxa"/>
          </w:tcPr>
          <w:p w14:paraId="02E6EF72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B3127B" w14:paraId="72F3CE33" w14:textId="77777777" w:rsidTr="006E4E9D">
        <w:tc>
          <w:tcPr>
            <w:tcW w:w="3510" w:type="dxa"/>
          </w:tcPr>
          <w:p w14:paraId="76F6DF90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</w:tcPr>
          <w:p w14:paraId="77EB87ED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2" w:type="dxa"/>
          </w:tcPr>
          <w:p w14:paraId="21CA8F9A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E3A70C4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</w:p>
    <w:p w14:paraId="7304DAF4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1C50B4FC" w14:textId="77777777" w:rsidR="00F703CA" w:rsidRPr="00B3127B" w:rsidRDefault="00F703CA" w:rsidP="00F703C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Žadatel prohlašuje, že podnik (žadatel) v současném a dvou předcházejících účetních obdobích v případě poskytnuté podpory dle nařízení Komise (EU) č. 1408/2013 nebo č. 717/2014, resp. v uplynulých 36 měsících v případě poskytnuté podpory dle nařízení Komise (EU) 2023/2831</w:t>
      </w:r>
    </w:p>
    <w:p w14:paraId="5F3BE237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17623A70" w14:textId="77777777" w:rsidR="00F703CA" w:rsidRPr="00B3127B" w:rsidRDefault="00F703CA" w:rsidP="00F703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  <w:r w:rsidRPr="00B3127B">
        <w:rPr>
          <w:rFonts w:ascii="MS Gothic" w:eastAsia="MS Gothic" w:hAnsi="MS Gothic" w:cs="Tahoma" w:hint="eastAsia"/>
          <w:b/>
          <w:bCs/>
          <w:kern w:val="0"/>
          <w:sz w:val="20"/>
          <w:szCs w:val="20"/>
          <w14:ligatures w14:val="none"/>
        </w:rPr>
        <w:t>☐</w:t>
      </w:r>
      <w:r w:rsidRPr="00B3127B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ab/>
        <w:t xml:space="preserve">nevznikl </w:t>
      </w:r>
      <w:r w:rsidRPr="00B3127B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spojením podniků či nabytím podniku</w:t>
      </w:r>
    </w:p>
    <w:p w14:paraId="2E68A817" w14:textId="77777777" w:rsidR="00F703CA" w:rsidRPr="00B3127B" w:rsidRDefault="00F703CA" w:rsidP="00F703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  <w:r w:rsidRPr="00B3127B">
        <w:rPr>
          <w:rFonts w:ascii="MS Gothic" w:eastAsia="MS Gothic" w:hAnsi="MS Gothic" w:cs="Tahoma" w:hint="eastAsia"/>
          <w:b/>
          <w:bCs/>
          <w:kern w:val="0"/>
          <w:sz w:val="20"/>
          <w:szCs w:val="20"/>
          <w14:ligatures w14:val="none"/>
        </w:rPr>
        <w:t>☐</w:t>
      </w:r>
      <w:r w:rsidRPr="00B3127B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ab/>
        <w:t xml:space="preserve">vznikl </w:t>
      </w:r>
      <w:r w:rsidRPr="00B3127B">
        <w:rPr>
          <w:rFonts w:ascii="Tahoma" w:eastAsia="Calibri" w:hAnsi="Tahoma" w:cs="Tahoma"/>
          <w:bCs/>
          <w:kern w:val="0"/>
          <w:sz w:val="20"/>
          <w:szCs w:val="20"/>
          <w:u w:val="single"/>
          <w14:ligatures w14:val="none"/>
        </w:rPr>
        <w:t>spojením</w:t>
      </w:r>
      <w:r w:rsidRPr="00B3127B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 xml:space="preserve"> (fúzí splynutím</w:t>
      </w:r>
      <w:r w:rsidRPr="00B3127B">
        <w:rPr>
          <w:rFonts w:ascii="Tahoma" w:eastAsia="Calibri" w:hAnsi="Tahoma" w:cs="Tahoma"/>
          <w:bCs/>
          <w:kern w:val="0"/>
          <w:sz w:val="20"/>
          <w:szCs w:val="20"/>
          <w:vertAlign w:val="superscript"/>
          <w14:ligatures w14:val="none"/>
        </w:rPr>
        <w:footnoteReference w:id="3"/>
      </w:r>
      <w:r w:rsidRPr="00B3127B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) níže uvedených podniků:</w:t>
      </w:r>
    </w:p>
    <w:p w14:paraId="00054630" w14:textId="77777777" w:rsidR="00F703CA" w:rsidRPr="00B3127B" w:rsidRDefault="00F703CA" w:rsidP="00F703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  <w:r w:rsidRPr="00B3127B">
        <w:rPr>
          <w:rFonts w:ascii="MS Gothic" w:eastAsia="MS Gothic" w:hAnsi="MS Gothic" w:cs="Tahoma" w:hint="eastAsia"/>
          <w:b/>
          <w:bCs/>
          <w:kern w:val="0"/>
          <w:sz w:val="20"/>
          <w:szCs w:val="20"/>
          <w14:ligatures w14:val="none"/>
        </w:rPr>
        <w:t>☐</w:t>
      </w:r>
      <w:r w:rsidRPr="00B3127B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ab/>
      </w:r>
      <w:r w:rsidRPr="00B3127B">
        <w:rPr>
          <w:rFonts w:ascii="Tahoma" w:eastAsia="Calibri" w:hAnsi="Tahoma" w:cs="Tahoma"/>
          <w:bCs/>
          <w:kern w:val="0"/>
          <w:sz w:val="20"/>
          <w:szCs w:val="20"/>
          <w:u w:val="single"/>
          <w14:ligatures w14:val="none"/>
        </w:rPr>
        <w:t>nabytím</w:t>
      </w:r>
      <w:r w:rsidRPr="00B3127B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 xml:space="preserve"> (fúzí sloučením</w:t>
      </w:r>
      <w:r w:rsidRPr="00B3127B">
        <w:rPr>
          <w:rFonts w:ascii="Tahoma" w:eastAsia="Calibri" w:hAnsi="Tahoma" w:cs="Tahoma"/>
          <w:bCs/>
          <w:kern w:val="0"/>
          <w:sz w:val="20"/>
          <w:szCs w:val="20"/>
          <w:vertAlign w:val="superscript"/>
          <w14:ligatures w14:val="none"/>
        </w:rPr>
        <w:footnoteReference w:id="4"/>
      </w:r>
      <w:r w:rsidRPr="00B3127B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 xml:space="preserve">) </w:t>
      </w:r>
      <w:r w:rsidRPr="00B3127B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 xml:space="preserve">převzal jmění </w:t>
      </w:r>
      <w:r w:rsidRPr="00B3127B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níže uvedeného/</w:t>
      </w:r>
      <w:proofErr w:type="spellStart"/>
      <w:r w:rsidRPr="00B3127B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ých</w:t>
      </w:r>
      <w:proofErr w:type="spellEnd"/>
      <w:r w:rsidRPr="00B3127B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 xml:space="preserve"> podniku/ů:</w:t>
      </w:r>
    </w:p>
    <w:p w14:paraId="65624C05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3795"/>
        <w:gridCol w:w="1886"/>
      </w:tblGrid>
      <w:tr w:rsidR="00F703CA" w:rsidRPr="00B3127B" w14:paraId="064B4591" w14:textId="77777777" w:rsidTr="006E4E9D">
        <w:trPr>
          <w:trHeight w:val="279"/>
        </w:trPr>
        <w:tc>
          <w:tcPr>
            <w:tcW w:w="3510" w:type="dxa"/>
            <w:vAlign w:val="center"/>
          </w:tcPr>
          <w:p w14:paraId="070B3895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B3127B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54866885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B3127B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Sídlo</w:t>
            </w:r>
          </w:p>
        </w:tc>
        <w:tc>
          <w:tcPr>
            <w:tcW w:w="1959" w:type="dxa"/>
            <w:vAlign w:val="center"/>
          </w:tcPr>
          <w:p w14:paraId="43649F97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B3127B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IČO</w:t>
            </w:r>
          </w:p>
        </w:tc>
      </w:tr>
      <w:tr w:rsidR="00F703CA" w:rsidRPr="00B3127B" w14:paraId="00CCA0C4" w14:textId="77777777" w:rsidTr="006E4E9D">
        <w:tc>
          <w:tcPr>
            <w:tcW w:w="3510" w:type="dxa"/>
          </w:tcPr>
          <w:p w14:paraId="10B879C3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</w:tcPr>
          <w:p w14:paraId="1023D628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</w:tcPr>
          <w:p w14:paraId="49DB655E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B3127B" w14:paraId="601ECE5A" w14:textId="77777777" w:rsidTr="006E4E9D">
        <w:tc>
          <w:tcPr>
            <w:tcW w:w="3510" w:type="dxa"/>
          </w:tcPr>
          <w:p w14:paraId="45403BF8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</w:tcPr>
          <w:p w14:paraId="4C497ED9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</w:tcPr>
          <w:p w14:paraId="3A942366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B3127B" w14:paraId="2D8DC6D5" w14:textId="77777777" w:rsidTr="006E4E9D">
        <w:tc>
          <w:tcPr>
            <w:tcW w:w="3510" w:type="dxa"/>
          </w:tcPr>
          <w:p w14:paraId="18DF4BC8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</w:tcPr>
          <w:p w14:paraId="496AFF83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</w:tcPr>
          <w:p w14:paraId="28D925D9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B3127B" w14:paraId="3D05C894" w14:textId="77777777" w:rsidTr="006E4E9D">
        <w:tc>
          <w:tcPr>
            <w:tcW w:w="3510" w:type="dxa"/>
          </w:tcPr>
          <w:p w14:paraId="33119A6B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</w:tcPr>
          <w:p w14:paraId="455DC7D3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</w:tcPr>
          <w:p w14:paraId="39C7B209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1ECB048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</w:p>
    <w:p w14:paraId="10337DD2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Výše uvedené změny spočívající ve spojení či nabytí podniků</w:t>
      </w:r>
    </w:p>
    <w:p w14:paraId="226E9597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</w:p>
    <w:p w14:paraId="076D9375" w14:textId="77777777" w:rsidR="00F703CA" w:rsidRPr="00B3127B" w:rsidRDefault="00F703CA" w:rsidP="00F703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  <w:r w:rsidRPr="00B3127B">
        <w:rPr>
          <w:rFonts w:ascii="MS Gothic" w:eastAsia="MS Gothic" w:hAnsi="MS Gothic" w:cs="Tahoma" w:hint="eastAsia"/>
          <w:b/>
          <w:bCs/>
          <w:kern w:val="0"/>
          <w:sz w:val="20"/>
          <w:szCs w:val="20"/>
          <w14:ligatures w14:val="none"/>
        </w:rPr>
        <w:t>☐</w:t>
      </w:r>
      <w:r w:rsidRPr="00B3127B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ab/>
        <w:t xml:space="preserve">jsou </w:t>
      </w:r>
      <w:r w:rsidRPr="00B3127B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již</w:t>
      </w:r>
      <w:r w:rsidRPr="00B3127B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 xml:space="preserve"> </w:t>
      </w:r>
      <w:r w:rsidRPr="00B3127B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zohledněny v Centrálním registru podpor de minimis</w:t>
      </w:r>
    </w:p>
    <w:p w14:paraId="11BE9B91" w14:textId="77777777" w:rsidR="00F703CA" w:rsidRPr="00B3127B" w:rsidRDefault="00F703CA" w:rsidP="00F703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  <w:r w:rsidRPr="00B3127B">
        <w:rPr>
          <w:rFonts w:ascii="MS Gothic" w:eastAsia="MS Gothic" w:hAnsi="MS Gothic" w:cs="Tahoma" w:hint="eastAsia"/>
          <w:b/>
          <w:bCs/>
          <w:kern w:val="0"/>
          <w:sz w:val="20"/>
          <w:szCs w:val="20"/>
          <w14:ligatures w14:val="none"/>
        </w:rPr>
        <w:t>☐</w:t>
      </w:r>
      <w:r w:rsidRPr="00B3127B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ab/>
        <w:t xml:space="preserve">nejsou </w:t>
      </w:r>
      <w:r w:rsidRPr="00B3127B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zohledněny v Centrálním registru podpor de minimis</w:t>
      </w:r>
    </w:p>
    <w:p w14:paraId="5862B5A8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contextualSpacing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5DDFDFC5" w14:textId="77777777" w:rsidR="00F703CA" w:rsidRPr="00B3127B" w:rsidRDefault="00F703CA" w:rsidP="00F703C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right="-142"/>
        <w:contextualSpacing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Žadatel prohlašuje, že podnik (žadatel) v současném a dvou předcházejících účetních obdobích v případě poskytnuté podpory dle nařízení Komise (EU) č. 1408/2013 nebo č. </w:t>
      </w: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lastRenderedPageBreak/>
        <w:t>717/2014, resp. v uplynulých 36 měsících v případě poskytnuté podpory dle nařízení Komise (EU) 2023/2831</w:t>
      </w:r>
    </w:p>
    <w:p w14:paraId="70987E6D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25371116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4C974BA3" w14:textId="77777777" w:rsidR="00F703CA" w:rsidRPr="00B3127B" w:rsidRDefault="00F703CA" w:rsidP="00F703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  <w:r w:rsidRPr="00B3127B">
        <w:rPr>
          <w:rFonts w:ascii="MS Gothic" w:eastAsia="MS Gothic" w:hAnsi="MS Gothic" w:cs="Tahoma" w:hint="eastAsia"/>
          <w:b/>
          <w:bCs/>
          <w:kern w:val="0"/>
          <w:sz w:val="20"/>
          <w:szCs w:val="20"/>
          <w14:ligatures w14:val="none"/>
        </w:rPr>
        <w:t>☐</w:t>
      </w:r>
      <w:r w:rsidRPr="00B3127B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ab/>
        <w:t>nevznikl rozdělením (rozštěpením nebo odštěpením)</w:t>
      </w:r>
      <w:r w:rsidRPr="00B3127B">
        <w:rPr>
          <w:rFonts w:ascii="Tahoma" w:eastAsia="Calibri" w:hAnsi="Tahoma" w:cs="Tahoma"/>
          <w:b/>
          <w:bCs/>
          <w:kern w:val="0"/>
          <w:sz w:val="20"/>
          <w:szCs w:val="20"/>
          <w:vertAlign w:val="superscript"/>
          <w14:ligatures w14:val="none"/>
        </w:rPr>
        <w:footnoteReference w:id="5"/>
      </w:r>
      <w:r w:rsidRPr="00B3127B">
        <w:rPr>
          <w:rFonts w:ascii="Tahoma" w:eastAsia="Calibri" w:hAnsi="Tahoma" w:cs="Tahoma"/>
          <w:b/>
          <w:bCs/>
          <w:kern w:val="0"/>
          <w:sz w:val="20"/>
          <w:szCs w:val="20"/>
          <w:vertAlign w:val="superscript"/>
          <w14:ligatures w14:val="none"/>
        </w:rPr>
        <w:t>)</w:t>
      </w:r>
      <w:r w:rsidRPr="00B3127B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 xml:space="preserve"> podniku</w:t>
      </w:r>
    </w:p>
    <w:p w14:paraId="633D9377" w14:textId="77777777" w:rsidR="00F703CA" w:rsidRPr="00B3127B" w:rsidRDefault="00F703CA" w:rsidP="00F703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</w:p>
    <w:p w14:paraId="4C4F219C" w14:textId="77777777" w:rsidR="00F703CA" w:rsidRPr="00B3127B" w:rsidRDefault="00F703CA" w:rsidP="00F703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  <w:r w:rsidRPr="00B3127B">
        <w:rPr>
          <w:rFonts w:ascii="MS Gothic" w:eastAsia="MS Gothic" w:hAnsi="MS Gothic" w:cs="Tahoma" w:hint="eastAsia"/>
          <w:b/>
          <w:bCs/>
          <w:kern w:val="0"/>
          <w:sz w:val="20"/>
          <w:szCs w:val="20"/>
          <w14:ligatures w14:val="none"/>
        </w:rPr>
        <w:t>☐</w:t>
      </w:r>
      <w:r w:rsidRPr="00B3127B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ab/>
        <w:t>vznikl rozdělením níže uvedeného podniku:</w:t>
      </w:r>
    </w:p>
    <w:p w14:paraId="12C92E4C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3795"/>
        <w:gridCol w:w="1886"/>
      </w:tblGrid>
      <w:tr w:rsidR="00F703CA" w:rsidRPr="00B3127B" w14:paraId="3688DB43" w14:textId="77777777" w:rsidTr="006E4E9D">
        <w:trPr>
          <w:trHeight w:val="279"/>
        </w:trPr>
        <w:tc>
          <w:tcPr>
            <w:tcW w:w="3510" w:type="dxa"/>
            <w:vAlign w:val="center"/>
          </w:tcPr>
          <w:p w14:paraId="4B01DE2B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B3127B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21B4F92E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B3127B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Sídlo</w:t>
            </w:r>
          </w:p>
        </w:tc>
        <w:tc>
          <w:tcPr>
            <w:tcW w:w="1959" w:type="dxa"/>
            <w:vAlign w:val="center"/>
          </w:tcPr>
          <w:p w14:paraId="36C82038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B3127B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IČO</w:t>
            </w:r>
          </w:p>
        </w:tc>
      </w:tr>
      <w:tr w:rsidR="00F703CA" w:rsidRPr="00B3127B" w14:paraId="7A55CCAD" w14:textId="77777777" w:rsidTr="006E4E9D">
        <w:trPr>
          <w:trHeight w:val="308"/>
        </w:trPr>
        <w:tc>
          <w:tcPr>
            <w:tcW w:w="3510" w:type="dxa"/>
          </w:tcPr>
          <w:p w14:paraId="3B5067CA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</w:tcPr>
          <w:p w14:paraId="16AA910B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9" w:type="dxa"/>
          </w:tcPr>
          <w:p w14:paraId="288B129D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899F92A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</w:p>
    <w:p w14:paraId="55F8A4E3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 xml:space="preserve">a převzal jeho činnosti, na něž byla dříve poskytnutá podpora </w:t>
      </w:r>
      <w:r w:rsidRPr="00B3127B">
        <w:rPr>
          <w:rFonts w:ascii="Tahoma" w:eastAsia="Calibri" w:hAnsi="Tahoma" w:cs="Tahoma"/>
          <w:bCs/>
          <w:i/>
          <w:kern w:val="0"/>
          <w:sz w:val="20"/>
          <w:szCs w:val="20"/>
          <w14:ligatures w14:val="none"/>
        </w:rPr>
        <w:t>de minimis</w:t>
      </w:r>
      <w:r w:rsidRPr="00B3127B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 xml:space="preserve"> použita</w:t>
      </w:r>
      <w:r w:rsidRPr="00B3127B">
        <w:rPr>
          <w:rFonts w:ascii="Tahoma" w:eastAsia="Calibri" w:hAnsi="Tahoma" w:cs="Tahoma"/>
          <w:bCs/>
          <w:kern w:val="0"/>
          <w:sz w:val="20"/>
          <w:szCs w:val="20"/>
          <w:vertAlign w:val="superscript"/>
          <w14:ligatures w14:val="none"/>
        </w:rPr>
        <w:footnoteReference w:id="6"/>
      </w:r>
      <w:r w:rsidRPr="00B3127B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 xml:space="preserve">. </w:t>
      </w:r>
    </w:p>
    <w:p w14:paraId="3EDA7022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Podniku (žadateli) byly přiděleny následující (dříve poskytnuté) podpory:</w:t>
      </w:r>
    </w:p>
    <w:p w14:paraId="5D0C8FC2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606"/>
        <w:gridCol w:w="2421"/>
      </w:tblGrid>
      <w:tr w:rsidR="00F703CA" w:rsidRPr="00B3127B" w14:paraId="44F77AEE" w14:textId="77777777" w:rsidTr="006E4E9D">
        <w:trPr>
          <w:trHeight w:val="279"/>
        </w:trPr>
        <w:tc>
          <w:tcPr>
            <w:tcW w:w="2093" w:type="dxa"/>
            <w:vAlign w:val="center"/>
          </w:tcPr>
          <w:p w14:paraId="45F3E349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B3127B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3863513E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B3127B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55309CAD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B3127B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Částka v Kč</w:t>
            </w:r>
          </w:p>
        </w:tc>
      </w:tr>
      <w:tr w:rsidR="00F703CA" w:rsidRPr="00B3127B" w14:paraId="049A4AFB" w14:textId="77777777" w:rsidTr="006E4E9D">
        <w:tc>
          <w:tcPr>
            <w:tcW w:w="2093" w:type="dxa"/>
          </w:tcPr>
          <w:p w14:paraId="6533CD62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9" w:type="dxa"/>
          </w:tcPr>
          <w:p w14:paraId="0F5B090A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6" w:type="dxa"/>
          </w:tcPr>
          <w:p w14:paraId="32766F58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B3127B" w14:paraId="3D8922E0" w14:textId="77777777" w:rsidTr="006E4E9D">
        <w:tc>
          <w:tcPr>
            <w:tcW w:w="2093" w:type="dxa"/>
          </w:tcPr>
          <w:p w14:paraId="2E3B21A7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9" w:type="dxa"/>
          </w:tcPr>
          <w:p w14:paraId="2D86CC6D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6" w:type="dxa"/>
          </w:tcPr>
          <w:p w14:paraId="275D3363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B3127B" w14:paraId="400726BA" w14:textId="77777777" w:rsidTr="006E4E9D">
        <w:tc>
          <w:tcPr>
            <w:tcW w:w="2093" w:type="dxa"/>
          </w:tcPr>
          <w:p w14:paraId="510BB0E8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9" w:type="dxa"/>
          </w:tcPr>
          <w:p w14:paraId="488EA3B3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6" w:type="dxa"/>
          </w:tcPr>
          <w:p w14:paraId="232AE7B1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B3127B" w14:paraId="16AE25A1" w14:textId="77777777" w:rsidTr="006E4E9D">
        <w:tc>
          <w:tcPr>
            <w:tcW w:w="2093" w:type="dxa"/>
          </w:tcPr>
          <w:p w14:paraId="6D65749A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9" w:type="dxa"/>
          </w:tcPr>
          <w:p w14:paraId="68371946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6" w:type="dxa"/>
          </w:tcPr>
          <w:p w14:paraId="24D190D6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1E65AB2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</w:p>
    <w:p w14:paraId="6D3223E5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3798021A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>Výše uvedené změny spočívající v rozdělení podniků</w:t>
      </w:r>
    </w:p>
    <w:p w14:paraId="5D95674D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</w:p>
    <w:p w14:paraId="47A8D63B" w14:textId="77777777" w:rsidR="00F703CA" w:rsidRPr="00B3127B" w:rsidRDefault="00F703CA" w:rsidP="00F703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  <w:r w:rsidRPr="00B3127B">
        <w:rPr>
          <w:rFonts w:ascii="MS Gothic" w:eastAsia="MS Gothic" w:hAnsi="MS Gothic" w:cs="Tahoma" w:hint="eastAsia"/>
          <w:b/>
          <w:bCs/>
          <w:kern w:val="0"/>
          <w:sz w:val="20"/>
          <w:szCs w:val="20"/>
          <w14:ligatures w14:val="none"/>
        </w:rPr>
        <w:t>☐</w:t>
      </w:r>
      <w:r w:rsidRPr="00B3127B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ab/>
        <w:t xml:space="preserve">jsou </w:t>
      </w:r>
      <w:r w:rsidRPr="00B3127B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již</w:t>
      </w:r>
      <w:r w:rsidRPr="00B3127B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 xml:space="preserve"> </w:t>
      </w:r>
      <w:r w:rsidRPr="00B3127B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zohledněny v Centrálním registru podpor de minimis.</w:t>
      </w:r>
    </w:p>
    <w:p w14:paraId="332F666F" w14:textId="77777777" w:rsidR="00F703CA" w:rsidRPr="00B3127B" w:rsidRDefault="00F703CA" w:rsidP="00F703C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  <w:r w:rsidRPr="00B3127B">
        <w:rPr>
          <w:rFonts w:ascii="MS Gothic" w:eastAsia="MS Gothic" w:hAnsi="MS Gothic" w:cs="Tahoma" w:hint="eastAsia"/>
          <w:b/>
          <w:bCs/>
          <w:kern w:val="0"/>
          <w:sz w:val="20"/>
          <w:szCs w:val="20"/>
          <w14:ligatures w14:val="none"/>
        </w:rPr>
        <w:t>☐</w:t>
      </w:r>
      <w:r w:rsidRPr="00B3127B">
        <w:rPr>
          <w:rFonts w:ascii="Tahoma" w:eastAsia="Calibri" w:hAnsi="Tahoma" w:cs="Tahoma"/>
          <w:b/>
          <w:bCs/>
          <w:kern w:val="0"/>
          <w:sz w:val="20"/>
          <w:szCs w:val="20"/>
          <w14:ligatures w14:val="none"/>
        </w:rPr>
        <w:tab/>
        <w:t xml:space="preserve">nejsou </w:t>
      </w:r>
      <w:r w:rsidRPr="00B3127B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 xml:space="preserve">zohledněny v Centrálním registru podpor de minimis. </w:t>
      </w:r>
    </w:p>
    <w:p w14:paraId="3C79715D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</w:pPr>
    </w:p>
    <w:p w14:paraId="19FEC9BD" w14:textId="77777777" w:rsidR="00F703CA" w:rsidRPr="00B3127B" w:rsidRDefault="00F703CA" w:rsidP="00F703CA">
      <w:pPr>
        <w:spacing w:after="0" w:line="240" w:lineRule="auto"/>
        <w:contextualSpacing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Žadatel dále níže svým podpisem</w:t>
      </w:r>
    </w:p>
    <w:p w14:paraId="5E8E200A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0D700B4F" w14:textId="77777777" w:rsidR="00F703CA" w:rsidRPr="00B3127B" w:rsidRDefault="00F703CA" w:rsidP="00F703C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potvrzuje, že výše uvedené údaje jsou přesné a pravdivé a jsou poskytovány dobrovolně;</w:t>
      </w:r>
    </w:p>
    <w:p w14:paraId="1E6E89DA" w14:textId="77777777" w:rsidR="00F703CA" w:rsidRPr="00B3127B" w:rsidRDefault="00F703CA" w:rsidP="00F703CA">
      <w:pPr>
        <w:spacing w:after="0" w:line="240" w:lineRule="auto"/>
        <w:ind w:left="284"/>
        <w:contextualSpacing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11AB33DC" w14:textId="77777777" w:rsidR="00F703CA" w:rsidRPr="00B3127B" w:rsidRDefault="00F703CA" w:rsidP="00F703C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zavazuje se k tomu, že v případě změny předmětných údajů v průběhu administrativního procesu poskytnutí podpory de minimis bude neprodleně informovat poskytovatele dané podpory o změnách, které u něj nastaly;</w:t>
      </w:r>
    </w:p>
    <w:p w14:paraId="6FF13338" w14:textId="77777777" w:rsidR="00F703CA" w:rsidRPr="00B3127B" w:rsidRDefault="00F703CA" w:rsidP="00F703CA">
      <w:pPr>
        <w:spacing w:after="0" w:line="240" w:lineRule="auto"/>
        <w:ind w:left="284"/>
        <w:contextualSpacing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1346E34F" w14:textId="77777777" w:rsidR="00F703CA" w:rsidRPr="00B3127B" w:rsidRDefault="00F703CA" w:rsidP="00F703C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souhlasí se zpracováním svých osobních údajů obsažených v tomto čestném prohlášení ve smyslu zákona č. 110/2019 Sb., o ochraně osobních údajů, ve znění pozdějších předpisů (dále jen „zákon č. 110/2019“), za účelem evidence podpor malého rozsahu v souladu se zákonem č. 215/2004 Sb., o úpravě některých vztahů v oblasti veřejné podpory a o změně zákona o podpoře výzkumu a vývoje, ve znění pozdějších předpisů (dále jen „zákon č. 215/2004“). Tento souhlas uděluje správci, tj. koordinačnímu orgánu ve smyslu zákona č. 215/2004 a zpracovateli, tj. poskytovateli podpory de minimis, kterým je v tomto případě Ministerstvo práce a sociálních věcí ČR a Česká správa sociálního zabezpečení, pro všechny údaje obsažené v tomto čestném prohlášení, a to po celou dobu 10 let ode dne udělení souhlasu. Zároveň si je žadatel vědom/(a) svých práv podle zákona č. 110/2019;</w:t>
      </w:r>
    </w:p>
    <w:p w14:paraId="218AF9D6" w14:textId="77777777" w:rsidR="00F703CA" w:rsidRPr="00B3127B" w:rsidRDefault="00F703CA" w:rsidP="00F703CA">
      <w:pPr>
        <w:spacing w:after="0" w:line="240" w:lineRule="auto"/>
        <w:ind w:left="284"/>
        <w:contextualSpacing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B9F39B1" w14:textId="77777777" w:rsidR="00F703CA" w:rsidRPr="00B3127B" w:rsidRDefault="00F703CA" w:rsidP="00F703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</w:pPr>
      <w:r w:rsidRPr="00B3127B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>bere na vědomí, že prominutí penále nebo jeho části v rámci odstranění tvrdosti zákona podle ustanovení § 104ch zákona č. 582/1991 Sb., o organizaci a provádění sociálního zabezpečení, ve znění pozdějších předpisů a vyhlášky MPSV č. 161/1998 Sb., o promíjení penále správami sociálního zabezpečení, ve znění pozdějších předpisů, je považováno za poskytnutí podpory de minimis podle výše uvedených nařízení Komise (EU),</w:t>
      </w:r>
    </w:p>
    <w:p w14:paraId="567528EB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</w:pPr>
    </w:p>
    <w:p w14:paraId="67AFB5AE" w14:textId="77777777" w:rsidR="00F703CA" w:rsidRPr="00B3127B" w:rsidRDefault="00F703CA" w:rsidP="00F703CA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lastRenderedPageBreak/>
        <w:t>je si vědom povinnosti vrátit podporu de minimis, pokud bude Komisí EU zjištěno, že byla poskytnuta v rozporu s příslušným nařízením Komise (EU) nebo v důsledku jím uvedených nesprávných či nepravdivých údajů či neprovedením aktualizace čestného prohlášení, včetně úroků;</w:t>
      </w:r>
    </w:p>
    <w:p w14:paraId="5AD9CD25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</w:pPr>
    </w:p>
    <w:p w14:paraId="709FE4B9" w14:textId="77777777" w:rsidR="00F703CA" w:rsidRPr="00B3127B" w:rsidRDefault="00F703CA" w:rsidP="00F703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</w:pPr>
      <w:r w:rsidRPr="00B3127B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 xml:space="preserve">potvrzuje, že se seznámil s „Poučením“ podle nařízení Komise (EU), které </w:t>
      </w:r>
      <w:proofErr w:type="gramStart"/>
      <w:r w:rsidRPr="00B3127B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>tvoří</w:t>
      </w:r>
      <w:proofErr w:type="gramEnd"/>
      <w:r w:rsidRPr="00B3127B">
        <w:rPr>
          <w:rFonts w:ascii="Tahoma" w:eastAsia="Times New Roman" w:hAnsi="Tahoma" w:cs="Tahoma"/>
          <w:color w:val="000000"/>
          <w:kern w:val="0"/>
          <w:sz w:val="20"/>
          <w:szCs w:val="20"/>
          <w:lang w:eastAsia="cs-CZ"/>
          <w14:ligatures w14:val="none"/>
        </w:rPr>
        <w:t xml:space="preserve"> přílohu tohoto čestného prohlášení.</w:t>
      </w:r>
    </w:p>
    <w:p w14:paraId="411676B5" w14:textId="77777777" w:rsidR="00F703CA" w:rsidRPr="00B3127B" w:rsidRDefault="00F703CA" w:rsidP="00F703CA">
      <w:pPr>
        <w:spacing w:after="0" w:line="240" w:lineRule="auto"/>
        <w:ind w:left="284"/>
        <w:contextualSpacing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15D4CE01" w14:textId="77777777" w:rsidR="00F703CA" w:rsidRPr="00B3127B" w:rsidRDefault="00F703CA" w:rsidP="00F703CA">
      <w:pPr>
        <w:tabs>
          <w:tab w:val="left" w:pos="2445"/>
        </w:tabs>
        <w:spacing w:after="0" w:line="240" w:lineRule="auto"/>
        <w:ind w:left="284"/>
        <w:contextualSpacing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703CA" w:rsidRPr="00B3127B" w14:paraId="446ACA8F" w14:textId="77777777" w:rsidTr="006E4E9D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C472" w14:textId="77777777" w:rsidR="00F703CA" w:rsidRPr="00B3127B" w:rsidRDefault="00F703CA" w:rsidP="00F70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</w:pPr>
            <w:r w:rsidRPr="00B3127B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Místo a datum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1936" w14:textId="77777777" w:rsidR="00F703CA" w:rsidRPr="00B3127B" w:rsidRDefault="00F703CA" w:rsidP="00F703CA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B3127B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  ………… </w:t>
            </w:r>
          </w:p>
          <w:p w14:paraId="37E4179E" w14:textId="77777777" w:rsidR="00F703CA" w:rsidRPr="00B3127B" w:rsidRDefault="00F703CA" w:rsidP="00F703CA">
            <w:pPr>
              <w:spacing w:after="0" w:line="240" w:lineRule="auto"/>
              <w:ind w:firstLineChars="100" w:firstLine="20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B3127B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703CA" w:rsidRPr="00B3127B" w14:paraId="545F8251" w14:textId="77777777" w:rsidTr="006E4E9D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B8B3" w14:textId="77777777" w:rsidR="00F703CA" w:rsidRPr="00B3127B" w:rsidRDefault="00F703CA" w:rsidP="00F703CA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F703CA" w:rsidRPr="00B3127B" w14:paraId="0D4296C5" w14:textId="77777777" w:rsidTr="006E4E9D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4EB7" w14:textId="77777777" w:rsidR="00F703CA" w:rsidRPr="00B3127B" w:rsidRDefault="00F703CA" w:rsidP="00F703CA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B3127B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Jméno žadatele nebo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B4E5" w14:textId="77777777" w:rsidR="00F703CA" w:rsidRPr="00B3127B" w:rsidRDefault="00F703CA" w:rsidP="00F703CA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F9D1F" w14:textId="77777777" w:rsidR="00F703CA" w:rsidRPr="00B3127B" w:rsidRDefault="00F703CA" w:rsidP="00F703CA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F56" w14:textId="77777777" w:rsidR="00F703CA" w:rsidRPr="00B3127B" w:rsidRDefault="00F703CA" w:rsidP="00F703CA">
            <w:pPr>
              <w:spacing w:after="0" w:line="240" w:lineRule="auto"/>
              <w:rPr>
                <w:rFonts w:ascii="Tahoma" w:eastAsia="Calibri" w:hAnsi="Tahoma" w:cs="Tahom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3127B">
              <w:rPr>
                <w:rFonts w:ascii="Tahoma" w:eastAsia="Calibri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>Razítko</w:t>
            </w:r>
            <w:r w:rsidRPr="00B3127B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 xml:space="preserve"> 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6579" w14:textId="77777777" w:rsidR="00F703CA" w:rsidRPr="00B3127B" w:rsidRDefault="00F703CA" w:rsidP="00F703CA">
            <w:pPr>
              <w:spacing w:after="0" w:line="240" w:lineRule="auto"/>
              <w:ind w:firstLineChars="100" w:firstLine="200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B3127B"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4E9EC5CD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  <w:gridCol w:w="4686"/>
      </w:tblGrid>
      <w:tr w:rsidR="00F703CA" w:rsidRPr="00B3127B" w14:paraId="4A121EC2" w14:textId="77777777" w:rsidTr="006E4E9D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3931" w14:textId="77777777" w:rsidR="00F703CA" w:rsidRPr="00B3127B" w:rsidRDefault="00F703CA" w:rsidP="00F703CA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  <w:r w:rsidRPr="00B3127B">
              <w:rPr>
                <w:rFonts w:ascii="Tahoma" w:eastAsia="Calibri" w:hAnsi="Tahoma" w:cs="Tahoma"/>
                <w:bCs/>
                <w:kern w:val="0"/>
                <w:sz w:val="20"/>
                <w:szCs w:val="20"/>
                <w14:ligatures w14:val="none"/>
              </w:rPr>
              <w:t>Podpis žadatele nebo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DFF8" w14:textId="77777777" w:rsidR="00F703CA" w:rsidRPr="00B3127B" w:rsidRDefault="00F703CA" w:rsidP="00F703CA">
            <w:pPr>
              <w:spacing w:after="0" w:line="240" w:lineRule="auto"/>
              <w:rPr>
                <w:rFonts w:ascii="Tahoma" w:eastAsia="Calibri" w:hAnsi="Tahoma" w:cs="Tahom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432E75F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1FE2FAC2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1BAB6BF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*) </w:t>
      </w:r>
      <w:r w:rsidRPr="00B3127B"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  <w:t>nehodící se škrtněte</w:t>
      </w:r>
    </w:p>
    <w:p w14:paraId="5301A829" w14:textId="77777777" w:rsidR="00F703CA" w:rsidRPr="00B3127B" w:rsidRDefault="00F703CA" w:rsidP="00F703CA">
      <w:pPr>
        <w:keepNext/>
        <w:spacing w:before="240" w:after="60" w:line="240" w:lineRule="auto"/>
        <w:jc w:val="right"/>
        <w:outlineLvl w:val="2"/>
        <w:rPr>
          <w:rFonts w:ascii="Tahoma" w:eastAsia="Times New Roman" w:hAnsi="Tahoma" w:cs="Tahoma"/>
          <w:bCs/>
          <w:kern w:val="0"/>
          <w:sz w:val="20"/>
          <w:szCs w:val="20"/>
          <w:lang w:val="x-none" w:eastAsia="x-none"/>
          <w14:ligatures w14:val="none"/>
        </w:rPr>
      </w:pPr>
      <w:r w:rsidRPr="00B3127B">
        <w:rPr>
          <w:rFonts w:ascii="Tahoma" w:eastAsia="Times New Roman" w:hAnsi="Tahoma" w:cs="Tahoma"/>
          <w:b/>
          <w:bCs/>
          <w:kern w:val="0"/>
          <w:sz w:val="20"/>
          <w:szCs w:val="26"/>
          <w:lang w:val="x-none" w:eastAsia="x-none"/>
          <w14:ligatures w14:val="none"/>
        </w:rPr>
        <w:br w:type="page"/>
      </w:r>
    </w:p>
    <w:p w14:paraId="019D0085" w14:textId="77777777" w:rsidR="00F703CA" w:rsidRPr="00B3127B" w:rsidRDefault="00F703CA" w:rsidP="00F703CA">
      <w:pPr>
        <w:tabs>
          <w:tab w:val="left" w:pos="9540"/>
        </w:tabs>
        <w:spacing w:after="0" w:line="240" w:lineRule="auto"/>
        <w:ind w:right="-468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lastRenderedPageBreak/>
        <w:t xml:space="preserve">POUČENÍ </w:t>
      </w:r>
    </w:p>
    <w:p w14:paraId="7F2996B3" w14:textId="77777777" w:rsidR="00F703CA" w:rsidRPr="00B3127B" w:rsidRDefault="00F703CA" w:rsidP="00F703CA">
      <w:pPr>
        <w:spacing w:after="0" w:line="240" w:lineRule="auto"/>
        <w:ind w:right="-468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pro vyplnění „ČESTNÉHO PROHLÁŠENÍ“ k žádosti o prominutí penále</w:t>
      </w:r>
    </w:p>
    <w:p w14:paraId="79874D8E" w14:textId="77777777" w:rsidR="00F703CA" w:rsidRPr="00B3127B" w:rsidRDefault="00F703CA" w:rsidP="00F703CA">
      <w:pPr>
        <w:spacing w:after="0" w:line="240" w:lineRule="auto"/>
        <w:ind w:right="-468"/>
        <w:jc w:val="center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56B747FB" w14:textId="77777777" w:rsidR="00F703CA" w:rsidRPr="00B3127B" w:rsidRDefault="00F703CA" w:rsidP="00F703CA">
      <w:pPr>
        <w:spacing w:after="0" w:line="240" w:lineRule="auto"/>
        <w:ind w:right="-468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50514AB7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Podle článků 107 a 108 Smlouvy o fungování EU na podporu de minimis se pod pojmem státní (veřejná) podpora rozumí podpory poskytované v jakékoliv formě státem nebo ze státních prostředků, které narušují nebo mohou narušit hospodářskou soutěž tím, že zvýhodňují určité podniky nebo určitá odvětví výroby a jsou, pokud ovlivňují obchod mezi členskými státy, neslučitelné se společným trhem.</w:t>
      </w:r>
    </w:p>
    <w:p w14:paraId="59AC22D9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3BC1CCE7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Čestné prohlášení je vyžadováno z důvodu zjištění, zda jsou dány podmínky pro odstranění tvrdosti zákona prominutím penále dle ustanovení § 104ch Sb., o organizaci a provádění sociálního zabezpečení, ve znění pozdějších předpisů (dále jen zákona č. 582/1991), vyhlášky MPSV č. 161/1998 Sb., o promíjení penále správami sociálního zabezpečení, ve znění pozdějších předpisů (dále jen vyhláška MPSV č. 161/1998) a pro poskytnutí podpory de minimis dle příslušných nařízení Komise (EU), které jsou vyjmenované v čestném prohlášení. Prominutí penále nebo jeho části nad rámec tzv. podpory de minimis dle vyjmenovaných nařízení Komise (EU) je zakázanou veřejnou podporou.</w:t>
      </w:r>
    </w:p>
    <w:p w14:paraId="14DE8D3E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38DD3667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:u w:val="single"/>
          <w14:ligatures w14:val="none"/>
        </w:rPr>
      </w:pPr>
      <w:r w:rsidRPr="00B3127B">
        <w:rPr>
          <w:rFonts w:ascii="Tahoma" w:eastAsia="Calibri" w:hAnsi="Tahoma" w:cs="Tahoma"/>
          <w:b/>
          <w:kern w:val="0"/>
          <w:sz w:val="20"/>
          <w:szCs w:val="20"/>
          <w:u w:val="single"/>
          <w14:ligatures w14:val="none"/>
        </w:rPr>
        <w:t>Pokud nebude čestné prohlášení řádně vyplněno a vráceno příslušné správě sociálního zabezpečení, nelze žádosti o prominutí penále vyhovět.</w:t>
      </w:r>
    </w:p>
    <w:p w14:paraId="197CCDB6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3EC6CBF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Podle článku 3. </w:t>
      </w: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nařízení Komise (EU) 2023/2831 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o použití čl. 107 a 108 Smlouvy o fungování Evropské unie na podporu de minimis, </w:t>
      </w:r>
      <w:proofErr w:type="spellStart"/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>Úř</w:t>
      </w:r>
      <w:proofErr w:type="spellEnd"/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 xml:space="preserve">. </w:t>
      </w:r>
      <w:proofErr w:type="spellStart"/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>věst</w:t>
      </w:r>
      <w:proofErr w:type="spellEnd"/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 xml:space="preserve">. L, 15. 12. 2023 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[</w:t>
      </w:r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>dále jen „Nařízení Komise (EU) 2023/2831“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], se pod pojmem „</w:t>
      </w: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Podpora de minimis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“ rozumí taková státní (veřejná) podpora, jejíž celková maximální výše poskytnutá jednomu podniku nepřesáhne za tři období částku </w:t>
      </w: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300 000 EUR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. Nařízení stanoví, že limit podpory de minimis se stanoví na všechna odvětví.</w:t>
      </w: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 Podporu de minimis nelze poskytnout v těchto oblastech:</w:t>
      </w:r>
    </w:p>
    <w:p w14:paraId="0014CCFB" w14:textId="77777777" w:rsidR="00F703CA" w:rsidRPr="00B3127B" w:rsidRDefault="00F703CA" w:rsidP="00F703C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Calibri" w:hAnsi="Arial" w:cs="Arial"/>
          <w:color w:val="414042"/>
          <w:kern w:val="0"/>
          <w:sz w:val="18"/>
          <w:szCs w:val="18"/>
          <w14:ligatures w14:val="none"/>
        </w:rPr>
      </w:pPr>
      <w:r w:rsidRPr="00B3127B">
        <w:rPr>
          <w:rFonts w:ascii="Arial" w:eastAsia="Calibri" w:hAnsi="Arial" w:cs="Arial"/>
          <w:color w:val="414042"/>
          <w:kern w:val="0"/>
          <w:sz w:val="18"/>
          <w:szCs w:val="18"/>
          <w14:ligatures w14:val="none"/>
        </w:rPr>
        <w:t> </w:t>
      </w:r>
    </w:p>
    <w:p w14:paraId="39087ABF" w14:textId="77777777" w:rsidR="00F703CA" w:rsidRPr="00B3127B" w:rsidRDefault="00F703CA" w:rsidP="00F703CA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/>
        <w:jc w:val="both"/>
        <w:textAlignment w:val="baseline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v oblasti prvovýroby produktů rybolovu a akvakultury;</w:t>
      </w:r>
    </w:p>
    <w:p w14:paraId="1559C8C2" w14:textId="77777777" w:rsidR="00F703CA" w:rsidRPr="00B3127B" w:rsidRDefault="00F703CA" w:rsidP="00F703CA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/>
        <w:jc w:val="both"/>
        <w:textAlignment w:val="baseline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podnikům činným v odvětví zpracování produktů rybolovu a akvakultury a jejich uvádění na trh, a to za stanovených podmínek – výjimka viz níže;</w:t>
      </w:r>
    </w:p>
    <w:p w14:paraId="307773A6" w14:textId="77777777" w:rsidR="00F703CA" w:rsidRPr="00B3127B" w:rsidRDefault="00F703CA" w:rsidP="00F703CA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/>
        <w:jc w:val="both"/>
        <w:textAlignment w:val="baseline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v oblasti prvovýroby zemědělských produktů uvedených v příloze I Smlouvy o fungování Evropské unie;</w:t>
      </w:r>
    </w:p>
    <w:p w14:paraId="719C717B" w14:textId="77777777" w:rsidR="00F703CA" w:rsidRPr="00B3127B" w:rsidRDefault="00F703CA" w:rsidP="00F703CA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/>
        <w:jc w:val="both"/>
        <w:textAlignment w:val="baseline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podnikům činným v odvětví zpracovávání zemědělských produktů a jejich uvádění na trh, a to za stanovených podmínek – výjimka viz níže;</w:t>
      </w:r>
    </w:p>
    <w:p w14:paraId="19BA7525" w14:textId="77777777" w:rsidR="00F703CA" w:rsidRPr="00B3127B" w:rsidRDefault="00F703CA" w:rsidP="00F703CA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/>
        <w:jc w:val="both"/>
        <w:textAlignment w:val="baseline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na podporu exportu a podpory podmiňující použití domácího zboží na úkor dováženého zboží.</w:t>
      </w:r>
    </w:p>
    <w:p w14:paraId="212CD0DA" w14:textId="77777777" w:rsidR="00F703CA" w:rsidRPr="00B3127B" w:rsidRDefault="00F703CA" w:rsidP="00F703CA">
      <w:pPr>
        <w:shd w:val="clear" w:color="auto" w:fill="FFFFFF"/>
        <w:spacing w:after="0" w:line="240" w:lineRule="auto"/>
        <w:ind w:hanging="357"/>
        <w:rPr>
          <w:rFonts w:ascii="Arial" w:eastAsia="Calibri" w:hAnsi="Arial" w:cs="Arial"/>
          <w:color w:val="414042"/>
          <w:kern w:val="0"/>
          <w:sz w:val="18"/>
          <w:szCs w:val="18"/>
          <w14:ligatures w14:val="none"/>
        </w:rPr>
      </w:pPr>
    </w:p>
    <w:p w14:paraId="4F550ED1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Podle článku 3 </w:t>
      </w: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nařízení Komise (EU) č. 1408/2013 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ve znění nařízení Komise (EU) 2019/316, 2022/2046 a 2023/2391 o použití čl. 107 a 108 Smlouvy o fungování Evropské unie na podporu de minimis </w:t>
      </w: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v odvětví zemědělství, </w:t>
      </w:r>
      <w:proofErr w:type="spellStart"/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>Úř</w:t>
      </w:r>
      <w:proofErr w:type="spellEnd"/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 xml:space="preserve">. </w:t>
      </w:r>
      <w:proofErr w:type="spellStart"/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>věst</w:t>
      </w:r>
      <w:proofErr w:type="spellEnd"/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 xml:space="preserve">. L 352, 24. 12. 2013, </w:t>
      </w:r>
      <w:proofErr w:type="spellStart"/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>Úř</w:t>
      </w:r>
      <w:proofErr w:type="spellEnd"/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 xml:space="preserve">. </w:t>
      </w:r>
      <w:proofErr w:type="spellStart"/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>věst</w:t>
      </w:r>
      <w:proofErr w:type="spellEnd"/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 xml:space="preserve">. L 051I, 22. 2. 2019, </w:t>
      </w:r>
      <w:proofErr w:type="spellStart"/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>Úř</w:t>
      </w:r>
      <w:proofErr w:type="spellEnd"/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 xml:space="preserve">. </w:t>
      </w:r>
      <w:proofErr w:type="spellStart"/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>věst</w:t>
      </w:r>
      <w:proofErr w:type="spellEnd"/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 xml:space="preserve">. L 275, 25. 10. 2022, </w:t>
      </w:r>
      <w:proofErr w:type="spellStart"/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>Úř</w:t>
      </w:r>
      <w:proofErr w:type="spellEnd"/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 xml:space="preserve">. </w:t>
      </w:r>
      <w:proofErr w:type="spellStart"/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>věst</w:t>
      </w:r>
      <w:proofErr w:type="spellEnd"/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>. L 2391, 5. 10. 2023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[dále jen „nařízení Komise (EU) č. 1408/2013“]</w:t>
      </w:r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>,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je </w:t>
      </w: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podporou de minimis 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podpora, která za stanovené období tří let u jednoho podniku nepřesáhla výši</w:t>
      </w: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 20 000 EUR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. Do režimu tohoto nařízení </w:t>
      </w:r>
      <w:proofErr w:type="gramStart"/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patří</w:t>
      </w:r>
      <w:proofErr w:type="gramEnd"/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podniky působící v oblasti tzv. </w:t>
      </w: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prvovýroby zemědělských produktů a jejich uvádění na trh </w:t>
      </w:r>
      <w:r w:rsidRPr="00B3127B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(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např. pěstováni plodin, chov zvěře</w:t>
      </w:r>
      <w:r w:rsidRPr="00B3127B">
        <w:rPr>
          <w:rFonts w:ascii="Tahoma" w:eastAsia="Calibri" w:hAnsi="Tahoma" w:cs="Tahoma"/>
          <w:bCs/>
          <w:kern w:val="0"/>
          <w:sz w:val="20"/>
          <w:szCs w:val="20"/>
          <w14:ligatures w14:val="none"/>
        </w:rPr>
        <w:t>).</w:t>
      </w:r>
    </w:p>
    <w:p w14:paraId="0D2636AE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0E0C6105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Podle článku 3 Nařízení</w:t>
      </w: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 Komise (EU) č. 717/2014 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ve znění nařízení Komise (EU) 2020/2008, 2022/2514 a 2023/2391 o použití čl. 107 a 108 Smlouvy o fungování Evropské unie na podporu de minimis </w:t>
      </w: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v odvětví rybolovu a akvakultury, </w:t>
      </w:r>
      <w:proofErr w:type="spellStart"/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Úř</w:t>
      </w:r>
      <w:proofErr w:type="spellEnd"/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. </w:t>
      </w:r>
      <w:proofErr w:type="spellStart"/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věst</w:t>
      </w:r>
      <w:proofErr w:type="spellEnd"/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. L 190, 28. 6. 2014, </w:t>
      </w:r>
      <w:proofErr w:type="spellStart"/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Úř</w:t>
      </w:r>
      <w:proofErr w:type="spellEnd"/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. </w:t>
      </w:r>
      <w:proofErr w:type="spellStart"/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věst</w:t>
      </w:r>
      <w:proofErr w:type="spellEnd"/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. L 414, 9. 12. 2020, </w:t>
      </w:r>
      <w:proofErr w:type="spellStart"/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Úř</w:t>
      </w:r>
      <w:proofErr w:type="spellEnd"/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. </w:t>
      </w:r>
      <w:proofErr w:type="spellStart"/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věst</w:t>
      </w:r>
      <w:proofErr w:type="spellEnd"/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. L 326, 21. 12. 2022, </w:t>
      </w:r>
      <w:proofErr w:type="spellStart"/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Úř</w:t>
      </w:r>
      <w:proofErr w:type="spellEnd"/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. </w:t>
      </w:r>
      <w:proofErr w:type="spellStart"/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věst</w:t>
      </w:r>
      <w:proofErr w:type="spellEnd"/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. L 2391, 5. 10. 2023 [dále jen „nařízení Komise (EU) č. 717/2014“]</w:t>
      </w:r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>,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lze poskytnout </w:t>
      </w: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podporu de minimis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 ve stanoveném tříletém období až do výše </w:t>
      </w: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40 000 EUR podnikům působícím v oblasti prvovýroby rybolovu a akvakultury a jejich uvádění na trh 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(např. chov ryb, odlov ryb). [</w:t>
      </w:r>
      <w:r w:rsidRPr="00B3127B">
        <w:rPr>
          <w:rFonts w:ascii="Tahoma" w:eastAsia="Calibri" w:hAnsi="Tahoma" w:cs="Tahoma"/>
          <w:i/>
          <w:kern w:val="0"/>
          <w:sz w:val="20"/>
          <w:szCs w:val="20"/>
          <w14:ligatures w14:val="none"/>
        </w:rPr>
        <w:t>Produkty rybolovu se rozumějí jak produkty odlovené v moři nebo ve vnitřních vodách, tak i produkty uvedené v čl. 5 písm. a) a b) Nařízení (EU) č. 1379/2013. Zpracováním a uvedením na trh se rozumí veškeré úkony, včetně manipulace, úpravy, produkce a distribuce, které se provádějí v době od vykládky nebo sběru do stadia konečného produktu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].</w:t>
      </w:r>
    </w:p>
    <w:p w14:paraId="0BF2ABF3" w14:textId="77777777" w:rsidR="00F703CA" w:rsidRPr="00B3127B" w:rsidRDefault="00F703CA" w:rsidP="00F703CA">
      <w:pPr>
        <w:spacing w:after="0" w:line="240" w:lineRule="auto"/>
        <w:ind w:right="-468"/>
        <w:jc w:val="both"/>
        <w:rPr>
          <w:rFonts w:ascii="Tahoma" w:eastAsia="Calibri" w:hAnsi="Tahoma" w:cs="Tahoma"/>
          <w:b/>
          <w:kern w:val="0"/>
          <w:sz w:val="20"/>
          <w:szCs w:val="20"/>
          <w:u w:val="single"/>
          <w14:ligatures w14:val="none"/>
        </w:rPr>
      </w:pPr>
    </w:p>
    <w:p w14:paraId="77BB466A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b/>
          <w:i/>
          <w:kern w:val="0"/>
          <w:sz w:val="20"/>
          <w:szCs w:val="20"/>
          <w:u w:val="single"/>
          <w14:ligatures w14:val="none"/>
        </w:rPr>
      </w:pPr>
      <w:r w:rsidRPr="00B3127B">
        <w:rPr>
          <w:rFonts w:ascii="Tahoma" w:eastAsia="Calibri" w:hAnsi="Tahoma" w:cs="Tahoma"/>
          <w:b/>
          <w:kern w:val="0"/>
          <w:sz w:val="20"/>
          <w:szCs w:val="20"/>
          <w:u w:val="single"/>
          <w14:ligatures w14:val="none"/>
        </w:rPr>
        <w:t>K přepočtu CZK na EUR se použije kurz vydaný Evropskou centrální bankou platný k datu poskytnutí podpory</w:t>
      </w:r>
      <w:r w:rsidRPr="00B3127B">
        <w:rPr>
          <w:rFonts w:ascii="Tahoma" w:eastAsia="Calibri" w:hAnsi="Tahoma" w:cs="Tahoma"/>
          <w:b/>
          <w:i/>
          <w:kern w:val="0"/>
          <w:sz w:val="20"/>
          <w:szCs w:val="20"/>
          <w:u w:val="single"/>
          <w14:ligatures w14:val="none"/>
        </w:rPr>
        <w:t>.</w:t>
      </w:r>
    </w:p>
    <w:p w14:paraId="6689591A" w14:textId="77777777" w:rsidR="00F703CA" w:rsidRPr="00B3127B" w:rsidRDefault="00F703CA" w:rsidP="00F703CA">
      <w:pPr>
        <w:spacing w:after="0" w:line="240" w:lineRule="auto"/>
        <w:ind w:right="-468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</w:p>
    <w:p w14:paraId="3E2C1961" w14:textId="77777777" w:rsidR="00F703CA" w:rsidRPr="00B3127B" w:rsidRDefault="00F703CA" w:rsidP="00F703CA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lastRenderedPageBreak/>
        <w:t>Poučení k vyplnění části ohledně účetního období:</w:t>
      </w:r>
    </w:p>
    <w:p w14:paraId="3CD67D66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0B957FC2" w14:textId="77777777" w:rsidR="00F703CA" w:rsidRPr="00B3127B" w:rsidRDefault="00F703CA" w:rsidP="00F703CA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V souladu s ustanovením § 3 odst. 2 zákona č. 563/1991 Sb., o účetnictví, ve znění pozdějších předpisů, je účetní období definováno jako nepřetržitě po sobě jdoucích dvanáct měsíců. Účetní období se buď shoduje s kalendářním rokem, nebo je hospodářským rokem. Hospodářským rokem je účetní období, které může začínat pouze prvním dnem jiného měsíce, než je leden. Účetní nebo hospodářské období se použije pouze v případě poskytování podpory de minimis dle nařízení Komise (EU) č. 1408/2013 nebo č. 717/2014.</w:t>
      </w:r>
    </w:p>
    <w:p w14:paraId="0152F6D1" w14:textId="77777777" w:rsidR="00F703CA" w:rsidRPr="00B3127B" w:rsidRDefault="00F703CA" w:rsidP="00F703CA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66D37263" w14:textId="77777777" w:rsidR="00F703CA" w:rsidRPr="00B3127B" w:rsidRDefault="00F703CA" w:rsidP="00F703CA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 xml:space="preserve">Dle nařízení Komise (EU) 2023/2831 se sledují podpory de minimis, které jeden podnik obdržel v období tří let předcházejících dni poskytnutí podpory, jedná se tedy o čistě kalendářní období zpětně 3 roky od poskytnutí podpory. Nepoužije se tedy ani účetní, ani hospodářský rok, tak jak tomu bylo dosud. </w:t>
      </w:r>
    </w:p>
    <w:p w14:paraId="58D81E3A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760C6957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Tyto údaje jsou povinně zaznamenávány do Centrálního registru podpor de minimis (dále jen „centrální registr“). V případě, že žadatel používá hospodářský rok, musí konkretizovat období (např. od 1. 4. každého roku do 31. 3. následujícího roku).</w:t>
      </w:r>
    </w:p>
    <w:p w14:paraId="55321961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4"/>
          <w14:ligatures w14:val="none"/>
        </w:rPr>
      </w:pPr>
    </w:p>
    <w:p w14:paraId="7E0471EE" w14:textId="77777777" w:rsidR="00F703CA" w:rsidRPr="00B3127B" w:rsidRDefault="00F703CA" w:rsidP="00F703C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4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>V případě, že během</w:t>
      </w:r>
      <w:r w:rsidRPr="00B3127B">
        <w:rPr>
          <w:rFonts w:ascii="Tahoma" w:eastAsia="Calibri" w:hAnsi="Tahoma" w:cs="Tahoma"/>
          <w:b/>
          <w:kern w:val="0"/>
          <w:sz w:val="20"/>
          <w:szCs w:val="24"/>
          <w14:ligatures w14:val="none"/>
        </w:rPr>
        <w:t xml:space="preserve"> </w:t>
      </w:r>
      <w:r w:rsidRPr="00B3127B">
        <w:rPr>
          <w:rFonts w:ascii="Tahoma" w:eastAsia="Calibri" w:hAnsi="Tahoma" w:cs="Tahoma"/>
          <w:b/>
          <w:kern w:val="0"/>
          <w:sz w:val="20"/>
          <w:szCs w:val="24"/>
          <w:u w:val="single"/>
          <w14:ligatures w14:val="none"/>
        </w:rPr>
        <w:t>předchozích dvou účetních období</w:t>
      </w:r>
      <w:r w:rsidRPr="00B3127B">
        <w:rPr>
          <w:rFonts w:ascii="Tahoma" w:eastAsia="Calibri" w:hAnsi="Tahoma" w:cs="Tahoma"/>
          <w:b/>
          <w:kern w:val="0"/>
          <w:sz w:val="20"/>
          <w:szCs w:val="24"/>
          <w14:ligatures w14:val="none"/>
        </w:rPr>
        <w:t xml:space="preserve"> došlo k přechodu z kalendářního roku na rok hospodářský anebo opačně</w:t>
      </w:r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>, uveďte tuto skutečnost</w:t>
      </w:r>
      <w:r w:rsidRPr="00B3127B">
        <w:rPr>
          <w:rFonts w:ascii="Tahoma" w:eastAsia="Calibri" w:hAnsi="Tahoma" w:cs="Tahoma"/>
          <w:b/>
          <w:kern w:val="0"/>
          <w:sz w:val="20"/>
          <w:szCs w:val="24"/>
          <w14:ligatures w14:val="none"/>
        </w:rPr>
        <w:t xml:space="preserve"> </w:t>
      </w:r>
      <w:r w:rsidRPr="00B3127B">
        <w:rPr>
          <w:rFonts w:ascii="Tahoma" w:eastAsia="Calibri" w:hAnsi="Tahoma" w:cs="Tahoma"/>
          <w:kern w:val="0"/>
          <w:sz w:val="20"/>
          <w:szCs w:val="24"/>
          <w14:ligatures w14:val="none"/>
        </w:rPr>
        <w:t xml:space="preserve">vypsáním účetních období, která byla použita </w:t>
      </w:r>
      <w:r w:rsidRPr="00B3127B">
        <w:rPr>
          <w:rFonts w:ascii="Tahoma" w:eastAsia="Calibri" w:hAnsi="Tahoma" w:cs="Tahoma"/>
          <w:i/>
          <w:kern w:val="0"/>
          <w:sz w:val="20"/>
          <w:szCs w:val="24"/>
          <w14:ligatures w14:val="none"/>
        </w:rPr>
        <w:t>(např. 1. 4. 2022 - 31. 3. 2023; 1. 4. 2023 - 31. 12. 2023).</w:t>
      </w:r>
    </w:p>
    <w:p w14:paraId="0B93B38C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strike/>
          <w:kern w:val="0"/>
          <w:sz w:val="20"/>
          <w:szCs w:val="20"/>
          <w14:ligatures w14:val="none"/>
        </w:rPr>
      </w:pPr>
    </w:p>
    <w:p w14:paraId="3C5BAD8B" w14:textId="77777777" w:rsidR="00F703CA" w:rsidRPr="00B3127B" w:rsidRDefault="00F703CA" w:rsidP="00F703CA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241D835E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>Prohlášení ke zpracování osobních údajů:</w:t>
      </w:r>
    </w:p>
    <w:p w14:paraId="1B4566C5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50846131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Na základě zákona č. 109/2009 Sb., který novelizuje zákon č. 215/2004 došlo s účinností od 1. 1. 2010 k </w:t>
      </w:r>
      <w:r w:rsidRPr="00B3127B">
        <w:rPr>
          <w:rFonts w:ascii="Tahoma" w:eastAsia="Calibri" w:hAnsi="Tahoma" w:cs="Tahoma"/>
          <w:b/>
          <w:kern w:val="0"/>
          <w:sz w:val="20"/>
          <w:szCs w:val="20"/>
          <w14:ligatures w14:val="none"/>
        </w:rPr>
        <w:t xml:space="preserve">zavedení centrálního registru, </w:t>
      </w: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do něhož jsou poskytovatelé podpor de minimis ode dne účinnosti novely povinni do 5 pracovních dnů od poskytnutí podpory zaznamenat údaje o poskytnuté podpoře a o jejím příjemci. Správcem je koordinační orgán ve smyslu zákona č. 215/2004 Sb., o úpravě některých vztahů v oblasti veřejné podpory a o změně zákona o podpoře výzkumu a vývoje, ve znění pozdějších předpisů, zpracovatelem je podle téhož zákona poskytovatel veřejné podpory.</w:t>
      </w:r>
    </w:p>
    <w:p w14:paraId="0191758A" w14:textId="77777777" w:rsidR="00F703CA" w:rsidRPr="00B3127B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4456CF5A" w14:textId="77777777" w:rsidR="00F703CA" w:rsidRPr="00F703CA" w:rsidRDefault="00F703CA" w:rsidP="00F703CA">
      <w:pPr>
        <w:spacing w:after="0" w:line="240" w:lineRule="auto"/>
        <w:jc w:val="both"/>
        <w:rPr>
          <w:rFonts w:ascii="Tahoma" w:eastAsia="Calibri" w:hAnsi="Tahoma" w:cs="Tahoma"/>
          <w:kern w:val="0"/>
          <w:sz w:val="20"/>
          <w:szCs w:val="20"/>
          <w14:ligatures w14:val="none"/>
        </w:rPr>
      </w:pPr>
      <w:r w:rsidRPr="00B3127B">
        <w:rPr>
          <w:rFonts w:ascii="Tahoma" w:eastAsia="Calibri" w:hAnsi="Tahoma" w:cs="Tahoma"/>
          <w:kern w:val="0"/>
          <w:sz w:val="20"/>
          <w:szCs w:val="20"/>
          <w14:ligatures w14:val="none"/>
        </w:rPr>
        <w:t>Vyjmenované předpisy EU je možné najít v českém jazyce na webových stránkách EU i Úřadu pro ochranu hospodářské soutěže, kde jsou rovněž uveřejněné metodické pokyny a příručky.</w:t>
      </w:r>
    </w:p>
    <w:p w14:paraId="515D8D95" w14:textId="77777777" w:rsidR="00F703CA" w:rsidRPr="00F703CA" w:rsidRDefault="00F703CA" w:rsidP="00F703CA">
      <w:pPr>
        <w:spacing w:after="0" w:line="240" w:lineRule="auto"/>
        <w:rPr>
          <w:rFonts w:ascii="Tahoma" w:eastAsia="Calibri" w:hAnsi="Tahoma" w:cs="Tahoma"/>
          <w:kern w:val="0"/>
          <w:sz w:val="20"/>
          <w:szCs w:val="20"/>
          <w14:ligatures w14:val="none"/>
        </w:rPr>
      </w:pPr>
    </w:p>
    <w:p w14:paraId="0D0D62ED" w14:textId="77777777" w:rsidR="00F703CA" w:rsidRPr="00F703CA" w:rsidRDefault="00F703CA" w:rsidP="00F703CA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x-none"/>
          <w14:ligatures w14:val="none"/>
        </w:rPr>
      </w:pPr>
    </w:p>
    <w:p w14:paraId="15A8DBE7" w14:textId="77777777" w:rsidR="00935818" w:rsidRDefault="00935818"/>
    <w:sectPr w:rsidR="00935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16B4" w14:textId="77777777" w:rsidR="00360233" w:rsidRDefault="00360233" w:rsidP="00F703CA">
      <w:pPr>
        <w:spacing w:after="0" w:line="240" w:lineRule="auto"/>
      </w:pPr>
      <w:r>
        <w:separator/>
      </w:r>
    </w:p>
  </w:endnote>
  <w:endnote w:type="continuationSeparator" w:id="0">
    <w:p w14:paraId="7CB03F23" w14:textId="77777777" w:rsidR="00360233" w:rsidRDefault="00360233" w:rsidP="00F7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2ED5" w14:textId="77777777" w:rsidR="00360233" w:rsidRDefault="00360233" w:rsidP="00F703CA">
      <w:pPr>
        <w:spacing w:after="0" w:line="240" w:lineRule="auto"/>
      </w:pPr>
      <w:r>
        <w:separator/>
      </w:r>
    </w:p>
  </w:footnote>
  <w:footnote w:type="continuationSeparator" w:id="0">
    <w:p w14:paraId="3E68267F" w14:textId="77777777" w:rsidR="00360233" w:rsidRDefault="00360233" w:rsidP="00F703CA">
      <w:pPr>
        <w:spacing w:after="0" w:line="240" w:lineRule="auto"/>
      </w:pPr>
      <w:r>
        <w:continuationSeparator/>
      </w:r>
    </w:p>
  </w:footnote>
  <w:footnote w:id="1">
    <w:p w14:paraId="5598D0C0" w14:textId="77777777" w:rsidR="00F703CA" w:rsidRPr="005A23A1" w:rsidRDefault="00F703CA" w:rsidP="00F703CA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5A23A1">
        <w:rPr>
          <w:rStyle w:val="Znakapoznpodarou"/>
          <w:rFonts w:ascii="Tahoma" w:hAnsi="Tahoma" w:cs="Tahoma"/>
          <w:sz w:val="16"/>
          <w:szCs w:val="16"/>
        </w:rPr>
        <w:footnoteRef/>
      </w:r>
      <w:r w:rsidRPr="005A23A1">
        <w:rPr>
          <w:rFonts w:ascii="Tahoma" w:hAnsi="Tahoma" w:cs="Tahoma"/>
          <w:sz w:val="16"/>
          <w:szCs w:val="16"/>
        </w:rPr>
        <w:t xml:space="preserve"> Podle pravidel veřejné podpory lze za podnik považovat jakýkoliv subjekt, který provádí hospodářskou činnost, tedy nabízí na trhu zboží nebo služby, a to bez ohledu na právní formu subjektu</w:t>
      </w:r>
    </w:p>
  </w:footnote>
  <w:footnote w:id="2">
    <w:p w14:paraId="628D277F" w14:textId="77777777" w:rsidR="00F703CA" w:rsidRDefault="00F703CA" w:rsidP="00F703CA">
      <w:pPr>
        <w:pStyle w:val="Textpoznpodarou"/>
        <w:jc w:val="both"/>
      </w:pPr>
      <w:r w:rsidRPr="005A23A1">
        <w:rPr>
          <w:rStyle w:val="Znakapoznpodarou"/>
          <w:rFonts w:ascii="Tahoma" w:hAnsi="Tahoma" w:cs="Tahoma"/>
          <w:sz w:val="16"/>
          <w:szCs w:val="16"/>
        </w:rPr>
        <w:footnoteRef/>
      </w:r>
      <w:r w:rsidRPr="005A23A1">
        <w:rPr>
          <w:rFonts w:ascii="Tahoma" w:hAnsi="Tahoma" w:cs="Tahoma"/>
          <w:sz w:val="16"/>
          <w:szCs w:val="16"/>
        </w:rPr>
        <w:t xml:space="preserve"> Bližší informace o propojeném podniku naleznete v METODICKÉ PŘÍRUČCE k aplikaci pojmu „jeden podnik“ z pohledu pravidel podpory de minimis, a v METODICKÉM POKYNU o Centrálním registru podpor de minimis – viz webové stránky Úřadu pro ochranu hospodářské soutěže</w:t>
      </w:r>
    </w:p>
  </w:footnote>
  <w:footnote w:id="3">
    <w:p w14:paraId="5C31137E" w14:textId="77777777" w:rsidR="00F703CA" w:rsidRPr="0007666B" w:rsidRDefault="00F703CA" w:rsidP="00F703CA">
      <w:pPr>
        <w:pStyle w:val="Textpoznpodarou"/>
        <w:rPr>
          <w:rFonts w:ascii="Tahoma" w:hAnsi="Tahoma" w:cs="Tahoma"/>
          <w:sz w:val="16"/>
          <w:szCs w:val="16"/>
        </w:rPr>
      </w:pPr>
      <w:r w:rsidRPr="0007666B">
        <w:rPr>
          <w:rStyle w:val="Znakapoznpodarou"/>
          <w:rFonts w:ascii="Tahoma" w:hAnsi="Tahoma" w:cs="Tahoma"/>
          <w:sz w:val="16"/>
          <w:szCs w:val="16"/>
        </w:rPr>
        <w:footnoteRef/>
      </w:r>
      <w:r w:rsidRPr="0007666B">
        <w:rPr>
          <w:rFonts w:ascii="Tahoma" w:hAnsi="Tahoma" w:cs="Tahoma"/>
          <w:sz w:val="16"/>
          <w:szCs w:val="16"/>
        </w:rPr>
        <w:t xml:space="preserve"> Viz ustanovení § 62 zákona č. 125/2008 Sb., o přeměnách obchodních společností a družstev, ve znění pozdějších předpisů</w:t>
      </w:r>
    </w:p>
  </w:footnote>
  <w:footnote w:id="4">
    <w:p w14:paraId="61C5B93D" w14:textId="77777777" w:rsidR="00F703CA" w:rsidRPr="008075E3" w:rsidRDefault="00F703CA" w:rsidP="00F703CA">
      <w:pPr>
        <w:pStyle w:val="Textpoznpodarou"/>
        <w:rPr>
          <w:rFonts w:ascii="Tahoma" w:hAnsi="Tahoma" w:cs="Tahoma"/>
          <w:sz w:val="16"/>
          <w:szCs w:val="16"/>
        </w:rPr>
      </w:pPr>
      <w:r w:rsidRPr="0007666B">
        <w:rPr>
          <w:rStyle w:val="Znakapoznpodarou"/>
          <w:rFonts w:ascii="Tahoma" w:hAnsi="Tahoma" w:cs="Tahoma"/>
          <w:sz w:val="16"/>
          <w:szCs w:val="16"/>
        </w:rPr>
        <w:footnoteRef/>
      </w:r>
      <w:r w:rsidRPr="0007666B">
        <w:rPr>
          <w:rFonts w:ascii="Tahoma" w:hAnsi="Tahoma" w:cs="Tahoma"/>
          <w:sz w:val="16"/>
          <w:szCs w:val="16"/>
        </w:rPr>
        <w:t xml:space="preserve"> Viz ustanovení § 61 zákona č. 125/2008 Sb., o přeměnách obchodních společností a družstev, ve znění pozdějších předpisů</w:t>
      </w:r>
    </w:p>
  </w:footnote>
  <w:footnote w:id="5">
    <w:p w14:paraId="79604BA6" w14:textId="77777777" w:rsidR="00F703CA" w:rsidRPr="001E6520" w:rsidRDefault="00F703CA" w:rsidP="00F703CA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1E6520">
        <w:rPr>
          <w:rStyle w:val="Znakapoznpodarou"/>
          <w:rFonts w:ascii="Tahoma" w:hAnsi="Tahoma" w:cs="Tahoma"/>
          <w:sz w:val="16"/>
          <w:szCs w:val="16"/>
        </w:rPr>
        <w:footnoteRef/>
      </w:r>
      <w:r w:rsidRPr="001E6520">
        <w:rPr>
          <w:rFonts w:ascii="Tahoma" w:hAnsi="Tahoma" w:cs="Tahoma"/>
          <w:sz w:val="16"/>
          <w:szCs w:val="16"/>
        </w:rPr>
        <w:t xml:space="preserve"> Viz ustanovení § 243 zákona č. 125/2008 Sb., o přeměnách obchodních společností a družstev, ve znění pozdějších předpisů</w:t>
      </w:r>
    </w:p>
  </w:footnote>
  <w:footnote w:id="6">
    <w:p w14:paraId="7E430E1F" w14:textId="77777777" w:rsidR="00F703CA" w:rsidRPr="00870821" w:rsidRDefault="00F703CA" w:rsidP="00F703CA">
      <w:pPr>
        <w:pStyle w:val="Textpoznpodarou"/>
        <w:jc w:val="both"/>
        <w:rPr>
          <w:rFonts w:ascii="Tahoma" w:hAnsi="Tahoma" w:cs="Tahoma"/>
          <w:sz w:val="16"/>
          <w:szCs w:val="16"/>
        </w:rPr>
      </w:pPr>
      <w:r w:rsidRPr="001E6520">
        <w:rPr>
          <w:rStyle w:val="Znakapoznpodarou"/>
          <w:rFonts w:ascii="Tahoma" w:hAnsi="Tahoma" w:cs="Tahoma"/>
          <w:sz w:val="16"/>
          <w:szCs w:val="16"/>
        </w:rPr>
        <w:footnoteRef/>
      </w:r>
      <w:r w:rsidRPr="001E6520">
        <w:rPr>
          <w:rFonts w:ascii="Tahoma" w:hAnsi="Tahoma" w:cs="Tahoma"/>
          <w:sz w:val="16"/>
          <w:szCs w:val="16"/>
        </w:rPr>
        <w:t xml:space="preserve"> Pokud by na základě převzatých činností nebylo možné dříve poskytnuté podpory </w:t>
      </w:r>
      <w:r w:rsidRPr="001E6520">
        <w:rPr>
          <w:rFonts w:ascii="Tahoma" w:hAnsi="Tahoma" w:cs="Tahoma"/>
          <w:i/>
          <w:sz w:val="16"/>
          <w:szCs w:val="16"/>
        </w:rPr>
        <w:t>de minimis</w:t>
      </w:r>
      <w:r w:rsidRPr="001E6520">
        <w:rPr>
          <w:rFonts w:ascii="Tahoma" w:hAnsi="Tahoma" w:cs="Tahoma"/>
          <w:sz w:val="16"/>
          <w:szCs w:val="16"/>
        </w:rPr>
        <w:t xml:space="preserve"> rozdělit, rozdělí se podpora poměrným způsobem na základě účetní hodnoty vlastního kapitálu nových podniků k datu </w:t>
      </w:r>
      <w:r w:rsidRPr="00B3127B">
        <w:rPr>
          <w:rFonts w:ascii="Tahoma" w:hAnsi="Tahoma" w:cs="Tahoma"/>
          <w:sz w:val="16"/>
          <w:szCs w:val="16"/>
        </w:rPr>
        <w:t xml:space="preserve">účinku rozdělení </w:t>
      </w:r>
      <w:r w:rsidRPr="00B3127B">
        <w:rPr>
          <w:rFonts w:ascii="Tahoma" w:hAnsi="Tahoma" w:cs="Tahoma"/>
        </w:rPr>
        <w:t>[</w:t>
      </w:r>
      <w:r w:rsidRPr="00B3127B">
        <w:rPr>
          <w:rFonts w:ascii="Tahoma" w:hAnsi="Tahoma" w:cs="Tahoma"/>
          <w:sz w:val="16"/>
          <w:szCs w:val="16"/>
        </w:rPr>
        <w:t>viz nařízení Komise (EU) 2023/2831, nařízení Komise (EU) č. 1408/2013 a nařízení Komise (EU) č. 717/2014</w:t>
      </w:r>
      <w:r w:rsidRPr="00B3127B">
        <w:rPr>
          <w:rFonts w:ascii="Tahoma" w:hAnsi="Tahoma" w:cs="Tahoma"/>
        </w:rPr>
        <w:t>]</w:t>
      </w:r>
      <w:r w:rsidRPr="00B3127B">
        <w:rPr>
          <w:rFonts w:ascii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17A02"/>
    <w:multiLevelType w:val="hybridMultilevel"/>
    <w:tmpl w:val="98CC55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714F9D"/>
    <w:multiLevelType w:val="hybridMultilevel"/>
    <w:tmpl w:val="AB4AC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114107">
    <w:abstractNumId w:val="0"/>
  </w:num>
  <w:num w:numId="2" w16cid:durableId="1063258080">
    <w:abstractNumId w:val="2"/>
  </w:num>
  <w:num w:numId="3" w16cid:durableId="1418020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CA"/>
    <w:rsid w:val="00360233"/>
    <w:rsid w:val="004B15D6"/>
    <w:rsid w:val="00935818"/>
    <w:rsid w:val="00B3127B"/>
    <w:rsid w:val="00F7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26D8"/>
  <w15:chartTrackingRefBased/>
  <w15:docId w15:val="{C78514DF-90AC-4893-9CB3-B44DA916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F703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703CA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Znakapoznpodarou">
    <w:name w:val="footnote reference"/>
    <w:uiPriority w:val="99"/>
    <w:rsid w:val="00F703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1964</Words>
  <Characters>11592</Characters>
  <Application>Microsoft Office Word</Application>
  <DocSecurity>0</DocSecurity>
  <Lines>96</Lines>
  <Paragraphs>27</Paragraphs>
  <ScaleCrop>false</ScaleCrop>
  <Company>MPSV ČR</Company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Zamrzlová Lenka Mgr. (MPSV)</dc:creator>
  <cp:keywords/>
  <dc:description/>
  <cp:lastModifiedBy>Zamrzlová Lenka Mgr. (MPSV)</cp:lastModifiedBy>
  <cp:revision>2</cp:revision>
  <dcterms:created xsi:type="dcterms:W3CDTF">2024-06-13T06:56:00Z</dcterms:created>
  <dcterms:modified xsi:type="dcterms:W3CDTF">2024-06-13T07:03:00Z</dcterms:modified>
</cp:coreProperties>
</file>