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57" w:rsidRDefault="00725C57" w:rsidP="00725C57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00430"/>
                <wp:effectExtent l="0" t="0" r="2540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00430"/>
                          <a:chOff x="0" y="0"/>
                          <a:chExt cx="11906" cy="141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solidFill>
                            <a:srgbClr val="0C4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C57" w:rsidRDefault="00725C57" w:rsidP="00725C57">
                              <w:pPr>
                                <w:spacing w:before="309"/>
                                <w:ind w:left="72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Příloha č. 4</w:t>
                              </w:r>
                            </w:p>
                            <w:p w:rsidR="00725C57" w:rsidRDefault="00725C57" w:rsidP="00725C57">
                              <w:pPr>
                                <w:spacing w:before="43"/>
                                <w:ind w:left="73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8"/>
                                </w:rPr>
                                <w:t>Šablona Zadání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0;margin-top:0;width:595.3pt;height:70.9pt;z-index:-251656192;mso-position-horizontal-relative:page;mso-position-vertical-relative:page" coordsize="11906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">
                <v:rect id="Rectangle 4" o:spid="_x0000_s1027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" fillcolor="#0c4f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25C57" w:rsidRDefault="00725C57" w:rsidP="00725C57">
                        <w:pPr>
                          <w:spacing w:before="309"/>
                          <w:ind w:left="72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44"/>
                          </w:rPr>
                          <w:t>Příloha č. 4</w:t>
                        </w:r>
                      </w:p>
                      <w:p w:rsidR="00725C57" w:rsidRDefault="00725C57" w:rsidP="00725C57">
                        <w:pPr>
                          <w:spacing w:before="43"/>
                          <w:ind w:left="7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8"/>
                          </w:rPr>
                          <w:t>Šablona Zadání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5C57" w:rsidRDefault="00725C57" w:rsidP="00725C57">
      <w:pPr>
        <w:pStyle w:val="Zkladntext"/>
      </w:pPr>
    </w:p>
    <w:p w:rsidR="00725C57" w:rsidRDefault="00725C57" w:rsidP="00725C57">
      <w:pPr>
        <w:pStyle w:val="Zkladntext"/>
      </w:pPr>
    </w:p>
    <w:p w:rsidR="00725C57" w:rsidRDefault="00725C57" w:rsidP="00725C57">
      <w:pPr>
        <w:pStyle w:val="Zkladntext"/>
      </w:pPr>
    </w:p>
    <w:p w:rsidR="00725C57" w:rsidRDefault="00725C57" w:rsidP="00725C57">
      <w:pPr>
        <w:pStyle w:val="Zkladntext"/>
        <w:spacing w:before="121"/>
        <w:ind w:left="120"/>
        <w:jc w:val="both"/>
      </w:pPr>
      <w:bookmarkStart w:id="0" w:name="_GoBack"/>
      <w:bookmarkEnd w:id="0"/>
      <w:r>
        <w:rPr>
          <w:color w:val="231F20"/>
          <w:w w:val="115"/>
        </w:rPr>
        <w:t>Zadávací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listina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procesu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střednědobého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plánování,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naplňování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vyhodnocování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rozvoje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sociálních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služeb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spacing w:before="124"/>
        <w:ind w:hanging="566"/>
        <w:jc w:val="both"/>
        <w:rPr>
          <w:sz w:val="20"/>
        </w:rPr>
      </w:pPr>
      <w:r>
        <w:rPr>
          <w:color w:val="231F20"/>
          <w:w w:val="110"/>
          <w:sz w:val="20"/>
        </w:rPr>
        <w:t>Zadavatel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ind w:hanging="566"/>
        <w:jc w:val="both"/>
        <w:rPr>
          <w:sz w:val="20"/>
        </w:rPr>
      </w:pPr>
      <w:r>
        <w:rPr>
          <w:color w:val="231F20"/>
          <w:w w:val="110"/>
          <w:sz w:val="20"/>
        </w:rPr>
        <w:t>Odpovědný zástupce zadavatele pro</w:t>
      </w:r>
      <w:r>
        <w:rPr>
          <w:color w:val="231F20"/>
          <w:spacing w:val="-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ind w:hanging="566"/>
        <w:jc w:val="both"/>
        <w:rPr>
          <w:sz w:val="20"/>
        </w:rPr>
      </w:pPr>
      <w:r>
        <w:rPr>
          <w:color w:val="231F20"/>
          <w:w w:val="115"/>
          <w:sz w:val="20"/>
        </w:rPr>
        <w:t>Příjemce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Zadání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spacing w:before="124"/>
        <w:ind w:hanging="566"/>
        <w:jc w:val="both"/>
        <w:rPr>
          <w:sz w:val="20"/>
        </w:rPr>
      </w:pPr>
      <w:r>
        <w:rPr>
          <w:color w:val="231F20"/>
          <w:w w:val="110"/>
          <w:sz w:val="20"/>
        </w:rPr>
        <w:t>Zadání:</w:t>
      </w:r>
    </w:p>
    <w:p w:rsidR="00725C57" w:rsidRDefault="00725C57" w:rsidP="00725C57">
      <w:pPr>
        <w:pStyle w:val="Zkladntext"/>
        <w:spacing w:before="9"/>
        <w:rPr>
          <w:sz w:val="25"/>
        </w:rPr>
      </w:pP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0"/>
        <w:rPr>
          <w:sz w:val="20"/>
        </w:rPr>
      </w:pPr>
      <w:r>
        <w:rPr>
          <w:color w:val="231F20"/>
          <w:w w:val="115"/>
          <w:sz w:val="20"/>
        </w:rPr>
        <w:t>Účel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procesu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4"/>
        <w:rPr>
          <w:sz w:val="20"/>
        </w:rPr>
      </w:pPr>
      <w:r>
        <w:rPr>
          <w:color w:val="231F20"/>
          <w:w w:val="110"/>
          <w:sz w:val="20"/>
        </w:rPr>
        <w:t>Cíle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procesu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Stanovení plánovacího období</w:t>
      </w:r>
      <w:r>
        <w:rPr>
          <w:color w:val="231F20"/>
          <w:spacing w:val="-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(od–do)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Vymezení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území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4"/>
        <w:rPr>
          <w:b/>
          <w:sz w:val="11"/>
        </w:rPr>
      </w:pPr>
      <w:r>
        <w:rPr>
          <w:color w:val="231F20"/>
          <w:w w:val="120"/>
          <w:sz w:val="20"/>
        </w:rPr>
        <w:t>Hodnoty/Principy</w:t>
      </w:r>
      <w:r>
        <w:rPr>
          <w:b/>
          <w:color w:val="231F20"/>
          <w:w w:val="120"/>
          <w:position w:val="7"/>
          <w:sz w:val="11"/>
        </w:rPr>
        <w:t>48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3" w:line="312" w:lineRule="auto"/>
        <w:ind w:right="118"/>
        <w:rPr>
          <w:sz w:val="20"/>
        </w:rPr>
      </w:pPr>
      <w:r>
        <w:rPr>
          <w:color w:val="231F20"/>
          <w:w w:val="115"/>
          <w:sz w:val="20"/>
        </w:rPr>
        <w:t>Zainteresované strany (pro koho jsou určeny výstupy a výsledky procesu, komu realizace prospěje)</w:t>
      </w:r>
    </w:p>
    <w:p w:rsidR="00725C57" w:rsidRDefault="00725C57" w:rsidP="00725C57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16"/>
        <w:rPr>
          <w:sz w:val="20"/>
        </w:rPr>
      </w:pPr>
      <w:r>
        <w:rPr>
          <w:color w:val="231F20"/>
          <w:w w:val="115"/>
          <w:sz w:val="20"/>
        </w:rPr>
        <w:t>Potřeby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725C57" w:rsidRDefault="00725C57" w:rsidP="00725C57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3"/>
        <w:rPr>
          <w:b/>
          <w:sz w:val="11"/>
        </w:rPr>
      </w:pPr>
      <w:r>
        <w:rPr>
          <w:color w:val="231F20"/>
          <w:w w:val="110"/>
          <w:sz w:val="20"/>
        </w:rPr>
        <w:t>Požadavky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zadavatele</w:t>
      </w:r>
      <w:r>
        <w:rPr>
          <w:b/>
          <w:color w:val="231F20"/>
          <w:w w:val="110"/>
          <w:position w:val="7"/>
          <w:sz w:val="11"/>
        </w:rPr>
        <w:t>49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Požadované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(výčet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toho,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musí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vzniknout,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bude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zhotoveno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apod.)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4"/>
        </w:tabs>
        <w:spacing w:before="184" w:line="312" w:lineRule="auto"/>
        <w:ind w:right="117"/>
        <w:jc w:val="both"/>
        <w:rPr>
          <w:sz w:val="20"/>
        </w:rPr>
      </w:pPr>
      <w:r>
        <w:rPr>
          <w:color w:val="231F20"/>
          <w:w w:val="115"/>
          <w:sz w:val="20"/>
        </w:rPr>
        <w:t>Hodnoticí kritéria zadavatele, včetně požadovaného přezkoumání a schvalování (průběžné vyhodnocování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procesu,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kdo,</w:t>
      </w:r>
      <w:r>
        <w:rPr>
          <w:color w:val="231F20"/>
          <w:spacing w:val="-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kdy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musí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přezkoumat</w:t>
      </w:r>
      <w:r>
        <w:rPr>
          <w:color w:val="231F20"/>
          <w:spacing w:val="-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schválit,</w:t>
      </w:r>
      <w:r>
        <w:rPr>
          <w:color w:val="231F20"/>
          <w:spacing w:val="-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včetně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požadovaných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 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stavu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realizace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–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závazné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řízení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vyhodnocení)</w:t>
      </w:r>
    </w:p>
    <w:p w:rsidR="00725C57" w:rsidRDefault="00725C57" w:rsidP="00725C57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6"/>
        <w:rPr>
          <w:sz w:val="20"/>
        </w:rPr>
      </w:pPr>
      <w:r>
        <w:rPr>
          <w:color w:val="231F20"/>
          <w:w w:val="115"/>
          <w:sz w:val="20"/>
        </w:rPr>
        <w:t>Rizika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pohledu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zadavatele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(nutno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zohlednit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ošetřit)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spacing w:before="180"/>
        <w:ind w:hanging="566"/>
        <w:jc w:val="both"/>
        <w:rPr>
          <w:b/>
          <w:sz w:val="11"/>
        </w:rPr>
      </w:pPr>
      <w:r>
        <w:rPr>
          <w:color w:val="231F20"/>
          <w:w w:val="115"/>
          <w:sz w:val="20"/>
        </w:rPr>
        <w:t>Alokované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zdroje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(finanční,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personální,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materiální)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přípravu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Záměru</w:t>
      </w:r>
      <w:r>
        <w:rPr>
          <w:b/>
          <w:color w:val="231F20"/>
          <w:w w:val="115"/>
          <w:position w:val="7"/>
          <w:sz w:val="11"/>
        </w:rPr>
        <w:t>50</w:t>
      </w:r>
    </w:p>
    <w:p w:rsidR="00725C57" w:rsidRDefault="00725C57" w:rsidP="00725C57">
      <w:pPr>
        <w:pStyle w:val="Odstavecseseznamem"/>
        <w:numPr>
          <w:ilvl w:val="0"/>
          <w:numId w:val="1"/>
        </w:numPr>
        <w:tabs>
          <w:tab w:val="left" w:pos="687"/>
        </w:tabs>
        <w:spacing w:before="184"/>
        <w:ind w:hanging="566"/>
        <w:jc w:val="both"/>
        <w:rPr>
          <w:sz w:val="20"/>
        </w:rPr>
      </w:pPr>
      <w:r>
        <w:rPr>
          <w:color w:val="231F20"/>
          <w:spacing w:val="-3"/>
          <w:w w:val="115"/>
          <w:sz w:val="20"/>
        </w:rPr>
        <w:t xml:space="preserve">Termín </w:t>
      </w:r>
      <w:r>
        <w:rPr>
          <w:color w:val="231F20"/>
          <w:w w:val="115"/>
          <w:sz w:val="20"/>
        </w:rPr>
        <w:t>dodání zpracovaného</w:t>
      </w:r>
      <w:r>
        <w:rPr>
          <w:color w:val="231F20"/>
          <w:spacing w:val="-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Záměru</w:t>
      </w:r>
    </w:p>
    <w:p w:rsidR="00725C57" w:rsidRDefault="00725C57" w:rsidP="00725C57">
      <w:pPr>
        <w:pStyle w:val="Zkladntext"/>
        <w:rPr>
          <w:sz w:val="26"/>
        </w:rPr>
      </w:pPr>
    </w:p>
    <w:p w:rsidR="00725C57" w:rsidRDefault="00725C57" w:rsidP="00725C57">
      <w:pPr>
        <w:pStyle w:val="Zkladntext"/>
        <w:rPr>
          <w:sz w:val="26"/>
        </w:rPr>
      </w:pPr>
    </w:p>
    <w:p w:rsidR="00725C57" w:rsidRDefault="00725C57" w:rsidP="00725C57">
      <w:pPr>
        <w:pStyle w:val="Zkladntext"/>
        <w:rPr>
          <w:sz w:val="26"/>
        </w:rPr>
      </w:pPr>
    </w:p>
    <w:p w:rsidR="00725C57" w:rsidRDefault="00725C57" w:rsidP="00725C57">
      <w:pPr>
        <w:pStyle w:val="Zkladntext"/>
        <w:rPr>
          <w:sz w:val="26"/>
        </w:rPr>
      </w:pPr>
    </w:p>
    <w:p w:rsidR="00725C57" w:rsidRDefault="00725C57" w:rsidP="00725C57">
      <w:pPr>
        <w:pStyle w:val="Zkladntext"/>
        <w:spacing w:before="227"/>
        <w:ind w:left="120"/>
        <w:jc w:val="both"/>
      </w:pPr>
      <w:r>
        <w:rPr>
          <w:color w:val="231F20"/>
          <w:w w:val="110"/>
        </w:rPr>
        <w:t>Vypracoval/a:</w:t>
      </w:r>
    </w:p>
    <w:p w:rsidR="00725C57" w:rsidRDefault="00725C57" w:rsidP="00725C57">
      <w:pPr>
        <w:pStyle w:val="Zkladntext"/>
        <w:spacing w:before="184"/>
        <w:ind w:left="120"/>
        <w:jc w:val="both"/>
      </w:pPr>
      <w:r>
        <w:rPr>
          <w:color w:val="231F20"/>
          <w:w w:val="115"/>
        </w:rPr>
        <w:t>Datum vydání:</w:t>
      </w:r>
    </w:p>
    <w:p w:rsidR="00725C57" w:rsidRDefault="00725C57" w:rsidP="00725C57">
      <w:pPr>
        <w:pStyle w:val="Zkladntext"/>
      </w:pPr>
    </w:p>
    <w:p w:rsidR="00725C57" w:rsidRDefault="00725C57" w:rsidP="00725C57">
      <w:pPr>
        <w:pStyle w:val="Zkladntext"/>
      </w:pPr>
    </w:p>
    <w:p w:rsidR="00725C57" w:rsidRDefault="00725C57" w:rsidP="00725C57">
      <w:pPr>
        <w:pStyle w:val="Zkladn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210185</wp:posOffset>
                </wp:positionV>
                <wp:extent cx="2350770" cy="0"/>
                <wp:effectExtent l="9525" t="8255" r="11430" b="10795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C4F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5D4E" id="Přímá spojnice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55pt" to="22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" strokecolor="#0c4f95" strokeweight=".5pt">
                <w10:wrap type="topAndBottom" anchorx="page"/>
              </v:line>
            </w:pict>
          </mc:Fallback>
        </mc:AlternateContent>
      </w:r>
    </w:p>
    <w:p w:rsidR="00725C57" w:rsidRDefault="00725C57" w:rsidP="00725C57">
      <w:pPr>
        <w:pStyle w:val="Zkladntext"/>
        <w:spacing w:before="7"/>
        <w:rPr>
          <w:sz w:val="35"/>
        </w:rPr>
      </w:pPr>
    </w:p>
    <w:p w:rsidR="00725C57" w:rsidRDefault="00725C57" w:rsidP="00725C57">
      <w:pPr>
        <w:spacing w:line="312" w:lineRule="auto"/>
        <w:ind w:left="120"/>
        <w:rPr>
          <w:sz w:val="16"/>
        </w:rPr>
      </w:pPr>
      <w:r>
        <w:rPr>
          <w:b/>
          <w:color w:val="58595B"/>
          <w:w w:val="115"/>
          <w:position w:val="5"/>
          <w:sz w:val="9"/>
        </w:rPr>
        <w:t xml:space="preserve">48 </w:t>
      </w:r>
      <w:r>
        <w:rPr>
          <w:color w:val="58595B"/>
          <w:w w:val="115"/>
          <w:sz w:val="16"/>
        </w:rPr>
        <w:t>Zde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jsou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míněny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hlavní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hodnoty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principy,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kterými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by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se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celý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proces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SPRSS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měl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řídit.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Mělo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by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se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jednat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</w:t>
      </w:r>
      <w:r>
        <w:rPr>
          <w:color w:val="58595B"/>
          <w:spacing w:val="-22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obecnější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hodnoty</w:t>
      </w:r>
      <w:r>
        <w:rPr>
          <w:color w:val="58595B"/>
          <w:spacing w:val="-2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(např. nediskriminace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jednotlivých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cílových</w:t>
      </w:r>
      <w:r>
        <w:rPr>
          <w:color w:val="58595B"/>
          <w:spacing w:val="-10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skupin),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v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nichž</w:t>
      </w:r>
      <w:r>
        <w:rPr>
          <w:color w:val="58595B"/>
          <w:spacing w:val="-10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se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případně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může</w:t>
      </w:r>
      <w:r>
        <w:rPr>
          <w:color w:val="58595B"/>
          <w:spacing w:val="-10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odrážet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i</w:t>
      </w:r>
      <w:r>
        <w:rPr>
          <w:color w:val="58595B"/>
          <w:spacing w:val="-10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„politické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Zadání“.</w:t>
      </w:r>
    </w:p>
    <w:p w:rsidR="00725C57" w:rsidRDefault="00725C57" w:rsidP="00725C57">
      <w:pPr>
        <w:spacing w:before="2"/>
        <w:ind w:left="120"/>
        <w:rPr>
          <w:sz w:val="16"/>
        </w:rPr>
      </w:pPr>
      <w:r>
        <w:rPr>
          <w:b/>
          <w:color w:val="58595B"/>
          <w:w w:val="115"/>
          <w:position w:val="5"/>
          <w:sz w:val="9"/>
        </w:rPr>
        <w:t xml:space="preserve">49 </w:t>
      </w:r>
      <w:r>
        <w:rPr>
          <w:color w:val="58595B"/>
          <w:w w:val="115"/>
          <w:sz w:val="16"/>
        </w:rPr>
        <w:t>Zde jsou míněny konkrétnější představy zadavatele, které by v rámci přípravy Záměru neměly být opominuty.</w:t>
      </w:r>
    </w:p>
    <w:p w:rsidR="00725C57" w:rsidRDefault="00725C57" w:rsidP="00725C57">
      <w:pPr>
        <w:spacing w:before="56" w:line="312" w:lineRule="auto"/>
        <w:ind w:left="120" w:right="116"/>
        <w:jc w:val="both"/>
        <w:rPr>
          <w:sz w:val="16"/>
        </w:rPr>
      </w:pPr>
      <w:r>
        <w:rPr>
          <w:b/>
          <w:color w:val="58595B"/>
          <w:w w:val="115"/>
          <w:position w:val="5"/>
          <w:sz w:val="9"/>
        </w:rPr>
        <w:t xml:space="preserve">50 </w:t>
      </w:r>
      <w:r>
        <w:rPr>
          <w:color w:val="58595B"/>
          <w:w w:val="115"/>
          <w:sz w:val="16"/>
        </w:rPr>
        <w:t>Zde jsou míněny zdroje nutné pro vytvoření Záměru. Politický zadavatel musí pověřit tým zpracovatelů Záměru (nebo pověřit nejlépe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Manažera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SPRSS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sestavením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takového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týmu)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alokovat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zpracování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Záměru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zdroje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–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personální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(především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zaměstnanci příslušného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odboru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KÚ,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ale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již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v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této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fázi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se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tvorbě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Záměru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mohou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podílet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externisté,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např.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metodici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plánování,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zástupci</w:t>
      </w:r>
      <w:r>
        <w:rPr>
          <w:color w:val="58595B"/>
          <w:spacing w:val="-28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obcí</w:t>
      </w:r>
      <w:r>
        <w:rPr>
          <w:color w:val="58595B"/>
          <w:spacing w:val="-29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apod.), materiální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finanční.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Zadání</w:t>
      </w:r>
      <w:r>
        <w:rPr>
          <w:color w:val="58595B"/>
          <w:spacing w:val="-4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by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tak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mělo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obsahovat</w:t>
      </w:r>
      <w:r>
        <w:rPr>
          <w:color w:val="58595B"/>
          <w:spacing w:val="-4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údaj,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kolik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bude</w:t>
      </w:r>
      <w:r>
        <w:rPr>
          <w:color w:val="58595B"/>
          <w:spacing w:val="-4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přibližně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zpracování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Záměru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stát.</w:t>
      </w:r>
      <w:r>
        <w:rPr>
          <w:color w:val="58595B"/>
          <w:spacing w:val="-4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Oproti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tomu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požadavek</w:t>
      </w:r>
      <w:r>
        <w:rPr>
          <w:color w:val="58595B"/>
          <w:spacing w:val="-5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 zdroje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(finanční,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personální,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materiální)</w:t>
      </w:r>
      <w:r>
        <w:rPr>
          <w:color w:val="58595B"/>
          <w:spacing w:val="-6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uskutečnění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celého</w:t>
      </w:r>
      <w:r>
        <w:rPr>
          <w:color w:val="58595B"/>
          <w:spacing w:val="-6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procesu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SPRSS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a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odhad</w:t>
      </w:r>
      <w:r>
        <w:rPr>
          <w:color w:val="58595B"/>
          <w:spacing w:val="-6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nákladů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na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síť</w:t>
      </w:r>
      <w:r>
        <w:rPr>
          <w:color w:val="58595B"/>
          <w:spacing w:val="-6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sociálních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služeb</w:t>
      </w:r>
      <w:r>
        <w:rPr>
          <w:color w:val="58595B"/>
          <w:spacing w:val="-7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(která</w:t>
      </w:r>
      <w:r>
        <w:rPr>
          <w:color w:val="58595B"/>
          <w:spacing w:val="-6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je součástí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SPRSS)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vzejde</w:t>
      </w:r>
      <w:r>
        <w:rPr>
          <w:color w:val="58595B"/>
          <w:spacing w:val="-11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ze</w:t>
      </w:r>
      <w:r>
        <w:rPr>
          <w:color w:val="58595B"/>
          <w:spacing w:val="-10"/>
          <w:w w:val="115"/>
          <w:sz w:val="16"/>
        </w:rPr>
        <w:t xml:space="preserve"> </w:t>
      </w:r>
      <w:r>
        <w:rPr>
          <w:color w:val="58595B"/>
          <w:w w:val="115"/>
          <w:sz w:val="16"/>
        </w:rPr>
        <w:t>Záměru.</w:t>
      </w:r>
    </w:p>
    <w:p w:rsidR="00C75FC3" w:rsidRDefault="00C75FC3"/>
    <w:sectPr w:rsidR="00C75FC3" w:rsidSect="00725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1965"/>
    <w:multiLevelType w:val="hybridMultilevel"/>
    <w:tmpl w:val="C1045C96"/>
    <w:lvl w:ilvl="0" w:tplc="6454751A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color w:val="231F20"/>
        <w:w w:val="68"/>
        <w:sz w:val="20"/>
        <w:szCs w:val="20"/>
        <w:lang w:val="cs-CZ" w:eastAsia="cs-CZ" w:bidi="cs-CZ"/>
      </w:rPr>
    </w:lvl>
    <w:lvl w:ilvl="1" w:tplc="CC5C7B54">
      <w:numFmt w:val="bullet"/>
      <w:lvlText w:val="•"/>
      <w:lvlJc w:val="left"/>
      <w:pPr>
        <w:ind w:left="1253" w:hanging="567"/>
      </w:pPr>
      <w:rPr>
        <w:rFonts w:ascii="Arial" w:eastAsia="Arial" w:hAnsi="Arial" w:cs="Arial" w:hint="default"/>
        <w:b/>
        <w:bCs/>
        <w:color w:val="231F20"/>
        <w:w w:val="91"/>
        <w:sz w:val="20"/>
        <w:szCs w:val="20"/>
        <w:lang w:val="cs-CZ" w:eastAsia="cs-CZ" w:bidi="cs-CZ"/>
      </w:rPr>
    </w:lvl>
    <w:lvl w:ilvl="2" w:tplc="D14014F2">
      <w:numFmt w:val="bullet"/>
      <w:lvlText w:val="•"/>
      <w:lvlJc w:val="left"/>
      <w:pPr>
        <w:ind w:left="1820" w:hanging="567"/>
      </w:pPr>
      <w:rPr>
        <w:rFonts w:ascii="Arial" w:eastAsia="Arial" w:hAnsi="Arial" w:cs="Arial" w:hint="default"/>
        <w:b/>
        <w:bCs/>
        <w:color w:val="231F20"/>
        <w:w w:val="91"/>
        <w:sz w:val="20"/>
        <w:szCs w:val="20"/>
        <w:lang w:val="cs-CZ" w:eastAsia="cs-CZ" w:bidi="cs-CZ"/>
      </w:rPr>
    </w:lvl>
    <w:lvl w:ilvl="3" w:tplc="DFC8984A">
      <w:numFmt w:val="bullet"/>
      <w:lvlText w:val="•"/>
      <w:lvlJc w:val="left"/>
      <w:pPr>
        <w:ind w:left="2930" w:hanging="567"/>
      </w:pPr>
      <w:rPr>
        <w:rFonts w:hint="default"/>
        <w:lang w:val="cs-CZ" w:eastAsia="cs-CZ" w:bidi="cs-CZ"/>
      </w:rPr>
    </w:lvl>
    <w:lvl w:ilvl="4" w:tplc="C2B400B6">
      <w:numFmt w:val="bullet"/>
      <w:lvlText w:val="•"/>
      <w:lvlJc w:val="left"/>
      <w:pPr>
        <w:ind w:left="4041" w:hanging="567"/>
      </w:pPr>
      <w:rPr>
        <w:rFonts w:hint="default"/>
        <w:lang w:val="cs-CZ" w:eastAsia="cs-CZ" w:bidi="cs-CZ"/>
      </w:rPr>
    </w:lvl>
    <w:lvl w:ilvl="5" w:tplc="924CDBAA">
      <w:numFmt w:val="bullet"/>
      <w:lvlText w:val="•"/>
      <w:lvlJc w:val="left"/>
      <w:pPr>
        <w:ind w:left="5152" w:hanging="567"/>
      </w:pPr>
      <w:rPr>
        <w:rFonts w:hint="default"/>
        <w:lang w:val="cs-CZ" w:eastAsia="cs-CZ" w:bidi="cs-CZ"/>
      </w:rPr>
    </w:lvl>
    <w:lvl w:ilvl="6" w:tplc="AD6ED61A">
      <w:numFmt w:val="bullet"/>
      <w:lvlText w:val="•"/>
      <w:lvlJc w:val="left"/>
      <w:pPr>
        <w:ind w:left="6262" w:hanging="567"/>
      </w:pPr>
      <w:rPr>
        <w:rFonts w:hint="default"/>
        <w:lang w:val="cs-CZ" w:eastAsia="cs-CZ" w:bidi="cs-CZ"/>
      </w:rPr>
    </w:lvl>
    <w:lvl w:ilvl="7" w:tplc="45F8BD0C">
      <w:numFmt w:val="bullet"/>
      <w:lvlText w:val="•"/>
      <w:lvlJc w:val="left"/>
      <w:pPr>
        <w:ind w:left="7373" w:hanging="567"/>
      </w:pPr>
      <w:rPr>
        <w:rFonts w:hint="default"/>
        <w:lang w:val="cs-CZ" w:eastAsia="cs-CZ" w:bidi="cs-CZ"/>
      </w:rPr>
    </w:lvl>
    <w:lvl w:ilvl="8" w:tplc="0526D81A">
      <w:numFmt w:val="bullet"/>
      <w:lvlText w:val="•"/>
      <w:lvlJc w:val="left"/>
      <w:pPr>
        <w:ind w:left="8484" w:hanging="56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725C57"/>
    <w:rsid w:val="00C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74FFCD6-4F1A-4F43-8E8A-AA7820B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25C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25C57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5C57"/>
    <w:rPr>
      <w:rFonts w:ascii="Arial" w:eastAsia="Arial" w:hAnsi="Arial" w:cs="Arial"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1"/>
    <w:qFormat/>
    <w:rsid w:val="00725C57"/>
    <w:pPr>
      <w:spacing w:before="123"/>
      <w:ind w:left="686" w:hanging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Ondřej Mgr. (MPSV)</dc:creator>
  <cp:keywords/>
  <dc:description/>
  <cp:lastModifiedBy>Štěpánek Ondřej Mgr. (MPSV)</cp:lastModifiedBy>
  <cp:revision>1</cp:revision>
  <dcterms:created xsi:type="dcterms:W3CDTF">2020-08-11T08:50:00Z</dcterms:created>
  <dcterms:modified xsi:type="dcterms:W3CDTF">2020-08-11T08:55:00Z</dcterms:modified>
</cp:coreProperties>
</file>