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3B" w:rsidRPr="004904AE" w:rsidRDefault="004904AE">
      <w:pPr>
        <w:rPr>
          <w:b/>
          <w:u w:val="single"/>
        </w:rPr>
      </w:pPr>
      <w:r w:rsidRPr="004904AE">
        <w:rPr>
          <w:b/>
          <w:u w:val="single"/>
        </w:rPr>
        <w:t>Informace k</w:t>
      </w:r>
      <w:r w:rsidR="00290A5A" w:rsidRPr="004904AE">
        <w:rPr>
          <w:b/>
          <w:u w:val="single"/>
        </w:rPr>
        <w:t xml:space="preserve"> vyplnění </w:t>
      </w:r>
      <w:r w:rsidR="0006132C" w:rsidRPr="004904AE">
        <w:rPr>
          <w:b/>
          <w:u w:val="single"/>
        </w:rPr>
        <w:t>Povinné přílohy č.5_</w:t>
      </w:r>
      <w:r w:rsidR="009E0719" w:rsidRPr="004904AE">
        <w:rPr>
          <w:b/>
          <w:u w:val="single"/>
        </w:rPr>
        <w:t>Indikativní rozpočet</w:t>
      </w:r>
    </w:p>
    <w:p w:rsidR="00290A5A" w:rsidRDefault="00290A5A">
      <w:pPr>
        <w:rPr>
          <w:b/>
          <w:u w:val="single"/>
        </w:rPr>
      </w:pPr>
    </w:p>
    <w:p w:rsidR="00290A5A" w:rsidRDefault="00290A5A">
      <w:r w:rsidRPr="00290A5A">
        <w:t xml:space="preserve">1. Volba </w:t>
      </w:r>
      <w:r>
        <w:t>programu a podprogramu: ve sloupci C otevřete rozbalovací seznam a vyberte příslušný podprogram odpovídající cíli podle dokumentace programu:</w:t>
      </w:r>
    </w:p>
    <w:p w:rsidR="00290A5A" w:rsidRDefault="00290A5A">
      <w:r>
        <w:rPr>
          <w:noProof/>
          <w:lang w:eastAsia="cs-CZ"/>
        </w:rPr>
        <w:drawing>
          <wp:inline distT="0" distB="0" distL="0" distR="0" wp14:anchorId="273D803B" wp14:editId="47377A28">
            <wp:extent cx="5600700" cy="2209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0294" r="22682" b="31436"/>
                    <a:stretch/>
                  </pic:blipFill>
                  <pic:spPr bwMode="auto">
                    <a:xfrm>
                      <a:off x="0" y="0"/>
                      <a:ext cx="5600700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D72" w:rsidRDefault="004F6D72"/>
    <w:p w:rsidR="00290A5A" w:rsidRDefault="00290A5A">
      <w:r>
        <w:t>2. Volba stavu realizace akce: v buňce B3 otevřete rozbalovací seznam a vyberte příslušný stav realizace:</w:t>
      </w:r>
    </w:p>
    <w:p w:rsidR="00290A5A" w:rsidRDefault="00290A5A">
      <w:r>
        <w:rPr>
          <w:noProof/>
          <w:lang w:eastAsia="cs-CZ"/>
        </w:rPr>
        <w:drawing>
          <wp:inline distT="0" distB="0" distL="0" distR="0" wp14:anchorId="652DC153" wp14:editId="20823611">
            <wp:extent cx="5600700" cy="13430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1177" r="22185" b="37323"/>
                    <a:stretch/>
                  </pic:blipFill>
                  <pic:spPr bwMode="auto">
                    <a:xfrm>
                      <a:off x="0" y="0"/>
                      <a:ext cx="5600700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0A5A" w:rsidRDefault="00602563" w:rsidP="00602563">
      <w:pPr>
        <w:jc w:val="both"/>
      </w:pPr>
      <w:r>
        <w:t xml:space="preserve">3. Příklad vyplnění pro akci charakteru nákup vozidla. Žadatel vyplňuje formulář při podání žádosti o dotaci. V okamžiku podání žádosti provedl již výběr zpracovatele investičního záměru a administrátora veřejných zakázek, který připraví výběrové řízení na dodavatele vozidla. Smlouva na zpracování investičního záměru je v hodnotě </w:t>
      </w:r>
      <w:r w:rsidR="00CD2472">
        <w:t>9.680</w:t>
      </w:r>
      <w:r>
        <w:t xml:space="preserve"> Kč, náklady na administraci veřejné zakázky</w:t>
      </w:r>
      <w:r w:rsidR="00CD2472">
        <w:t xml:space="preserve"> činí podle uzavřené smlouvy 22 99</w:t>
      </w:r>
      <w:r>
        <w:t>0 Kč. Náklady na pořízení vozidla se podle provedeného průzkumu trhu očekávají ve výši 1.</w:t>
      </w:r>
      <w:r w:rsidR="00CD2472">
        <w:t>270</w:t>
      </w:r>
      <w:r>
        <w:t>.</w:t>
      </w:r>
      <w:r w:rsidR="00B8689B">
        <w:t>000 Kč. Žadatel není plátce DPH a očekává se, že realizace nepřesáhne kalendářní rok. Žádost nepřekračuje limity stanovené dokumentací programu a nejsou tedy identifikovány nezpůsobilé výdaje.</w:t>
      </w:r>
      <w:r w:rsidR="00335C45">
        <w:t xml:space="preserve"> V příkladu je ukázáno i pořízení vozidla přesahující limity nastavené v dokumentaci programu a vyjádření nezpůsobilých výdajů.</w:t>
      </w:r>
    </w:p>
    <w:p w:rsidR="00602563" w:rsidRDefault="00602563" w:rsidP="00602563">
      <w:pPr>
        <w:jc w:val="both"/>
      </w:pPr>
      <w:r>
        <w:t>Příklad je uveden v příloze „Příklad vyplnění</w:t>
      </w:r>
      <w:r w:rsidR="00202850">
        <w:t xml:space="preserve"> </w:t>
      </w:r>
      <w:r>
        <w:t>-pořízení vozidla</w:t>
      </w:r>
      <w:r w:rsidR="00B8689B">
        <w:t>“.</w:t>
      </w:r>
    </w:p>
    <w:p w:rsidR="005E0B39" w:rsidRDefault="00B8689B" w:rsidP="00602563">
      <w:pPr>
        <w:jc w:val="both"/>
      </w:pPr>
      <w:r>
        <w:t>4. V části Zdroje financování uveďte podíl státního rozpočtu „Dotace ze státního rozpočtu“ a vlastní zdroje. Zdroje financování způsobilých výdajů se člení v podílu 75 % dotace ze státního rozpočtu (ta je určena jen pro financování investičních výdajů) a 25 % podílu činí vlastní zdroje, případně dotace poskytnutá z územních rozpočtů (případně kombinace obou zdrojů).</w:t>
      </w:r>
    </w:p>
    <w:p w:rsidR="005E0B39" w:rsidRDefault="005E0B39" w:rsidP="00602563">
      <w:pPr>
        <w:jc w:val="both"/>
      </w:pPr>
    </w:p>
    <w:p w:rsidR="008371E1" w:rsidRDefault="008371E1" w:rsidP="00602563">
      <w:pPr>
        <w:jc w:val="both"/>
      </w:pPr>
      <w:r>
        <w:t>5. Sazba DPH Indikativní rozpočet</w:t>
      </w:r>
    </w:p>
    <w:p w:rsidR="008371E1" w:rsidRDefault="008371E1" w:rsidP="00602563">
      <w:pPr>
        <w:jc w:val="both"/>
      </w:pPr>
      <w:r>
        <w:t xml:space="preserve">Sloupce označené „vč. DPH“ mají nastavenou obvyklou sazbu DPH. Znamená to tedy, že sazba, která je ve sloupy uvedena je orientační (existence různých sazeb DPH) a </w:t>
      </w:r>
      <w:bookmarkStart w:id="0" w:name="_GoBack"/>
      <w:bookmarkEnd w:id="0"/>
      <w:r>
        <w:t xml:space="preserve">může být upravena (vymazán vzorec) dle skutečnosti.  </w:t>
      </w:r>
    </w:p>
    <w:p w:rsidR="008371E1" w:rsidRDefault="008371E1" w:rsidP="00602563">
      <w:pPr>
        <w:jc w:val="both"/>
        <w:sectPr w:rsidR="008371E1" w:rsidSect="005E0B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F6D72" w:rsidRDefault="00D13534" w:rsidP="00602563">
      <w:pPr>
        <w:jc w:val="both"/>
      </w:pPr>
      <w:r w:rsidRPr="00D13534">
        <w:rPr>
          <w:noProof/>
          <w:lang w:eastAsia="cs-CZ"/>
        </w:rPr>
        <w:lastRenderedPageBreak/>
        <w:drawing>
          <wp:inline distT="0" distB="0" distL="0" distR="0">
            <wp:extent cx="8892540" cy="5696057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9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534" w:rsidRDefault="003C05FC" w:rsidP="00602563">
      <w:pPr>
        <w:jc w:val="both"/>
      </w:pPr>
      <w:r w:rsidRPr="003C05FC">
        <w:rPr>
          <w:noProof/>
          <w:lang w:eastAsia="cs-CZ"/>
        </w:rPr>
        <w:lastRenderedPageBreak/>
        <w:drawing>
          <wp:inline distT="0" distB="0" distL="0" distR="0">
            <wp:extent cx="8892540" cy="5696057"/>
            <wp:effectExtent l="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9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5FC" w:rsidRDefault="003C05FC" w:rsidP="00602563">
      <w:pPr>
        <w:jc w:val="both"/>
      </w:pPr>
      <w:r w:rsidRPr="003C05FC">
        <w:rPr>
          <w:noProof/>
          <w:lang w:eastAsia="cs-CZ"/>
        </w:rPr>
        <w:lastRenderedPageBreak/>
        <w:drawing>
          <wp:inline distT="0" distB="0" distL="0" distR="0">
            <wp:extent cx="8892540" cy="1780325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78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72" w:rsidRDefault="004F6D72" w:rsidP="00602563">
      <w:pPr>
        <w:jc w:val="both"/>
      </w:pPr>
      <w:r w:rsidRPr="004F6D72">
        <w:rPr>
          <w:noProof/>
          <w:lang w:eastAsia="cs-CZ"/>
        </w:rPr>
        <w:lastRenderedPageBreak/>
        <w:drawing>
          <wp:inline distT="0" distB="0" distL="0" distR="0" wp14:anchorId="48FA6871" wp14:editId="695ED721">
            <wp:extent cx="9239250" cy="728487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47209" cy="729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D72" w:rsidSect="005E0B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F72C7"/>
    <w:multiLevelType w:val="hybridMultilevel"/>
    <w:tmpl w:val="3216E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5A"/>
    <w:rsid w:val="0006132C"/>
    <w:rsid w:val="001F073B"/>
    <w:rsid w:val="00202850"/>
    <w:rsid w:val="00290A5A"/>
    <w:rsid w:val="00335C45"/>
    <w:rsid w:val="003A64B3"/>
    <w:rsid w:val="003C05FC"/>
    <w:rsid w:val="004904AE"/>
    <w:rsid w:val="004F6D72"/>
    <w:rsid w:val="005E0B39"/>
    <w:rsid w:val="00602563"/>
    <w:rsid w:val="006F4396"/>
    <w:rsid w:val="0080011E"/>
    <w:rsid w:val="008371E1"/>
    <w:rsid w:val="00950CE1"/>
    <w:rsid w:val="009E0719"/>
    <w:rsid w:val="00B8689B"/>
    <w:rsid w:val="00CD2472"/>
    <w:rsid w:val="00D1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DC237-1E9B-4244-A10E-7B4529A5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A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Žďárský Zdeněk Ing. (MPSV)</dc:creator>
  <cp:lastModifiedBy>Kučerová Jana (MPSV)</cp:lastModifiedBy>
  <cp:revision>8</cp:revision>
  <cp:lastPrinted>2017-03-08T14:25:00Z</cp:lastPrinted>
  <dcterms:created xsi:type="dcterms:W3CDTF">2017-03-10T08:13:00Z</dcterms:created>
  <dcterms:modified xsi:type="dcterms:W3CDTF">2017-03-10T13:20:00Z</dcterms:modified>
</cp:coreProperties>
</file>