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AC96" w14:textId="77777777" w:rsidR="00C5727A" w:rsidRDefault="00C5727A" w:rsidP="007343D6">
      <w:pPr>
        <w:pStyle w:val="Nadpis1"/>
        <w:spacing w:before="0"/>
        <w:rPr>
          <w:color w:val="auto"/>
        </w:rPr>
      </w:pPr>
    </w:p>
    <w:p w14:paraId="0C12E40A" w14:textId="77777777" w:rsidR="007343D6" w:rsidRPr="00FC679B" w:rsidRDefault="007343D6" w:rsidP="007343D6">
      <w:pPr>
        <w:pStyle w:val="Nadpis1"/>
        <w:spacing w:before="0"/>
        <w:rPr>
          <w:color w:val="auto"/>
        </w:rPr>
      </w:pPr>
      <w:r w:rsidRPr="00FC679B">
        <w:rPr>
          <w:color w:val="auto"/>
        </w:rPr>
        <w:t>Kritéria pro výběr akcí</w:t>
      </w:r>
      <w:r w:rsidR="00083FED" w:rsidRPr="00FC679B">
        <w:rPr>
          <w:color w:val="auto"/>
        </w:rPr>
        <w:t xml:space="preserve"> </w:t>
      </w:r>
    </w:p>
    <w:p w14:paraId="4BC31C8A" w14:textId="479765A0" w:rsidR="007343D6" w:rsidRPr="00FC679B" w:rsidRDefault="009153D8" w:rsidP="007343D6">
      <w:pPr>
        <w:pStyle w:val="Nadpis1"/>
        <w:spacing w:before="0"/>
        <w:rPr>
          <w:color w:val="auto"/>
        </w:rPr>
      </w:pPr>
      <w:r>
        <w:rPr>
          <w:color w:val="auto"/>
        </w:rPr>
        <w:t>Výzva č. 1</w:t>
      </w:r>
      <w:r w:rsidR="009C0690">
        <w:rPr>
          <w:color w:val="auto"/>
        </w:rPr>
        <w:t>6</w:t>
      </w:r>
      <w:r w:rsidR="00AE3CD2">
        <w:rPr>
          <w:color w:val="auto"/>
        </w:rPr>
        <w:t xml:space="preserve"> </w:t>
      </w:r>
      <w:r w:rsidR="001423FC">
        <w:rPr>
          <w:color w:val="auto"/>
        </w:rPr>
        <w:t xml:space="preserve">Cíl </w:t>
      </w:r>
      <w:r>
        <w:rPr>
          <w:color w:val="auto"/>
        </w:rPr>
        <w:t xml:space="preserve">2 </w:t>
      </w:r>
      <w:r w:rsidR="00376AE3">
        <w:rPr>
          <w:color w:val="auto"/>
        </w:rPr>
        <w:t>- Zkvalitnění</w:t>
      </w:r>
      <w:r>
        <w:rPr>
          <w:color w:val="auto"/>
        </w:rPr>
        <w:t xml:space="preserve"> stávajících pobytových zařízení sociálních služeb</w:t>
      </w:r>
    </w:p>
    <w:p w14:paraId="172AA9DC" w14:textId="77777777" w:rsidR="00272745" w:rsidRDefault="00272745" w:rsidP="00272745">
      <w:pPr>
        <w:pStyle w:val="Nadpis2"/>
        <w:rPr>
          <w:b/>
          <w:color w:val="auto"/>
          <w:sz w:val="28"/>
          <w:szCs w:val="28"/>
        </w:rPr>
      </w:pPr>
    </w:p>
    <w:p w14:paraId="5AC31A96" w14:textId="77777777" w:rsidR="000B6C0A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r w:rsidR="001A445B" w:rsidRPr="00272745">
        <w:rPr>
          <w:b/>
          <w:color w:val="auto"/>
          <w:sz w:val="28"/>
          <w:szCs w:val="28"/>
        </w:rPr>
        <w:t>věcná</w:t>
      </w:r>
    </w:p>
    <w:p w14:paraId="09DFD924" w14:textId="77777777" w:rsidR="000B6C0A" w:rsidRPr="006A0FF3" w:rsidRDefault="00350716" w:rsidP="000B6C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Žádost je</w:t>
      </w:r>
      <w:r w:rsidR="000B6C0A" w:rsidRPr="006A0FF3">
        <w:rPr>
          <w:rFonts w:ascii="Arial" w:hAnsi="Arial" w:cs="Arial"/>
          <w:b/>
          <w:bCs/>
          <w:sz w:val="18"/>
          <w:szCs w:val="18"/>
        </w:rPr>
        <w:t xml:space="preserve"> </w:t>
      </w:r>
      <w:r w:rsidR="002234D6">
        <w:rPr>
          <w:rFonts w:ascii="Arial" w:hAnsi="Arial" w:cs="Arial"/>
          <w:b/>
          <w:bCs/>
          <w:sz w:val="18"/>
          <w:szCs w:val="18"/>
        </w:rPr>
        <w:t>p</w:t>
      </w:r>
      <w:r w:rsidR="00AF3D11">
        <w:rPr>
          <w:rFonts w:ascii="Arial" w:hAnsi="Arial" w:cs="Arial"/>
          <w:b/>
          <w:bCs/>
          <w:sz w:val="18"/>
          <w:szCs w:val="18"/>
        </w:rPr>
        <w:t>odána ve lhůtě stanovené výzvou.</w:t>
      </w:r>
    </w:p>
    <w:p w14:paraId="6B99FC16" w14:textId="77777777" w:rsidR="000B6C0A" w:rsidRPr="006A0FF3" w:rsidRDefault="000B6C0A" w:rsidP="000B6C0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A0FF3">
        <w:t xml:space="preserve">ANO – </w:t>
      </w:r>
      <w:r w:rsidR="002234D6">
        <w:t>žádost</w:t>
      </w:r>
      <w:r w:rsidRPr="006A0FF3">
        <w:t xml:space="preserve"> je </w:t>
      </w:r>
      <w:r w:rsidR="002234D6">
        <w:t>podána ve lhůtě stanovené výzvou</w:t>
      </w:r>
    </w:p>
    <w:p w14:paraId="0D68D92C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 w:rsidR="002234D6">
        <w:t>žádost</w:t>
      </w:r>
      <w:r w:rsidRPr="006A0FF3">
        <w:t xml:space="preserve"> není </w:t>
      </w:r>
      <w:r w:rsidR="002234D6">
        <w:t>podána ve lhůtě stanovené výzvou</w:t>
      </w:r>
      <w:r w:rsidRPr="006A0FF3">
        <w:t xml:space="preserve">                </w:t>
      </w:r>
    </w:p>
    <w:p w14:paraId="0A602629" w14:textId="77777777"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25A496B6" w14:textId="77777777" w:rsidR="002234D6" w:rsidRPr="006A0FF3" w:rsidRDefault="002234D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A0FF3">
        <w:rPr>
          <w:rFonts w:ascii="Arial" w:hAnsi="Arial" w:cs="Arial"/>
          <w:b/>
          <w:bCs/>
          <w:sz w:val="18"/>
          <w:szCs w:val="18"/>
        </w:rPr>
        <w:t xml:space="preserve">Žadatel splňuje definici oprávněného </w:t>
      </w:r>
      <w:r>
        <w:rPr>
          <w:rFonts w:ascii="Arial" w:hAnsi="Arial" w:cs="Arial"/>
          <w:b/>
          <w:bCs/>
          <w:sz w:val="18"/>
          <w:szCs w:val="18"/>
        </w:rPr>
        <w:t>žadatele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6369737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žadatel splňuje definici oprávněného </w:t>
      </w:r>
      <w:r>
        <w:t>žadatele uvedeného ve výzvě</w:t>
      </w:r>
      <w:r w:rsidRPr="006A0FF3">
        <w:t xml:space="preserve"> </w:t>
      </w:r>
    </w:p>
    <w:p w14:paraId="6753DD50" w14:textId="77777777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žadatel nesplňuje definici oprávněného </w:t>
      </w:r>
      <w:r>
        <w:t>žadatele uvedeného ve výzvě</w:t>
      </w:r>
    </w:p>
    <w:p w14:paraId="175E3915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4C08724" w14:textId="3125EE96" w:rsidR="002234D6" w:rsidRPr="006A0FF3" w:rsidRDefault="0035071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 xml:space="preserve">rojekt </w:t>
      </w:r>
      <w:r>
        <w:rPr>
          <w:rFonts w:ascii="Arial" w:hAnsi="Arial" w:cs="Arial"/>
          <w:b/>
          <w:bCs/>
          <w:sz w:val="18"/>
          <w:szCs w:val="18"/>
        </w:rPr>
        <w:t xml:space="preserve">je 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svým zaměřením v souladu s</w:t>
      </w:r>
      <w:r w:rsidR="00763CD9">
        <w:rPr>
          <w:rFonts w:ascii="Arial" w:hAnsi="Arial" w:cs="Arial"/>
          <w:b/>
          <w:bCs/>
          <w:sz w:val="18"/>
          <w:szCs w:val="18"/>
        </w:rPr>
        <w:t> 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cílem</w:t>
      </w:r>
      <w:r w:rsidR="00763CD9">
        <w:rPr>
          <w:rFonts w:ascii="Arial" w:hAnsi="Arial" w:cs="Arial"/>
          <w:b/>
          <w:bCs/>
          <w:sz w:val="18"/>
          <w:szCs w:val="18"/>
        </w:rPr>
        <w:t xml:space="preserve"> </w:t>
      </w:r>
      <w:r w:rsidR="009153D8">
        <w:rPr>
          <w:rFonts w:ascii="Arial" w:hAnsi="Arial" w:cs="Arial"/>
          <w:b/>
          <w:bCs/>
          <w:sz w:val="18"/>
          <w:szCs w:val="18"/>
        </w:rPr>
        <w:t>2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14:paraId="390D1F82" w14:textId="5E3B582E"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ANO – Projekt je v souladu s</w:t>
      </w:r>
      <w:r w:rsidR="00763CD9">
        <w:t> </w:t>
      </w:r>
      <w:r w:rsidR="00D43667">
        <w:t>cílem</w:t>
      </w:r>
      <w:r w:rsidR="00763CD9">
        <w:t xml:space="preserve"> </w:t>
      </w:r>
      <w:r w:rsidR="009153D8">
        <w:t>2</w:t>
      </w:r>
      <w:r w:rsidRPr="006A0FF3">
        <w:t xml:space="preserve"> a podporovanými aktivitami výzvy </w:t>
      </w:r>
    </w:p>
    <w:p w14:paraId="477E973E" w14:textId="55F21B4C" w:rsidR="002234D6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NE – Projekt není v souladu s</w:t>
      </w:r>
      <w:r w:rsidR="00763CD9">
        <w:t> </w:t>
      </w:r>
      <w:r w:rsidR="00D43667">
        <w:t>cílem</w:t>
      </w:r>
      <w:r w:rsidR="00763CD9">
        <w:t xml:space="preserve"> </w:t>
      </w:r>
      <w:r w:rsidR="009153D8">
        <w:t>2</w:t>
      </w:r>
      <w:r w:rsidRPr="006A0FF3">
        <w:t xml:space="preserve"> a podporovanými aktivitami výzvy</w:t>
      </w:r>
    </w:p>
    <w:p w14:paraId="5E7CF745" w14:textId="77777777" w:rsidR="00A66178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7B26F26C" w14:textId="77777777" w:rsidR="00A66178" w:rsidRPr="00E429D8" w:rsidRDefault="00A66178" w:rsidP="00A661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Žádost o dotaci je podána v předepsané formě (IS EDS+ datová schránka)</w:t>
      </w:r>
      <w:r w:rsidR="00AF3D11">
        <w:rPr>
          <w:b/>
        </w:rPr>
        <w:t>.</w:t>
      </w:r>
      <w:r w:rsidRPr="00E429D8">
        <w:rPr>
          <w:b/>
        </w:rPr>
        <w:tab/>
      </w:r>
    </w:p>
    <w:p w14:paraId="202F09B4" w14:textId="77777777" w:rsidR="00A66178" w:rsidRPr="00E429D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– žádost o dotaci je podána v předepsané formě (IS EDS+ datová schránka) </w:t>
      </w:r>
    </w:p>
    <w:p w14:paraId="47940A98" w14:textId="7400D2F4" w:rsidR="00A66178" w:rsidRDefault="00982D95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>NE – žádost</w:t>
      </w:r>
      <w:r w:rsidR="00A66178" w:rsidRPr="00E429D8">
        <w:t xml:space="preserve"> o dotaci není podána v předepsané formě (IS EDS+ datová schránka)</w:t>
      </w:r>
    </w:p>
    <w:p w14:paraId="156738A5" w14:textId="77777777" w:rsidR="0028518A" w:rsidRDefault="0028518A" w:rsidP="00A66178">
      <w:pPr>
        <w:pStyle w:val="Odstavecseseznamem"/>
        <w:autoSpaceDE w:val="0"/>
        <w:autoSpaceDN w:val="0"/>
        <w:adjustRightInd w:val="0"/>
        <w:jc w:val="both"/>
      </w:pPr>
    </w:p>
    <w:p w14:paraId="33F4DA19" w14:textId="77777777" w:rsidR="0028518A" w:rsidRDefault="0028518A" w:rsidP="00115686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BC547A">
        <w:rPr>
          <w:b/>
        </w:rPr>
        <w:t>Čas doru</w:t>
      </w:r>
      <w:r w:rsidR="00AF3D11">
        <w:rPr>
          <w:b/>
        </w:rPr>
        <w:t>čení žádosti do datové schránky.</w:t>
      </w:r>
    </w:p>
    <w:p w14:paraId="535FC7D9" w14:textId="77777777" w:rsidR="00115686" w:rsidRPr="00115686" w:rsidRDefault="00115686" w:rsidP="00115686">
      <w:pPr>
        <w:pStyle w:val="Odstavecseseznamem"/>
        <w:autoSpaceDE w:val="0"/>
        <w:autoSpaceDN w:val="0"/>
        <w:adjustRightInd w:val="0"/>
        <w:jc w:val="both"/>
      </w:pPr>
      <w:r w:rsidRPr="00115686">
        <w:t xml:space="preserve">V případě rovnosti bodů </w:t>
      </w:r>
      <w:r>
        <w:t xml:space="preserve">po provedení všech stupňů hodnocení může být datum a čas podání žádosti pomocným kritériem pro sestavení seznamu podpořených žádostí. </w:t>
      </w:r>
      <w:r w:rsidRPr="00115686">
        <w:t xml:space="preserve"> </w:t>
      </w:r>
    </w:p>
    <w:p w14:paraId="1C82B6B6" w14:textId="77777777" w:rsidR="00A66178" w:rsidRPr="00BC547A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14:paraId="5DA826A7" w14:textId="77777777"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6DFB9E6" w14:textId="77777777" w:rsidR="000B6C0A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FEB6F3E" w14:textId="77777777" w:rsidR="001A445B" w:rsidRPr="00272745" w:rsidRDefault="001A445B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formální</w:t>
      </w:r>
    </w:p>
    <w:p w14:paraId="26176A54" w14:textId="77777777" w:rsidR="002B1252" w:rsidRP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Žádost je</w:t>
      </w:r>
      <w:r w:rsidR="002B1252" w:rsidRPr="00A25E56">
        <w:rPr>
          <w:b/>
        </w:rPr>
        <w:t xml:space="preserve"> podepsán</w:t>
      </w:r>
      <w:r w:rsidR="00AF3D11">
        <w:rPr>
          <w:b/>
        </w:rPr>
        <w:t>a oprávněným zástupcem žadatele.</w:t>
      </w:r>
    </w:p>
    <w:p w14:paraId="6B56D2F5" w14:textId="77777777" w:rsidR="002B1252" w:rsidRPr="00823779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 xml:space="preserve">ANO – žádost je podepsána statutárním zástupcem nebo pověřeným zástupcem žadatele </w:t>
      </w:r>
    </w:p>
    <w:p w14:paraId="7CE7F4EA" w14:textId="3466A739" w:rsidR="002B1252" w:rsidRDefault="00982D95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>NE</w:t>
      </w:r>
      <w:r>
        <w:t xml:space="preserve"> – žádost</w:t>
      </w:r>
      <w:r w:rsidR="002B1252" w:rsidRPr="00823779">
        <w:t xml:space="preserve"> </w:t>
      </w:r>
      <w:r w:rsidR="002B1252">
        <w:t>není</w:t>
      </w:r>
      <w:r w:rsidR="002B1252" w:rsidRPr="00823779">
        <w:t xml:space="preserve"> podepsána statutárním zástupcem nebo pověřeným zástupcem žadatele</w:t>
      </w:r>
    </w:p>
    <w:p w14:paraId="69ABB535" w14:textId="77777777" w:rsidR="002B1252" w:rsidRDefault="002B1252" w:rsidP="002B125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29031E0" w14:textId="641B7DCA" w:rsidR="009153D8" w:rsidRPr="009153D8" w:rsidRDefault="009153D8" w:rsidP="009153D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9153D8">
        <w:rPr>
          <w:b/>
        </w:rPr>
        <w:t>V pořizovaném majetku je poskytována relevantní sociální služba dle zák. č. 108/2006 Sb., o</w:t>
      </w:r>
      <w:r w:rsidR="00376AE3">
        <w:rPr>
          <w:b/>
        </w:rPr>
        <w:t> </w:t>
      </w:r>
      <w:r w:rsidRPr="009153D8">
        <w:rPr>
          <w:b/>
        </w:rPr>
        <w:t>sociálních službách, ve znění pozdějších předpisů (dále jen „zákon o sociálních službách) – žadatel disponuje Rozhodnutím o registraci poskytovatele sociálních služeb dle zákona o</w:t>
      </w:r>
      <w:r w:rsidR="00376AE3">
        <w:rPr>
          <w:b/>
        </w:rPr>
        <w:t> </w:t>
      </w:r>
      <w:r w:rsidRPr="009153D8">
        <w:rPr>
          <w:b/>
        </w:rPr>
        <w:t>sociálních službách a Rozhodnutí je přiloženo:</w:t>
      </w:r>
    </w:p>
    <w:p w14:paraId="39188798" w14:textId="48455A1E" w:rsidR="009153D8" w:rsidRPr="009153D8" w:rsidRDefault="00376AE3" w:rsidP="009153D8">
      <w:pPr>
        <w:pStyle w:val="Odstavecseseznamem"/>
        <w:autoSpaceDE w:val="0"/>
        <w:autoSpaceDN w:val="0"/>
        <w:adjustRightInd w:val="0"/>
        <w:jc w:val="both"/>
      </w:pPr>
      <w:r w:rsidRPr="009153D8">
        <w:t>ANO – žadatel</w:t>
      </w:r>
      <w:r w:rsidR="009153D8" w:rsidRPr="009153D8">
        <w:t xml:space="preserve"> je registrovaným poskytovatelem a registrovaná sociální služba má vazbu na předkládanou žádost – pořízení EPS</w:t>
      </w:r>
    </w:p>
    <w:p w14:paraId="1BC22D25" w14:textId="7683D801" w:rsidR="009153D8" w:rsidRDefault="009153D8" w:rsidP="009153D8">
      <w:pPr>
        <w:pStyle w:val="Odstavecseseznamem"/>
        <w:autoSpaceDE w:val="0"/>
        <w:autoSpaceDN w:val="0"/>
        <w:adjustRightInd w:val="0"/>
        <w:jc w:val="both"/>
      </w:pPr>
      <w:r w:rsidRPr="009153D8">
        <w:t>NE – rozhodnutí o registraci není doloženo</w:t>
      </w:r>
    </w:p>
    <w:p w14:paraId="6F7A8969" w14:textId="77777777" w:rsidR="009153D8" w:rsidRPr="009153D8" w:rsidRDefault="009153D8" w:rsidP="009153D8">
      <w:pPr>
        <w:pStyle w:val="Odstavecseseznamem"/>
        <w:autoSpaceDE w:val="0"/>
        <w:autoSpaceDN w:val="0"/>
        <w:adjustRightInd w:val="0"/>
        <w:jc w:val="both"/>
      </w:pPr>
    </w:p>
    <w:p w14:paraId="7B53AA5C" w14:textId="529BABBE" w:rsid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</w:t>
      </w:r>
      <w:r w:rsidR="00A25E56" w:rsidRPr="00E429D8">
        <w:rPr>
          <w:b/>
        </w:rPr>
        <w:t xml:space="preserve">ádost </w:t>
      </w:r>
      <w:r w:rsidR="00F763E1" w:rsidRPr="00E429D8">
        <w:rPr>
          <w:b/>
        </w:rPr>
        <w:t>obsah</w:t>
      </w:r>
      <w:r w:rsidR="00AF3D11">
        <w:rPr>
          <w:b/>
        </w:rPr>
        <w:t>uje přílohu Prohlášení žadatele.</w:t>
      </w:r>
    </w:p>
    <w:p w14:paraId="53BB9224" w14:textId="747DCA00" w:rsidR="001A445B" w:rsidRDefault="00A25E56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</w:t>
      </w:r>
    </w:p>
    <w:p w14:paraId="18BB4B5A" w14:textId="5128D00A" w:rsidR="008C4ED6" w:rsidRPr="00E429D8" w:rsidRDefault="008C4ED6" w:rsidP="00F763E1">
      <w:pPr>
        <w:pStyle w:val="Odstavecseseznamem"/>
        <w:autoSpaceDE w:val="0"/>
        <w:autoSpaceDN w:val="0"/>
        <w:adjustRightInd w:val="0"/>
        <w:jc w:val="both"/>
      </w:pPr>
      <w:r>
        <w:t>ANO – prohlášení není úplné</w:t>
      </w:r>
    </w:p>
    <w:p w14:paraId="5DE25FB2" w14:textId="08D8BD24" w:rsidR="00F763E1" w:rsidRDefault="00F763E1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>N</w:t>
      </w:r>
      <w:r w:rsidR="00376AE3">
        <w:t>E</w:t>
      </w:r>
    </w:p>
    <w:p w14:paraId="507E09BA" w14:textId="77777777" w:rsidR="006363C1" w:rsidRDefault="006363C1" w:rsidP="00F763E1">
      <w:pPr>
        <w:pStyle w:val="Odstavecseseznamem"/>
        <w:autoSpaceDE w:val="0"/>
        <w:autoSpaceDN w:val="0"/>
        <w:adjustRightInd w:val="0"/>
        <w:jc w:val="both"/>
      </w:pPr>
    </w:p>
    <w:p w14:paraId="00E92606" w14:textId="6B98E5D1" w:rsidR="001A445B" w:rsidRPr="009C0690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9C0690">
        <w:rPr>
          <w:b/>
        </w:rPr>
        <w:t>Žádost obsahuje přílohu Po</w:t>
      </w:r>
      <w:r w:rsidR="00376AE3" w:rsidRPr="009C0690">
        <w:rPr>
          <w:b/>
        </w:rPr>
        <w:t>věření výkonem služby obecného hospodářského zájmu</w:t>
      </w:r>
    </w:p>
    <w:p w14:paraId="0B647033" w14:textId="77777777" w:rsidR="001A445B" w:rsidRPr="001A5581" w:rsidRDefault="001A445B" w:rsidP="001A445B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14:paraId="27311AF7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1E42AD2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14:paraId="494B7525" w14:textId="7777777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lastRenderedPageBreak/>
        <w:t>Žádost obsahuje přílohu investičn</w:t>
      </w:r>
      <w:r w:rsidR="00AF3D11">
        <w:rPr>
          <w:b/>
        </w:rPr>
        <w:t>í záměr (zpracovaný dle osnovy).</w:t>
      </w:r>
    </w:p>
    <w:p w14:paraId="6ED9ED22" w14:textId="16291876" w:rsidR="001A445B" w:rsidRPr="006C386E" w:rsidRDefault="001A445B" w:rsidP="001A445B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ANO</w:t>
      </w:r>
    </w:p>
    <w:p w14:paraId="419C17F2" w14:textId="180BBB19" w:rsidR="008C4ED6" w:rsidRPr="006C386E" w:rsidRDefault="008C4ED6" w:rsidP="001A445B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ANO – IZ není dostatečně zpracován</w:t>
      </w:r>
    </w:p>
    <w:p w14:paraId="5F949B40" w14:textId="77777777" w:rsidR="00C5727A" w:rsidRPr="006C386E" w:rsidRDefault="001A445B" w:rsidP="001A445B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NE</w:t>
      </w:r>
    </w:p>
    <w:p w14:paraId="46CCEEDF" w14:textId="77777777" w:rsidR="009153D8" w:rsidRDefault="009153D8" w:rsidP="001A445B">
      <w:pPr>
        <w:pStyle w:val="Odstavecseseznamem"/>
        <w:autoSpaceDE w:val="0"/>
        <w:autoSpaceDN w:val="0"/>
        <w:adjustRightInd w:val="0"/>
        <w:jc w:val="both"/>
      </w:pPr>
    </w:p>
    <w:p w14:paraId="396B2E08" w14:textId="77777777" w:rsidR="009153D8" w:rsidRDefault="009153D8" w:rsidP="001A445B">
      <w:pPr>
        <w:pStyle w:val="Odstavecseseznamem"/>
        <w:autoSpaceDE w:val="0"/>
        <w:autoSpaceDN w:val="0"/>
        <w:adjustRightInd w:val="0"/>
        <w:jc w:val="both"/>
        <w:sectPr w:rsidR="009153D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FA804C" w14:textId="74316B85" w:rsidR="009153D8" w:rsidRPr="009153D8" w:rsidRDefault="009153D8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9153D8">
        <w:rPr>
          <w:b/>
        </w:rPr>
        <w:t>Žádost obsahuje přílohu aktuální výpis z katastru nemovitostí, prokazující vlastnické právo k objektu</w:t>
      </w:r>
    </w:p>
    <w:p w14:paraId="46A4CCC3" w14:textId="77777777" w:rsidR="009153D8" w:rsidRP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9153D8">
        <w:rPr>
          <w:bCs/>
        </w:rPr>
        <w:t>ANO</w:t>
      </w:r>
    </w:p>
    <w:p w14:paraId="3B5038B8" w14:textId="77777777" w:rsidR="009153D8" w:rsidRP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9153D8">
        <w:rPr>
          <w:bCs/>
        </w:rPr>
        <w:t>NE</w:t>
      </w:r>
    </w:p>
    <w:p w14:paraId="7AB5C650" w14:textId="77777777" w:rsid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5FD1CC56" w14:textId="7AC1A597"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</w:t>
      </w:r>
      <w:r w:rsidR="00AF3D11">
        <w:rPr>
          <w:b/>
        </w:rPr>
        <w:t>je přílohu indikativní rozpočet.</w:t>
      </w:r>
    </w:p>
    <w:p w14:paraId="0E98DA82" w14:textId="49A1BEFE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14:paraId="5D28F342" w14:textId="3279E82A" w:rsidR="008C4ED6" w:rsidRDefault="008C4ED6" w:rsidP="001A445B">
      <w:pPr>
        <w:pStyle w:val="Odstavecseseznamem"/>
        <w:autoSpaceDE w:val="0"/>
        <w:autoSpaceDN w:val="0"/>
        <w:adjustRightInd w:val="0"/>
        <w:jc w:val="both"/>
      </w:pPr>
      <w:r>
        <w:t>ANO – obsahuje chyby</w:t>
      </w:r>
    </w:p>
    <w:p w14:paraId="190369D9" w14:textId="77777777"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33005B49" w14:textId="77777777" w:rsidR="00823F1C" w:rsidRDefault="00823F1C" w:rsidP="001A445B">
      <w:pPr>
        <w:pStyle w:val="Odstavecseseznamem"/>
        <w:autoSpaceDE w:val="0"/>
        <w:autoSpaceDN w:val="0"/>
        <w:adjustRightInd w:val="0"/>
        <w:jc w:val="both"/>
      </w:pPr>
    </w:p>
    <w:p w14:paraId="373FAEA7" w14:textId="1F4454AB" w:rsidR="009153D8" w:rsidRPr="006C386E" w:rsidRDefault="009153D8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vertAlign w:val="superscript"/>
        </w:rPr>
      </w:pPr>
      <w:r w:rsidRPr="009153D8">
        <w:rPr>
          <w:b/>
        </w:rPr>
        <w:t>Žádost obsahuje přílohu Požárně bezpečnostní řešení (PBŘ</w:t>
      </w:r>
      <w:r w:rsidRPr="006C386E">
        <w:rPr>
          <w:b/>
        </w:rPr>
        <w:t>)</w:t>
      </w:r>
      <w:r w:rsidRPr="006C386E">
        <w:rPr>
          <w:vertAlign w:val="superscript"/>
        </w:rPr>
        <w:footnoteReference w:id="1"/>
      </w:r>
      <w:r w:rsidRPr="006C386E">
        <w:rPr>
          <w:b/>
          <w:vertAlign w:val="superscript"/>
        </w:rPr>
        <w:t>.</w:t>
      </w:r>
    </w:p>
    <w:p w14:paraId="7A14095E" w14:textId="77777777" w:rsidR="009153D8" w:rsidRP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9153D8">
        <w:rPr>
          <w:bCs/>
        </w:rPr>
        <w:t>ANO</w:t>
      </w:r>
    </w:p>
    <w:p w14:paraId="6DB85B46" w14:textId="77777777" w:rsidR="009153D8" w:rsidRP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9153D8">
        <w:rPr>
          <w:bCs/>
        </w:rPr>
        <w:t>NE</w:t>
      </w:r>
    </w:p>
    <w:p w14:paraId="4B1BC7A2" w14:textId="77777777" w:rsid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0926795" w14:textId="61C7A0A3" w:rsidR="009153D8" w:rsidRPr="006C386E" w:rsidRDefault="009153D8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6C386E">
        <w:rPr>
          <w:b/>
        </w:rPr>
        <w:t>Žádost obsahu</w:t>
      </w:r>
      <w:r w:rsidR="009C0690">
        <w:rPr>
          <w:b/>
        </w:rPr>
        <w:t>je</w:t>
      </w:r>
      <w:r w:rsidRPr="006C386E">
        <w:rPr>
          <w:b/>
        </w:rPr>
        <w:t xml:space="preserve"> přílohu Posouzení materiálně technického standardu, včetně relevantních podkladů pro jeho posouzení.</w:t>
      </w:r>
    </w:p>
    <w:p w14:paraId="08B0FD05" w14:textId="77777777" w:rsidR="009153D8" w:rsidRPr="006C386E" w:rsidRDefault="009153D8" w:rsidP="006C386E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ANO</w:t>
      </w:r>
    </w:p>
    <w:p w14:paraId="08E755C7" w14:textId="7CB5053B" w:rsidR="009153D8" w:rsidRPr="006C386E" w:rsidRDefault="009153D8" w:rsidP="006C386E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ANO – není zpracováno dostatečně</w:t>
      </w:r>
    </w:p>
    <w:p w14:paraId="2DD2662C" w14:textId="77777777" w:rsidR="009153D8" w:rsidRPr="006C386E" w:rsidRDefault="009153D8" w:rsidP="006C386E">
      <w:pPr>
        <w:pStyle w:val="Odstavecseseznamem"/>
        <w:autoSpaceDE w:val="0"/>
        <w:autoSpaceDN w:val="0"/>
        <w:adjustRightInd w:val="0"/>
        <w:jc w:val="both"/>
        <w:rPr>
          <w:bCs/>
        </w:rPr>
      </w:pPr>
      <w:r w:rsidRPr="006C386E">
        <w:rPr>
          <w:bCs/>
        </w:rPr>
        <w:t>NE</w:t>
      </w:r>
    </w:p>
    <w:p w14:paraId="6B6F3223" w14:textId="77777777" w:rsidR="009153D8" w:rsidRDefault="009153D8" w:rsidP="009153D8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FBAD4DD" w14:textId="784BD760" w:rsidR="00823F1C" w:rsidRPr="00823F1C" w:rsidRDefault="00823F1C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23F1C">
        <w:rPr>
          <w:rFonts w:ascii="Arial" w:hAnsi="Arial" w:cs="Arial"/>
          <w:b/>
          <w:bCs/>
          <w:color w:val="000000"/>
          <w:sz w:val="18"/>
          <w:szCs w:val="18"/>
        </w:rPr>
        <w:t>Poskytovatel soci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álních služeb je zařazen v síti.</w:t>
      </w:r>
    </w:p>
    <w:p w14:paraId="2D84F7DB" w14:textId="77777777" w:rsidR="00823F1C" w:rsidRPr="00093E48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E48">
        <w:rPr>
          <w:rFonts w:asciiTheme="minorHAnsi" w:hAnsiTheme="minorHAnsi" w:cstheme="minorBidi"/>
          <w:color w:val="auto"/>
          <w:sz w:val="22"/>
          <w:szCs w:val="22"/>
        </w:rPr>
        <w:t xml:space="preserve">ANO </w:t>
      </w:r>
    </w:p>
    <w:p w14:paraId="612550AB" w14:textId="77777777" w:rsidR="00823F1C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NE </w:t>
      </w:r>
    </w:p>
    <w:p w14:paraId="6F948E3A" w14:textId="77777777" w:rsidR="00AA1D5B" w:rsidRPr="00093E48" w:rsidRDefault="00AA1D5B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9C2FE9" w14:textId="59E6E92A" w:rsidR="006C386E" w:rsidRPr="00272745" w:rsidRDefault="006C386E" w:rsidP="006C386E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proofErr w:type="spellStart"/>
      <w:r w:rsidRPr="00272745">
        <w:rPr>
          <w:b/>
          <w:color w:val="auto"/>
          <w:sz w:val="28"/>
          <w:szCs w:val="28"/>
        </w:rPr>
        <w:t>technicko-ekonomická</w:t>
      </w:r>
      <w:proofErr w:type="spellEnd"/>
      <w:r w:rsidRPr="00272745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I</w:t>
      </w:r>
    </w:p>
    <w:p w14:paraId="4007F9CB" w14:textId="510FF3CC" w:rsidR="006C386E" w:rsidRPr="006C386E" w:rsidRDefault="006C386E" w:rsidP="006C386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b/>
        </w:rPr>
      </w:pPr>
      <w:r w:rsidRPr="006C386E">
        <w:rPr>
          <w:b/>
        </w:rPr>
        <w:t>Projekt respektuje limit 10 % podílu výdajů na přípravu a zabezpečení akce k celkovým nákladům akce</w:t>
      </w:r>
      <w:r w:rsidRPr="006C386E">
        <w:rPr>
          <w:vertAlign w:val="superscript"/>
        </w:rPr>
        <w:footnoteReference w:id="2"/>
      </w:r>
    </w:p>
    <w:p w14:paraId="35FB4698" w14:textId="77777777" w:rsidR="006C386E" w:rsidRPr="001A5581" w:rsidRDefault="006C386E" w:rsidP="006C386E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14:paraId="03D0174E" w14:textId="77777777" w:rsidR="006C386E" w:rsidRDefault="006C386E" w:rsidP="006C386E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3B9F6AD7" w14:textId="22198CF2" w:rsidR="006C386E" w:rsidRDefault="006C386E" w:rsidP="006C386E">
      <w:pPr>
        <w:pStyle w:val="Nadpis2"/>
        <w:ind w:left="720"/>
        <w:rPr>
          <w:b/>
          <w:color w:val="auto"/>
          <w:sz w:val="28"/>
          <w:szCs w:val="28"/>
        </w:rPr>
      </w:pPr>
    </w:p>
    <w:p w14:paraId="31214CAB" w14:textId="135B963D" w:rsidR="00A51D66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proofErr w:type="spellStart"/>
      <w:r w:rsidRPr="00272745">
        <w:rPr>
          <w:b/>
          <w:color w:val="auto"/>
          <w:sz w:val="28"/>
          <w:szCs w:val="28"/>
        </w:rPr>
        <w:t>technicko-ekonomická</w:t>
      </w:r>
      <w:proofErr w:type="spellEnd"/>
      <w:r w:rsidR="00C90B95" w:rsidRPr="00272745">
        <w:rPr>
          <w:b/>
          <w:color w:val="auto"/>
          <w:sz w:val="28"/>
          <w:szCs w:val="28"/>
        </w:rPr>
        <w:t xml:space="preserve"> </w:t>
      </w:r>
      <w:r w:rsidR="006C386E">
        <w:rPr>
          <w:b/>
          <w:color w:val="auto"/>
          <w:sz w:val="28"/>
          <w:szCs w:val="28"/>
        </w:rPr>
        <w:t>II</w:t>
      </w:r>
    </w:p>
    <w:p w14:paraId="658710DD" w14:textId="77777777" w:rsidR="00A51D66" w:rsidRPr="00A51D66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Připravenost</w:t>
      </w:r>
      <w:r w:rsidR="00AF3D11">
        <w:rPr>
          <w:b/>
        </w:rPr>
        <w:t xml:space="preserve"> akce.</w:t>
      </w:r>
    </w:p>
    <w:p w14:paraId="72BB2D6B" w14:textId="77777777" w:rsidR="006C386E" w:rsidRDefault="001A5581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Zpracován p</w:t>
      </w:r>
      <w:r w:rsidR="00780C34">
        <w:t>ouze i</w:t>
      </w:r>
      <w:r w:rsidR="00A51D66" w:rsidRPr="00A51D66">
        <w:t>nvestiční záměr - 0 bodů</w:t>
      </w:r>
    </w:p>
    <w:p w14:paraId="099ED8D6" w14:textId="0504983D" w:rsidR="00A51D66" w:rsidRDefault="006C386E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Stavební povolení nebo vyjádření orgánů požární ochrany – 10 bodů</w:t>
      </w:r>
      <w:r w:rsidR="00A51D66" w:rsidRPr="00A51D66">
        <w:t xml:space="preserve"> </w:t>
      </w:r>
    </w:p>
    <w:p w14:paraId="2DF14875" w14:textId="77777777" w:rsidR="00BE4413" w:rsidRPr="00A51D66" w:rsidRDefault="00BE4413" w:rsidP="00AA4C50">
      <w:pPr>
        <w:autoSpaceDE w:val="0"/>
        <w:autoSpaceDN w:val="0"/>
        <w:adjustRightInd w:val="0"/>
        <w:spacing w:after="0" w:line="240" w:lineRule="auto"/>
        <w:ind w:left="372" w:firstLine="708"/>
        <w:jc w:val="both"/>
      </w:pPr>
    </w:p>
    <w:p w14:paraId="647A0171" w14:textId="77777777" w:rsidR="00BE4413" w:rsidRDefault="00BE4413" w:rsidP="00AA4C50">
      <w:pPr>
        <w:spacing w:after="0" w:line="240" w:lineRule="auto"/>
        <w:jc w:val="both"/>
      </w:pPr>
    </w:p>
    <w:p w14:paraId="172702C5" w14:textId="77777777" w:rsidR="003018E1" w:rsidRDefault="003018E1" w:rsidP="00AA4C50">
      <w:pPr>
        <w:pStyle w:val="Odstavecseseznamem"/>
        <w:jc w:val="both"/>
        <w:rPr>
          <w:rFonts w:asciiTheme="minorHAnsi" w:hAnsiTheme="minorHAnsi"/>
        </w:rPr>
      </w:pPr>
    </w:p>
    <w:p w14:paraId="4EA1F5D0" w14:textId="044A965D" w:rsidR="00F37F1C" w:rsidRPr="00F37F1C" w:rsidRDefault="006C386E" w:rsidP="00AA4C5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Ukončeno výběrové řízení na </w:t>
      </w:r>
      <w:r w:rsidR="009C0690">
        <w:rPr>
          <w:rFonts w:asciiTheme="minorHAnsi" w:hAnsiTheme="minorHAnsi"/>
        </w:rPr>
        <w:t>dodavatele -</w:t>
      </w:r>
      <w:r w:rsidR="00F37F1C">
        <w:rPr>
          <w:rFonts w:asciiTheme="minorHAnsi" w:hAnsiTheme="minorHAnsi"/>
        </w:rPr>
        <w:t>15 bodů</w:t>
      </w:r>
    </w:p>
    <w:p w14:paraId="366019E2" w14:textId="77777777" w:rsidR="00A51D66" w:rsidRDefault="00A51D66" w:rsidP="00AA4C50">
      <w:pPr>
        <w:spacing w:after="0" w:line="240" w:lineRule="auto"/>
        <w:jc w:val="both"/>
      </w:pPr>
      <w:r w:rsidRPr="00A51D66">
        <w:t xml:space="preserve"> </w:t>
      </w:r>
    </w:p>
    <w:p w14:paraId="1FCDCD78" w14:textId="3E8C384F" w:rsidR="00A51D66" w:rsidRPr="00AA4C50" w:rsidRDefault="00D62810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 xml:space="preserve">Projekt respektuje limit způsobilých výdajů dokumentace </w:t>
      </w:r>
      <w:r w:rsidR="009C0690">
        <w:rPr>
          <w:b/>
        </w:rPr>
        <w:t>programu na</w:t>
      </w:r>
      <w:r>
        <w:rPr>
          <w:b/>
        </w:rPr>
        <w:t xml:space="preserve"> lůžko.</w:t>
      </w:r>
    </w:p>
    <w:p w14:paraId="16FE16A4" w14:textId="0A44BE7E" w:rsidR="008410F4" w:rsidRDefault="00D62810" w:rsidP="00D62810">
      <w:pPr>
        <w:pStyle w:val="Odstavecseseznamem"/>
        <w:autoSpaceDE w:val="0"/>
        <w:autoSpaceDN w:val="0"/>
        <w:adjustRightInd w:val="0"/>
        <w:jc w:val="both"/>
      </w:pPr>
      <w:r>
        <w:t>ANO – 1 bod</w:t>
      </w:r>
    </w:p>
    <w:p w14:paraId="0A4C9E06" w14:textId="727E3291" w:rsidR="00D62810" w:rsidRDefault="00D62810" w:rsidP="00D62810">
      <w:pPr>
        <w:pStyle w:val="Odstavecseseznamem"/>
        <w:autoSpaceDE w:val="0"/>
        <w:autoSpaceDN w:val="0"/>
        <w:adjustRightInd w:val="0"/>
        <w:spacing w:after="120"/>
        <w:jc w:val="both"/>
      </w:pPr>
      <w:r>
        <w:t>NE – 0 bodů</w:t>
      </w:r>
    </w:p>
    <w:p w14:paraId="0EC4A134" w14:textId="4C7EB38E" w:rsidR="001A5581" w:rsidRDefault="00D62810" w:rsidP="00D62810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Kapacita zařízení (kapacita všech pobytových služeb)</w:t>
      </w:r>
    </w:p>
    <w:p w14:paraId="01922ACF" w14:textId="46D97E74" w:rsidR="00D62810" w:rsidRDefault="00D62810" w:rsidP="00D62810">
      <w:pPr>
        <w:pStyle w:val="Odstavecseseznamem"/>
        <w:jc w:val="both"/>
        <w:rPr>
          <w:bCs/>
        </w:rPr>
      </w:pPr>
      <w:r w:rsidRPr="00D62810">
        <w:rPr>
          <w:bCs/>
        </w:rPr>
        <w:t>Do 50 uživatelů</w:t>
      </w:r>
      <w:r>
        <w:rPr>
          <w:bCs/>
        </w:rPr>
        <w:t xml:space="preserve"> – 1 bod</w:t>
      </w:r>
    </w:p>
    <w:p w14:paraId="20D5122B" w14:textId="0BEACD73" w:rsidR="00D62810" w:rsidRDefault="00D62810" w:rsidP="00D62810">
      <w:pPr>
        <w:pStyle w:val="Odstavecseseznamem"/>
        <w:jc w:val="both"/>
        <w:rPr>
          <w:bCs/>
        </w:rPr>
      </w:pPr>
      <w:r>
        <w:rPr>
          <w:bCs/>
        </w:rPr>
        <w:t xml:space="preserve">Nad </w:t>
      </w:r>
      <w:r w:rsidRPr="00D62810">
        <w:rPr>
          <w:bCs/>
        </w:rPr>
        <w:t>50 uživatelů</w:t>
      </w:r>
      <w:r>
        <w:rPr>
          <w:bCs/>
        </w:rPr>
        <w:t xml:space="preserve"> – 0 bodů</w:t>
      </w:r>
    </w:p>
    <w:p w14:paraId="49D87E6E" w14:textId="77777777" w:rsidR="00D62810" w:rsidRPr="00D62810" w:rsidRDefault="00D62810" w:rsidP="00D62810">
      <w:pPr>
        <w:pStyle w:val="Odstavecseseznamem"/>
        <w:jc w:val="both"/>
        <w:rPr>
          <w:bCs/>
        </w:rPr>
      </w:pPr>
    </w:p>
    <w:p w14:paraId="2868F9CB" w14:textId="77777777" w:rsidR="0006351D" w:rsidRPr="00272745" w:rsidRDefault="0006351D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sociální </w:t>
      </w:r>
    </w:p>
    <w:p w14:paraId="5E43B989" w14:textId="77777777" w:rsidR="006F1388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 w:rsidRPr="006F1388">
        <w:rPr>
          <w:b/>
        </w:rPr>
        <w:t>Specifická skupina</w:t>
      </w:r>
    </w:p>
    <w:p w14:paraId="67319FF9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poruchou autistického spektra </w:t>
      </w:r>
      <w:r w:rsidR="004C173E">
        <w:t xml:space="preserve">- </w:t>
      </w:r>
      <w:r w:rsidRPr="006363C1">
        <w:t>10 bodů</w:t>
      </w:r>
    </w:p>
    <w:p w14:paraId="75D3002D" w14:textId="77777777"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neurodegenerativními poruchami </w:t>
      </w:r>
      <w:r w:rsidR="004C173E">
        <w:t xml:space="preserve">- </w:t>
      </w:r>
      <w:r w:rsidRPr="006363C1">
        <w:t>10 bodů</w:t>
      </w:r>
    </w:p>
    <w:p w14:paraId="3ABAADB1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alkoholovými demencemi </w:t>
      </w:r>
      <w:r w:rsidR="004C173E">
        <w:t xml:space="preserve">- </w:t>
      </w:r>
      <w:r w:rsidRPr="006363C1">
        <w:t>10 bodů</w:t>
      </w:r>
    </w:p>
    <w:p w14:paraId="26A63625" w14:textId="77777777" w:rsidR="00D17633" w:rsidRPr="006363C1" w:rsidRDefault="00D17633" w:rsidP="006F1388">
      <w:pPr>
        <w:pStyle w:val="Odstavecseseznamem"/>
        <w:autoSpaceDE w:val="0"/>
        <w:autoSpaceDN w:val="0"/>
        <w:adjustRightInd w:val="0"/>
        <w:jc w:val="both"/>
      </w:pPr>
      <w:r>
        <w:t>Osoby nevyléčitelně nemocné v terminálním stadiu nemoci - 10</w:t>
      </w:r>
    </w:p>
    <w:p w14:paraId="5177F0EC" w14:textId="77777777"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1EB4EAEC" w14:textId="72332A0A" w:rsidR="00D62810" w:rsidRPr="00D62810" w:rsidRDefault="00D62810" w:rsidP="00D6281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</w:pPr>
      <w:r w:rsidRPr="00D62810">
        <w:rPr>
          <w:b/>
        </w:rPr>
        <w:t>Plnění Doporučeného postupu č.2/2016 Materiálně-technický standard pro služby sociální péče poskytované pobytovou formou</w:t>
      </w:r>
    </w:p>
    <w:p w14:paraId="4D85FB0B" w14:textId="42184B75" w:rsidR="006363C1" w:rsidRDefault="006363C1" w:rsidP="00D62810">
      <w:pPr>
        <w:pStyle w:val="Odstavecseseznamem"/>
        <w:autoSpaceDE w:val="0"/>
        <w:autoSpaceDN w:val="0"/>
        <w:adjustRightInd w:val="0"/>
        <w:jc w:val="both"/>
      </w:pPr>
      <w:r w:rsidRPr="006363C1">
        <w:t>A</w:t>
      </w:r>
      <w:r w:rsidR="00D62810">
        <w:t>NO</w:t>
      </w:r>
    </w:p>
    <w:p w14:paraId="3913AE28" w14:textId="660CEE45" w:rsidR="00D62810" w:rsidRDefault="00D62810" w:rsidP="00D62810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14:paraId="27FCA4A6" w14:textId="77777777"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14:paraId="528F8FC4" w14:textId="77777777" w:rsidR="00AF3D11" w:rsidRPr="00301B9C" w:rsidRDefault="00D972B0" w:rsidP="00AF3D11">
      <w:pPr>
        <w:rPr>
          <w:b/>
          <w:u w:val="single"/>
        </w:rPr>
      </w:pPr>
      <w:r>
        <w:rPr>
          <w:b/>
          <w:u w:val="single"/>
        </w:rPr>
        <w:t xml:space="preserve">Metodika </w:t>
      </w:r>
      <w:r w:rsidR="00AA1D5B">
        <w:rPr>
          <w:b/>
          <w:u w:val="single"/>
        </w:rPr>
        <w:t xml:space="preserve">hodnocení </w:t>
      </w:r>
      <w:r>
        <w:rPr>
          <w:b/>
          <w:u w:val="single"/>
        </w:rPr>
        <w:t>sociálních kritérií</w:t>
      </w:r>
    </w:p>
    <w:p w14:paraId="688B3A34" w14:textId="77777777" w:rsidR="00AF3D11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301B9C">
        <w:rPr>
          <w:b/>
          <w:u w:val="single"/>
        </w:rPr>
        <w:t>Specifická cílová skupina</w:t>
      </w:r>
    </w:p>
    <w:p w14:paraId="4044BB3A" w14:textId="77777777" w:rsidR="00AF3D11" w:rsidRPr="00FB6C95" w:rsidRDefault="00AF3D11" w:rsidP="00AF3D11">
      <w:pPr>
        <w:ind w:left="360"/>
        <w:jc w:val="both"/>
      </w:pPr>
      <w:r w:rsidRPr="00FB6C95">
        <w:t>Sociální služba je zaměřena na</w:t>
      </w:r>
      <w:r>
        <w:t xml:space="preserve"> podporu specifických cílových skupin uvedených níže v bodech A-</w:t>
      </w:r>
      <w:r w:rsidR="006B1E69">
        <w:t>D</w:t>
      </w:r>
      <w:r w:rsidRPr="00FB6C95">
        <w:t>. Specifickou cílovou skupinu je nutné uvést přímo do žádosti. Zpětná kontrola může být učiněna např. z registru poskytovatelů sociálních služeb, kde bude v popisu realizace (povinná příloha</w:t>
      </w:r>
      <w:r>
        <w:t xml:space="preserve"> registrace)</w:t>
      </w:r>
      <w:r w:rsidRPr="00FB6C95">
        <w:t>, uveřejněna i ve veřejné části registru</w:t>
      </w:r>
      <w:r>
        <w:t xml:space="preserve"> sociálních služeb</w:t>
      </w:r>
      <w:r w:rsidRPr="00FB6C95">
        <w:t xml:space="preserve">. </w:t>
      </w:r>
    </w:p>
    <w:p w14:paraId="27CF6DD9" w14:textId="77777777" w:rsidR="00AF3D11" w:rsidRPr="00301B9C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301B9C">
        <w:rPr>
          <w:b/>
        </w:rPr>
        <w:t>Osoby s poruchou autistického spektra</w:t>
      </w:r>
    </w:p>
    <w:p w14:paraId="5BB5E623" w14:textId="77777777" w:rsidR="00AF3D11" w:rsidRPr="00683548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</w:pPr>
      <w:r w:rsidRPr="00301B9C">
        <w:rPr>
          <w:b/>
        </w:rPr>
        <w:t xml:space="preserve">Osoby s neurodegenerativními poruchami </w:t>
      </w:r>
      <w:r w:rsidRPr="00683548">
        <w:t xml:space="preserve">(Alzheimerova choroba (AD) a ostatní demence, Parkinsonova choroba (PD) a poruchy s ní související, </w:t>
      </w:r>
      <w:proofErr w:type="spellStart"/>
      <w:r w:rsidRPr="00683548">
        <w:t>Prionové</w:t>
      </w:r>
      <w:proofErr w:type="spellEnd"/>
      <w:r w:rsidRPr="00683548">
        <w:t xml:space="preserve"> choroby, Onemocnění motoneuronu (MND), </w:t>
      </w:r>
      <w:proofErr w:type="spellStart"/>
      <w:r w:rsidRPr="00683548">
        <w:t>Huntingtonova</w:t>
      </w:r>
      <w:proofErr w:type="spellEnd"/>
      <w:r w:rsidRPr="00683548">
        <w:t xml:space="preserve"> choroba (HD), </w:t>
      </w:r>
      <w:proofErr w:type="spellStart"/>
      <w:r w:rsidRPr="00683548">
        <w:t>Spinocerebelární</w:t>
      </w:r>
      <w:proofErr w:type="spellEnd"/>
      <w:r w:rsidRPr="00683548">
        <w:t xml:space="preserve"> ataxie (SCA), Spinální svalová atrofie (SMA))</w:t>
      </w:r>
    </w:p>
    <w:p w14:paraId="6C4AB16B" w14:textId="77777777" w:rsidR="00AF3D11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>
        <w:rPr>
          <w:b/>
        </w:rPr>
        <w:t>Osoby s alkoholovými demencemi</w:t>
      </w:r>
    </w:p>
    <w:p w14:paraId="08853482" w14:textId="77777777" w:rsidR="00D17633" w:rsidRPr="00D17633" w:rsidRDefault="00D17633" w:rsidP="00D17633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D17633">
        <w:rPr>
          <w:b/>
        </w:rPr>
        <w:t>Osoby nevyléčitelně nemocné v terminálním stadiu nemoci</w:t>
      </w:r>
    </w:p>
    <w:p w14:paraId="793C2295" w14:textId="22ACBA85" w:rsidR="00AF3D11" w:rsidRDefault="00AF3D11" w:rsidP="00AF3D11">
      <w:pPr>
        <w:ind w:left="360"/>
        <w:jc w:val="both"/>
        <w:rPr>
          <w:b/>
        </w:rPr>
      </w:pPr>
      <w:r>
        <w:rPr>
          <w:b/>
        </w:rPr>
        <w:t xml:space="preserve">Bodové ohodnocení bude u všech cílových skupin stejné. V případě, že dochází ke kombinaci cílových skupin, bude přiznáno pouze jedno bodové ohodnocení, resp. body se nesčítají v případě kombinací cílových skupin. </w:t>
      </w:r>
    </w:p>
    <w:p w14:paraId="138D1331" w14:textId="45CAF1EF" w:rsidR="00456F1C" w:rsidRPr="00456F1C" w:rsidRDefault="00456F1C" w:rsidP="00456F1C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456F1C">
        <w:rPr>
          <w:b/>
          <w:u w:val="single"/>
        </w:rPr>
        <w:t>Materiálně technický standard</w:t>
      </w:r>
    </w:p>
    <w:p w14:paraId="40CD1EC3" w14:textId="069268D8" w:rsidR="00AF3D11" w:rsidRPr="006363C1" w:rsidRDefault="00456F1C" w:rsidP="009C0690">
      <w:pPr>
        <w:ind w:left="360"/>
        <w:contextualSpacing/>
        <w:jc w:val="both"/>
      </w:pPr>
      <w:r w:rsidRPr="00456F1C">
        <w:rPr>
          <w:bCs/>
        </w:rPr>
        <w:t xml:space="preserve">Jednotlivé kritéria hodnocení v rámci Materiálně technického standardu jsou uvedené v příloze </w:t>
      </w:r>
      <w:proofErr w:type="gramStart"/>
      <w:r w:rsidRPr="00456F1C">
        <w:rPr>
          <w:bCs/>
        </w:rPr>
        <w:t>2a</w:t>
      </w:r>
      <w:proofErr w:type="gramEnd"/>
      <w:r w:rsidRPr="00456F1C">
        <w:rPr>
          <w:bCs/>
        </w:rPr>
        <w:t xml:space="preserve"> a 2b. </w:t>
      </w:r>
      <w:r>
        <w:rPr>
          <w:bCs/>
        </w:rPr>
        <w:t xml:space="preserve">Žadatel odpovídající přílohu vyplní a vloží do žádosti, část ostatní přílohy. </w:t>
      </w:r>
      <w:r w:rsidRPr="00456F1C">
        <w:rPr>
          <w:bCs/>
        </w:rPr>
        <w:t xml:space="preserve">Nenaplnění jednoho nebo více hodnotících kritérií v rámci MTS je důvodem pro vyřazení žádosti z hodnocení, bez možnosti zaslání výzvy k doplnění náležitostí. Žadatel je informován formou usnesení, které bude doručeno prostřednictvím datové schránky. </w:t>
      </w:r>
    </w:p>
    <w:sectPr w:rsidR="00AF3D11" w:rsidRPr="006363C1" w:rsidSect="00C5727A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1BC5" w14:textId="77777777" w:rsidR="000A6031" w:rsidRDefault="000A6031" w:rsidP="00780C34">
      <w:pPr>
        <w:spacing w:after="0" w:line="240" w:lineRule="auto"/>
      </w:pPr>
      <w:r>
        <w:separator/>
      </w:r>
    </w:p>
  </w:endnote>
  <w:endnote w:type="continuationSeparator" w:id="0">
    <w:p w14:paraId="539F24A3" w14:textId="77777777" w:rsidR="000A6031" w:rsidRDefault="000A6031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7C1D" w14:textId="1C1724B6" w:rsidR="001423FC" w:rsidRPr="00096C32" w:rsidRDefault="001423FC" w:rsidP="001423FC">
    <w:pPr>
      <w:pStyle w:val="Zpat"/>
      <w:rPr>
        <w:rFonts w:ascii="Calibri" w:hAnsi="Calibri" w:cs="Calibri"/>
        <w:b/>
        <w:bCs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6511E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6511ED" w:rsidRPr="006511ED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14:paraId="4633281F" w14:textId="13B10CB3" w:rsidR="001423FC" w:rsidRPr="00096C32" w:rsidRDefault="001423FC" w:rsidP="001423FC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</w:t>
    </w:r>
    <w:r>
      <w:rPr>
        <w:rFonts w:ascii="Calibri" w:hAnsi="Calibri" w:cs="Calibri"/>
        <w:b/>
        <w:bCs/>
        <w:sz w:val="20"/>
        <w:szCs w:val="20"/>
      </w:rPr>
      <w:t>Kriteria_V</w:t>
    </w:r>
    <w:r w:rsidR="006C386E">
      <w:rPr>
        <w:rFonts w:ascii="Calibri" w:hAnsi="Calibri" w:cs="Calibri"/>
        <w:b/>
        <w:bCs/>
        <w:sz w:val="20"/>
        <w:szCs w:val="20"/>
      </w:rPr>
      <w:t>1</w:t>
    </w:r>
    <w:r w:rsidR="009C0690">
      <w:rPr>
        <w:rFonts w:ascii="Calibri" w:hAnsi="Calibri" w:cs="Calibri"/>
        <w:b/>
        <w:bCs/>
        <w:sz w:val="20"/>
        <w:szCs w:val="20"/>
      </w:rPr>
      <w:t>6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14:paraId="339700F5" w14:textId="77777777" w:rsidR="001423FC" w:rsidRDefault="001423FC" w:rsidP="001423FC">
    <w:pPr>
      <w:pStyle w:val="Zpat"/>
    </w:pPr>
  </w:p>
  <w:p w14:paraId="430C8CB9" w14:textId="77777777" w:rsidR="001423FC" w:rsidRDefault="0014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2EBB" w14:textId="77777777" w:rsidR="000A6031" w:rsidRDefault="000A6031" w:rsidP="00780C34">
      <w:pPr>
        <w:spacing w:after="0" w:line="240" w:lineRule="auto"/>
      </w:pPr>
      <w:r>
        <w:separator/>
      </w:r>
    </w:p>
  </w:footnote>
  <w:footnote w:type="continuationSeparator" w:id="0">
    <w:p w14:paraId="67BCDDE1" w14:textId="77777777" w:rsidR="000A6031" w:rsidRDefault="000A6031" w:rsidP="00780C34">
      <w:pPr>
        <w:spacing w:after="0" w:line="240" w:lineRule="auto"/>
      </w:pPr>
      <w:r>
        <w:continuationSeparator/>
      </w:r>
    </w:p>
  </w:footnote>
  <w:footnote w:id="1">
    <w:p w14:paraId="1B70F5A5" w14:textId="1D366149" w:rsidR="009153D8" w:rsidRPr="00FA422E" w:rsidRDefault="009153D8" w:rsidP="009153D8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="00FA422E" w:rsidRPr="00FA422E">
        <w:rPr>
          <w:rFonts w:cstheme="minorHAnsi"/>
        </w:rPr>
        <w:t xml:space="preserve">Nepovinná příloha, žadatel dokládá jenom pokud ní disponuje. Pokud žadatel PBŘ nedisponuje, </w:t>
      </w:r>
      <w:proofErr w:type="gramStart"/>
      <w:r w:rsidR="00FA422E" w:rsidRPr="00FA422E">
        <w:rPr>
          <w:rFonts w:cstheme="minorHAnsi"/>
        </w:rPr>
        <w:t>doloží</w:t>
      </w:r>
      <w:proofErr w:type="gramEnd"/>
      <w:r w:rsidR="00FA422E" w:rsidRPr="00FA422E">
        <w:rPr>
          <w:rFonts w:cstheme="minorHAnsi"/>
        </w:rPr>
        <w:t xml:space="preserve"> jej jako povinnou přílohu žádosti o vydání Rozhodnutí o poskytnutí dotace.</w:t>
      </w:r>
    </w:p>
  </w:footnote>
  <w:footnote w:id="2">
    <w:p w14:paraId="0D06BB1D" w14:textId="77777777" w:rsidR="006C386E" w:rsidRPr="00FA422E" w:rsidRDefault="006C386E" w:rsidP="006C386E">
      <w:pPr>
        <w:pStyle w:val="Textpoznpodarou"/>
        <w:spacing w:after="120"/>
        <w:jc w:val="both"/>
        <w:rPr>
          <w:rFonts w:cstheme="minorHAnsi"/>
        </w:rPr>
      </w:pPr>
      <w:r w:rsidRPr="00FA422E">
        <w:rPr>
          <w:rStyle w:val="Znakapoznpodarou"/>
          <w:rFonts w:cstheme="minorHAnsi"/>
        </w:rPr>
        <w:footnoteRef/>
      </w:r>
      <w:r w:rsidRPr="00FA422E">
        <w:rPr>
          <w:rFonts w:cstheme="minorHAnsi"/>
        </w:rPr>
        <w:t xml:space="preserve"> Podíl nákladů přípravy a zabezpečení akce, které zahrnují i náklady přípravy a zabezpečení akce vynaložené před podáním Žádosti (uznatelnost výdajů je uvedená ve výzvě), nesmí přesáhnout 10 % z celkových výdajů akce. Do podílu se započítávají výdaje na technický dozor investora, autorský dozor, BOZP a všechny stupně projektové dokumentace, vyjma dokumentace skutečného provedení, která je součástí smlouvy o dílo na realizaci akce, dále výdaje na zajištění administrace veřejné zakázky, inženýrskou činnost, poplatky za připojení k distribuci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5DE4" w14:textId="77777777" w:rsidR="00272745" w:rsidRPr="0054523A" w:rsidRDefault="00C5727A" w:rsidP="002727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7344D1E" wp14:editId="5C7F64D8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45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272745" w:rsidRPr="0054523A">
      <w:rPr>
        <w:rFonts w:ascii="Calibri" w:hAnsi="Calibri"/>
        <w:b w:val="0"/>
        <w:color w:val="auto"/>
        <w:sz w:val="20"/>
        <w:szCs w:val="20"/>
      </w:rPr>
      <w:tab/>
    </w:r>
  </w:p>
  <w:p w14:paraId="31A3D995" w14:textId="77777777" w:rsidR="00272745" w:rsidRPr="0054523A" w:rsidRDefault="00272745" w:rsidP="00272745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75DEF661" w14:textId="77777777" w:rsidR="00272745" w:rsidRDefault="00272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FE7B" w14:textId="77777777" w:rsidR="00C5727A" w:rsidRDefault="00C57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9120D"/>
    <w:multiLevelType w:val="hybridMultilevel"/>
    <w:tmpl w:val="D528F7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E96C51"/>
    <w:multiLevelType w:val="hybridMultilevel"/>
    <w:tmpl w:val="ADF4F7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D73D7"/>
    <w:multiLevelType w:val="hybridMultilevel"/>
    <w:tmpl w:val="65445948"/>
    <w:lvl w:ilvl="0" w:tplc="886E851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F6DE6"/>
    <w:multiLevelType w:val="hybridMultilevel"/>
    <w:tmpl w:val="A3BCE99C"/>
    <w:lvl w:ilvl="0" w:tplc="CB04E2A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5010E"/>
    <w:multiLevelType w:val="hybridMultilevel"/>
    <w:tmpl w:val="FD288F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43190">
    <w:abstractNumId w:val="0"/>
  </w:num>
  <w:num w:numId="2" w16cid:durableId="2026246296">
    <w:abstractNumId w:val="3"/>
  </w:num>
  <w:num w:numId="3" w16cid:durableId="2050258278">
    <w:abstractNumId w:val="15"/>
  </w:num>
  <w:num w:numId="4" w16cid:durableId="679695616">
    <w:abstractNumId w:val="10"/>
  </w:num>
  <w:num w:numId="5" w16cid:durableId="829248951">
    <w:abstractNumId w:val="25"/>
  </w:num>
  <w:num w:numId="6" w16cid:durableId="255134990">
    <w:abstractNumId w:val="16"/>
  </w:num>
  <w:num w:numId="7" w16cid:durableId="690111084">
    <w:abstractNumId w:val="22"/>
  </w:num>
  <w:num w:numId="8" w16cid:durableId="527834226">
    <w:abstractNumId w:val="8"/>
  </w:num>
  <w:num w:numId="9" w16cid:durableId="884101310">
    <w:abstractNumId w:val="6"/>
  </w:num>
  <w:num w:numId="10" w16cid:durableId="576525081">
    <w:abstractNumId w:val="26"/>
  </w:num>
  <w:num w:numId="11" w16cid:durableId="1756051785">
    <w:abstractNumId w:val="31"/>
  </w:num>
  <w:num w:numId="12" w16cid:durableId="1496651230">
    <w:abstractNumId w:val="2"/>
  </w:num>
  <w:num w:numId="13" w16cid:durableId="1502310242">
    <w:abstractNumId w:val="30"/>
  </w:num>
  <w:num w:numId="14" w16cid:durableId="1024407049">
    <w:abstractNumId w:val="29"/>
  </w:num>
  <w:num w:numId="15" w16cid:durableId="1425153058">
    <w:abstractNumId w:val="4"/>
  </w:num>
  <w:num w:numId="16" w16cid:durableId="922031470">
    <w:abstractNumId w:val="18"/>
  </w:num>
  <w:num w:numId="17" w16cid:durableId="337083493">
    <w:abstractNumId w:val="7"/>
  </w:num>
  <w:num w:numId="18" w16cid:durableId="2031640949">
    <w:abstractNumId w:val="23"/>
  </w:num>
  <w:num w:numId="19" w16cid:durableId="356155364">
    <w:abstractNumId w:val="17"/>
  </w:num>
  <w:num w:numId="20" w16cid:durableId="1079593642">
    <w:abstractNumId w:val="19"/>
  </w:num>
  <w:num w:numId="21" w16cid:durableId="563612095">
    <w:abstractNumId w:val="24"/>
  </w:num>
  <w:num w:numId="22" w16cid:durableId="1624382852">
    <w:abstractNumId w:val="21"/>
  </w:num>
  <w:num w:numId="23" w16cid:durableId="749153842">
    <w:abstractNumId w:val="12"/>
  </w:num>
  <w:num w:numId="24" w16cid:durableId="260771051">
    <w:abstractNumId w:val="33"/>
  </w:num>
  <w:num w:numId="25" w16cid:durableId="1641226497">
    <w:abstractNumId w:val="27"/>
  </w:num>
  <w:num w:numId="26" w16cid:durableId="1497451182">
    <w:abstractNumId w:val="32"/>
  </w:num>
  <w:num w:numId="27" w16cid:durableId="1693804944">
    <w:abstractNumId w:val="9"/>
  </w:num>
  <w:num w:numId="28" w16cid:durableId="221452117">
    <w:abstractNumId w:val="28"/>
  </w:num>
  <w:num w:numId="29" w16cid:durableId="2029527829">
    <w:abstractNumId w:val="11"/>
  </w:num>
  <w:num w:numId="30" w16cid:durableId="377820012">
    <w:abstractNumId w:val="13"/>
  </w:num>
  <w:num w:numId="31" w16cid:durableId="2065446382">
    <w:abstractNumId w:val="14"/>
  </w:num>
  <w:num w:numId="32" w16cid:durableId="790902697">
    <w:abstractNumId w:val="20"/>
  </w:num>
  <w:num w:numId="33" w16cid:durableId="284389119">
    <w:abstractNumId w:val="1"/>
  </w:num>
  <w:num w:numId="34" w16cid:durableId="479854801">
    <w:abstractNumId w:val="34"/>
  </w:num>
  <w:num w:numId="35" w16cid:durableId="1028991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4"/>
    <w:rsid w:val="00013482"/>
    <w:rsid w:val="0006351D"/>
    <w:rsid w:val="00083FED"/>
    <w:rsid w:val="00093E48"/>
    <w:rsid w:val="000A04DE"/>
    <w:rsid w:val="000A6031"/>
    <w:rsid w:val="000B0984"/>
    <w:rsid w:val="000B6C0A"/>
    <w:rsid w:val="000D022C"/>
    <w:rsid w:val="000D1910"/>
    <w:rsid w:val="001029B7"/>
    <w:rsid w:val="0010566F"/>
    <w:rsid w:val="001150B7"/>
    <w:rsid w:val="00115686"/>
    <w:rsid w:val="001423FC"/>
    <w:rsid w:val="0015491D"/>
    <w:rsid w:val="001A1410"/>
    <w:rsid w:val="001A445B"/>
    <w:rsid w:val="001A5581"/>
    <w:rsid w:val="001A5D97"/>
    <w:rsid w:val="00200F52"/>
    <w:rsid w:val="002234D6"/>
    <w:rsid w:val="00244B85"/>
    <w:rsid w:val="00250401"/>
    <w:rsid w:val="00257C66"/>
    <w:rsid w:val="00272745"/>
    <w:rsid w:val="0028518A"/>
    <w:rsid w:val="002B1252"/>
    <w:rsid w:val="002C1B56"/>
    <w:rsid w:val="003018E1"/>
    <w:rsid w:val="00333F8C"/>
    <w:rsid w:val="0034337D"/>
    <w:rsid w:val="003462AC"/>
    <w:rsid w:val="003469B0"/>
    <w:rsid w:val="00350716"/>
    <w:rsid w:val="00376AE3"/>
    <w:rsid w:val="00387FDF"/>
    <w:rsid w:val="00426D05"/>
    <w:rsid w:val="00456F1C"/>
    <w:rsid w:val="00461E4C"/>
    <w:rsid w:val="004941F5"/>
    <w:rsid w:val="004A7528"/>
    <w:rsid w:val="004B5728"/>
    <w:rsid w:val="004C173E"/>
    <w:rsid w:val="00566916"/>
    <w:rsid w:val="0057162F"/>
    <w:rsid w:val="005A4921"/>
    <w:rsid w:val="005E20D5"/>
    <w:rsid w:val="00601F3A"/>
    <w:rsid w:val="006239C2"/>
    <w:rsid w:val="006363C1"/>
    <w:rsid w:val="006511ED"/>
    <w:rsid w:val="006A0FF3"/>
    <w:rsid w:val="006A1473"/>
    <w:rsid w:val="006B1E69"/>
    <w:rsid w:val="006C386E"/>
    <w:rsid w:val="006D1EBF"/>
    <w:rsid w:val="006E3E55"/>
    <w:rsid w:val="006E7F1B"/>
    <w:rsid w:val="006F1388"/>
    <w:rsid w:val="006F1D31"/>
    <w:rsid w:val="006F4A6F"/>
    <w:rsid w:val="007343D6"/>
    <w:rsid w:val="007576E0"/>
    <w:rsid w:val="00763CD9"/>
    <w:rsid w:val="00780C34"/>
    <w:rsid w:val="007817F0"/>
    <w:rsid w:val="00786B3B"/>
    <w:rsid w:val="00794C9F"/>
    <w:rsid w:val="00797EAB"/>
    <w:rsid w:val="007F2D03"/>
    <w:rsid w:val="0081638B"/>
    <w:rsid w:val="00823F1C"/>
    <w:rsid w:val="008268B4"/>
    <w:rsid w:val="00830BA5"/>
    <w:rsid w:val="00836F19"/>
    <w:rsid w:val="008410F4"/>
    <w:rsid w:val="008506B4"/>
    <w:rsid w:val="0086004D"/>
    <w:rsid w:val="008803B9"/>
    <w:rsid w:val="008C4ED6"/>
    <w:rsid w:val="008E17EE"/>
    <w:rsid w:val="008F18F4"/>
    <w:rsid w:val="009153D8"/>
    <w:rsid w:val="0092667A"/>
    <w:rsid w:val="00936AE4"/>
    <w:rsid w:val="00947C29"/>
    <w:rsid w:val="00947F51"/>
    <w:rsid w:val="00982D95"/>
    <w:rsid w:val="0098748E"/>
    <w:rsid w:val="00994039"/>
    <w:rsid w:val="009C0690"/>
    <w:rsid w:val="009D155B"/>
    <w:rsid w:val="00A25E56"/>
    <w:rsid w:val="00A51AFC"/>
    <w:rsid w:val="00A51D66"/>
    <w:rsid w:val="00A6215E"/>
    <w:rsid w:val="00A66178"/>
    <w:rsid w:val="00AA1D5B"/>
    <w:rsid w:val="00AA4C50"/>
    <w:rsid w:val="00AC13CF"/>
    <w:rsid w:val="00AC61AC"/>
    <w:rsid w:val="00AD20D4"/>
    <w:rsid w:val="00AE3CD2"/>
    <w:rsid w:val="00AF3D11"/>
    <w:rsid w:val="00AF6535"/>
    <w:rsid w:val="00B63841"/>
    <w:rsid w:val="00B70C14"/>
    <w:rsid w:val="00BC547A"/>
    <w:rsid w:val="00BE4413"/>
    <w:rsid w:val="00BE46AE"/>
    <w:rsid w:val="00C13298"/>
    <w:rsid w:val="00C5727A"/>
    <w:rsid w:val="00C702DE"/>
    <w:rsid w:val="00C90B95"/>
    <w:rsid w:val="00CD744A"/>
    <w:rsid w:val="00CE2B28"/>
    <w:rsid w:val="00D17633"/>
    <w:rsid w:val="00D43667"/>
    <w:rsid w:val="00D62810"/>
    <w:rsid w:val="00D940DD"/>
    <w:rsid w:val="00D972B0"/>
    <w:rsid w:val="00DF5705"/>
    <w:rsid w:val="00E429D8"/>
    <w:rsid w:val="00E556FC"/>
    <w:rsid w:val="00ED188A"/>
    <w:rsid w:val="00F37303"/>
    <w:rsid w:val="00F37F1C"/>
    <w:rsid w:val="00F40C32"/>
    <w:rsid w:val="00F62021"/>
    <w:rsid w:val="00F763E1"/>
    <w:rsid w:val="00FA2A6A"/>
    <w:rsid w:val="00FA422E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ABD62"/>
  <w15:docId w15:val="{7DC85742-5959-4550-93C9-B01BCC9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C4ED6"/>
    <w:pPr>
      <w:spacing w:after="0" w:line="240" w:lineRule="auto"/>
    </w:pPr>
  </w:style>
  <w:style w:type="table" w:styleId="Prosttabulka5">
    <w:name w:val="Plain Table 5"/>
    <w:basedOn w:val="Normlntabulka"/>
    <w:uiPriority w:val="45"/>
    <w:rsid w:val="006C386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B992-F5B2-4E8B-86C9-DFB08ED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Dědinová Jana Ing., Ph.D. (MPSV)</cp:lastModifiedBy>
  <cp:revision>19</cp:revision>
  <cp:lastPrinted>2023-08-02T08:13:00Z</cp:lastPrinted>
  <dcterms:created xsi:type="dcterms:W3CDTF">2021-01-28T15:21:00Z</dcterms:created>
  <dcterms:modified xsi:type="dcterms:W3CDTF">2024-06-12T05:08:00Z</dcterms:modified>
</cp:coreProperties>
</file>