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2476F" w14:textId="77777777"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14:paraId="6EDB5B3E" w14:textId="77777777" w:rsidR="00B72E42" w:rsidRDefault="00B72E42" w:rsidP="00533878">
      <w:pPr>
        <w:spacing w:after="0" w:line="240" w:lineRule="auto"/>
      </w:pPr>
      <w:r>
        <w:t xml:space="preserve">Povinná příloha č. </w:t>
      </w:r>
      <w:r w:rsidR="007A5142">
        <w:t>5</w:t>
      </w:r>
      <w:r>
        <w:t xml:space="preserve"> </w:t>
      </w:r>
      <w:r w:rsidR="008D46A7">
        <w:t xml:space="preserve">k </w:t>
      </w:r>
      <w:r>
        <w:t>Žádosti</w:t>
      </w:r>
    </w:p>
    <w:p w14:paraId="70484545" w14:textId="77777777" w:rsidR="00533878" w:rsidRDefault="00533878" w:rsidP="00533878">
      <w:pPr>
        <w:spacing w:after="0" w:line="240" w:lineRule="auto"/>
      </w:pPr>
      <w:r w:rsidRPr="0054523A">
        <w:t xml:space="preserve"> </w:t>
      </w:r>
    </w:p>
    <w:p w14:paraId="1F9649B3" w14:textId="77777777"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</w:t>
      </w:r>
      <w:r w:rsidR="004E430F">
        <w:rPr>
          <w:lang w:eastAsia="cs-CZ"/>
        </w:rPr>
        <w:t>em</w:t>
      </w:r>
      <w:r w:rsidRPr="00E2791F">
        <w:rPr>
          <w:lang w:eastAsia="cs-CZ"/>
        </w:rPr>
        <w:t xml:space="preserve"> </w:t>
      </w:r>
    </w:p>
    <w:p w14:paraId="63962594" w14:textId="77777777"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13300F">
        <w:rPr>
          <w:lang w:eastAsia="cs-CZ"/>
        </w:rPr>
        <w:t>.</w:t>
      </w:r>
      <w:r w:rsidR="0013300F" w:rsidRPr="0013300F">
        <w:rPr>
          <w:lang w:eastAsia="cs-CZ"/>
        </w:rPr>
        <w:t xml:space="preserve"> </w:t>
      </w:r>
    </w:p>
    <w:p w14:paraId="122C7888" w14:textId="77777777"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14:paraId="4F18C41C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14:paraId="042843B0" w14:textId="77777777"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17B95E6D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 xml:space="preserve">oklady prokazující vlastnické právo k pozemku/ </w:t>
      </w:r>
      <w:proofErr w:type="gramStart"/>
      <w:r w:rsidRPr="004144D8">
        <w:rPr>
          <w:i/>
          <w:lang w:eastAsia="cs-CZ"/>
        </w:rPr>
        <w:t>stavbě</w:t>
      </w:r>
      <w:proofErr w:type="gramEnd"/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14:paraId="3D684ADF" w14:textId="77777777"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650D2D98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459AFF3A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663E3A32" w14:textId="77777777"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14:paraId="7C4B801B" w14:textId="77777777"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777E73E2" w14:textId="77777777" w:rsidR="00B72E42" w:rsidRPr="00237F7E" w:rsidRDefault="00B72E42" w:rsidP="00CD274A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 xml:space="preserve">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14:paraId="49308A7B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663D6161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proofErr w:type="gramStart"/>
      <w:r w:rsidR="008D0753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</w:t>
      </w:r>
      <w:proofErr w:type="gramEnd"/>
      <w:r w:rsidR="004E430F">
        <w:rPr>
          <w:i/>
          <w:lang w:eastAsia="cs-CZ"/>
        </w:rPr>
        <w:t xml:space="preserve"> obytná plocha m 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5BCDB821" w14:textId="77777777"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7E1DA76C" w14:textId="77777777"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52ACC77B" w14:textId="77777777"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17950CDB" w14:textId="709EFB33" w:rsidR="00717B23" w:rsidRDefault="00717B23" w:rsidP="00717B23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proofErr w:type="gramStart"/>
      <w:r>
        <w:rPr>
          <w:lang w:eastAsia="cs-CZ"/>
        </w:rPr>
        <w:t>1- 18</w:t>
      </w:r>
      <w:proofErr w:type="gramEnd"/>
      <w:r>
        <w:rPr>
          <w:lang w:eastAsia="cs-CZ"/>
        </w:rPr>
        <w:t xml:space="preserve"> klientů</w:t>
      </w:r>
    </w:p>
    <w:p w14:paraId="4C1AEB4D" w14:textId="77777777" w:rsidR="00717B23" w:rsidRDefault="00717B23" w:rsidP="00717B23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>19-40 klientů</w:t>
      </w:r>
    </w:p>
    <w:p w14:paraId="3FC1B639" w14:textId="77777777" w:rsidR="00717B23" w:rsidRDefault="00717B23" w:rsidP="00717B23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>41-60 klientů</w:t>
      </w:r>
    </w:p>
    <w:p w14:paraId="05788CF7" w14:textId="77777777" w:rsidR="00717B23" w:rsidRDefault="00717B23" w:rsidP="00717B23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>61-100 klientů</w:t>
      </w:r>
    </w:p>
    <w:p w14:paraId="7CC4948D" w14:textId="77777777" w:rsidR="00717B23" w:rsidRDefault="00717B23" w:rsidP="00717B23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>
        <w:rPr>
          <w:lang w:eastAsia="cs-CZ"/>
        </w:rPr>
        <w:t>101 a více;</w:t>
      </w:r>
    </w:p>
    <w:p w14:paraId="2AF97C30" w14:textId="77777777"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1DFE1A" w14:textId="77777777"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59A9FBEB" w14:textId="77777777"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14:paraId="6932435B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484EE3DB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158834AF" w14:textId="77777777" w:rsidR="00C315EB" w:rsidRPr="0086598D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proofErr w:type="spellStart"/>
      <w:r w:rsidRPr="0086598D">
        <w:rPr>
          <w:rFonts w:asciiTheme="minorHAnsi" w:hAnsiTheme="minorHAnsi" w:cstheme="minorHAnsi"/>
          <w:i/>
          <w:color w:val="auto"/>
          <w:sz w:val="22"/>
          <w:szCs w:val="22"/>
        </w:rPr>
        <w:lastRenderedPageBreak/>
        <w:t>Asistivní</w:t>
      </w:r>
      <w:proofErr w:type="spellEnd"/>
      <w:r w:rsidRPr="0086598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technologie</w:t>
      </w:r>
    </w:p>
    <w:p w14:paraId="2559D52C" w14:textId="77777777"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14:paraId="0253CA49" w14:textId="77777777" w:rsidR="00C315EB" w:rsidRPr="00C315EB" w:rsidRDefault="00C315EB" w:rsidP="00C315EB">
      <w:pPr>
        <w:pStyle w:val="Normlnweb"/>
        <w:ind w:left="36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63840911" w14:textId="77777777"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 w:rsidR="006A783B">
        <w:rPr>
          <w:i/>
        </w:rPr>
        <w:t>3</w:t>
      </w:r>
      <w:r w:rsidRPr="00237F7E">
        <w:rPr>
          <w:i/>
        </w:rPr>
        <w:t>0 % uživatelů sociální služby.</w:t>
      </w:r>
    </w:p>
    <w:p w14:paraId="5B5CB402" w14:textId="77777777" w:rsidR="00042E5D" w:rsidRDefault="003A4658" w:rsidP="003A4658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0E72919D" w14:textId="77777777" w:rsidR="003A4658" w:rsidRDefault="003A4658" w:rsidP="003A465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5C48E231" w14:textId="77777777" w:rsidR="003A4658" w:rsidRDefault="003A4658" w:rsidP="003A4658">
      <w:pPr>
        <w:pStyle w:val="Odstavecseseznamem"/>
        <w:jc w:val="both"/>
        <w:rPr>
          <w:i/>
          <w:lang w:eastAsia="cs-CZ"/>
        </w:rPr>
      </w:pPr>
    </w:p>
    <w:p w14:paraId="731A4771" w14:textId="77777777" w:rsidR="003A4658" w:rsidRPr="003A4658" w:rsidRDefault="003A4658" w:rsidP="003A4658">
      <w:pPr>
        <w:pStyle w:val="Odstavecseseznamem"/>
        <w:jc w:val="both"/>
        <w:rPr>
          <w:i/>
          <w:lang w:eastAsia="cs-CZ"/>
        </w:rPr>
      </w:pPr>
    </w:p>
    <w:p w14:paraId="5233AB7E" w14:textId="77777777"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14:paraId="2346DAEA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70490A30" w14:textId="77777777"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14:paraId="3D18C2B5" w14:textId="77777777" w:rsidR="00B227C2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9F2698D" w14:textId="77777777" w:rsidR="00825AD9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 w:rsid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14:paraId="63C83138" w14:textId="77777777" w:rsidR="009B2FBB" w:rsidRDefault="009B2FBB" w:rsidP="00B72E42">
      <w:pPr>
        <w:rPr>
          <w:lang w:eastAsia="cs-CZ"/>
        </w:rPr>
      </w:pPr>
    </w:p>
    <w:p w14:paraId="121519DF" w14:textId="77777777" w:rsidR="00C315EB" w:rsidRDefault="00C315EB" w:rsidP="00B72E42">
      <w:pPr>
        <w:rPr>
          <w:lang w:eastAsia="cs-CZ"/>
        </w:rPr>
      </w:pPr>
    </w:p>
    <w:p w14:paraId="4E8E4266" w14:textId="77777777" w:rsidR="00D32F28" w:rsidRDefault="00D32F28" w:rsidP="00B72E42">
      <w:pPr>
        <w:rPr>
          <w:lang w:eastAsia="cs-CZ"/>
        </w:rPr>
      </w:pPr>
    </w:p>
    <w:p w14:paraId="42961A59" w14:textId="77777777" w:rsidR="00D32F28" w:rsidRDefault="00D32F28" w:rsidP="00B72E42">
      <w:pPr>
        <w:rPr>
          <w:lang w:eastAsia="cs-CZ"/>
        </w:rPr>
      </w:pPr>
    </w:p>
    <w:p w14:paraId="137D9343" w14:textId="77777777" w:rsidR="00C315EB" w:rsidRDefault="00C315EB" w:rsidP="00B72E42">
      <w:pPr>
        <w:rPr>
          <w:lang w:eastAsia="cs-CZ"/>
        </w:rPr>
      </w:pPr>
    </w:p>
    <w:p w14:paraId="53873D64" w14:textId="77777777" w:rsidR="00C315EB" w:rsidRDefault="00C315EB" w:rsidP="00B72E42">
      <w:pPr>
        <w:rPr>
          <w:lang w:eastAsia="cs-CZ"/>
        </w:rPr>
      </w:pPr>
    </w:p>
    <w:p w14:paraId="064B0D2F" w14:textId="77777777"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</w:t>
      </w:r>
      <w:proofErr w:type="gramStart"/>
      <w:r w:rsidRPr="00825AD9">
        <w:rPr>
          <w:color w:val="auto"/>
          <w:sz w:val="28"/>
          <w:szCs w:val="28"/>
        </w:rPr>
        <w:t>úpravy)  a</w:t>
      </w:r>
      <w:proofErr w:type="gramEnd"/>
      <w:r w:rsidRPr="00825AD9">
        <w:rPr>
          <w:color w:val="auto"/>
          <w:sz w:val="28"/>
          <w:szCs w:val="28"/>
        </w:rPr>
        <w:t xml:space="preserve"> modernizace</w:t>
      </w:r>
      <w:r w:rsidRPr="00825AD9">
        <w:rPr>
          <w:color w:val="auto"/>
        </w:rPr>
        <w:t xml:space="preserve"> </w:t>
      </w:r>
    </w:p>
    <w:p w14:paraId="08456E1D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14:paraId="6A9DFE30" w14:textId="77777777" w:rsidR="00B72E42" w:rsidRDefault="00B72E42" w:rsidP="00B72E42">
      <w:pPr>
        <w:spacing w:after="0" w:line="240" w:lineRule="auto"/>
      </w:pPr>
    </w:p>
    <w:p w14:paraId="4A2D655B" w14:textId="77777777"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A2F5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</w:p>
    <w:p w14:paraId="4A963FCE" w14:textId="77777777"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F40DB5">
        <w:rPr>
          <w:lang w:eastAsia="cs-CZ"/>
        </w:rPr>
        <w:t xml:space="preserve">. </w:t>
      </w:r>
    </w:p>
    <w:p w14:paraId="011AA352" w14:textId="77777777"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14:paraId="75F84053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14:paraId="4FC8B18E" w14:textId="77777777"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61506E46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 xml:space="preserve">oklady prokazující vlastnické právo k pozemku/ </w:t>
      </w:r>
      <w:proofErr w:type="gramStart"/>
      <w:r w:rsidRPr="004144D8">
        <w:rPr>
          <w:i/>
          <w:lang w:eastAsia="cs-CZ"/>
        </w:rPr>
        <w:t>stavbě</w:t>
      </w:r>
      <w:proofErr w:type="gramEnd"/>
      <w:r w:rsidRPr="004144D8">
        <w:rPr>
          <w:i/>
          <w:lang w:eastAsia="cs-CZ"/>
        </w:rPr>
        <w:t xml:space="preserve">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14:paraId="65A35D87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4747E5AD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2C42EB53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1E4AA1F3" w14:textId="77777777"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14:paraId="3033B61A" w14:textId="77777777"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4ADDE095" w14:textId="77777777" w:rsidR="00D573A1" w:rsidRPr="00237F7E" w:rsidRDefault="00D573A1" w:rsidP="00D32F28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D32F28">
        <w:rPr>
          <w:i/>
          <w:lang w:eastAsia="cs-CZ"/>
        </w:rPr>
        <w:t xml:space="preserve">dílčí nebo celkové řešení),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14:paraId="3CFD8580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64F76361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m</w:t>
      </w:r>
      <w:proofErr w:type="gramStart"/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</w:t>
      </w:r>
      <w:proofErr w:type="gramEnd"/>
      <w:r w:rsidR="004E430F">
        <w:rPr>
          <w:i/>
          <w:lang w:eastAsia="cs-CZ"/>
        </w:rPr>
        <w:t xml:space="preserve">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01AC5EF4" w14:textId="77777777"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4CC35A88" w14:textId="77777777"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14:paraId="7D74ED78" w14:textId="77777777"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</w:p>
    <w:p w14:paraId="09C7122D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</w:p>
    <w:p w14:paraId="35110C4F" w14:textId="77777777"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6A1202DF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50050C7D" w14:textId="77777777" w:rsidR="00D32F28" w:rsidRPr="00D32F28" w:rsidRDefault="00717B23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1107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="00D32F28" w:rsidRPr="00D32F28">
        <w:rPr>
          <w:rFonts w:cstheme="minorHAnsi"/>
        </w:rPr>
        <w:t>1 – 8</w:t>
      </w:r>
      <w:proofErr w:type="gramEnd"/>
      <w:r w:rsidR="00D32F28" w:rsidRPr="00D32F28">
        <w:rPr>
          <w:rFonts w:cstheme="minorHAnsi"/>
        </w:rPr>
        <w:t xml:space="preserve"> klientů </w:t>
      </w:r>
    </w:p>
    <w:p w14:paraId="6CBCEB54" w14:textId="77777777" w:rsidR="00D32F28" w:rsidRPr="00D32F28" w:rsidRDefault="00717B23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5967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="00D32F28" w:rsidRPr="00D32F28">
        <w:rPr>
          <w:rFonts w:cstheme="minorHAnsi"/>
        </w:rPr>
        <w:t>9 – 12</w:t>
      </w:r>
      <w:proofErr w:type="gramEnd"/>
      <w:r w:rsidR="00D32F28" w:rsidRPr="00D32F28">
        <w:rPr>
          <w:rFonts w:cstheme="minorHAnsi"/>
        </w:rPr>
        <w:t xml:space="preserve"> klientů</w:t>
      </w:r>
    </w:p>
    <w:p w14:paraId="269CE024" w14:textId="77777777" w:rsidR="00D32F28" w:rsidRPr="00D32F28" w:rsidRDefault="00717B23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195544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14:paraId="6B4F8AD6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658E11B3" w14:textId="77777777" w:rsidR="00D32F28" w:rsidRDefault="00D32F28" w:rsidP="001460BF">
      <w:pPr>
        <w:pStyle w:val="Odstavecseseznamem"/>
        <w:ind w:left="1440"/>
        <w:rPr>
          <w:lang w:eastAsia="cs-CZ"/>
        </w:rPr>
      </w:pPr>
    </w:p>
    <w:p w14:paraId="1649F7D7" w14:textId="77777777" w:rsidR="00D32F28" w:rsidRDefault="00D32F28" w:rsidP="001460BF">
      <w:pPr>
        <w:pStyle w:val="Odstavecseseznamem"/>
        <w:ind w:left="1440"/>
        <w:rPr>
          <w:lang w:eastAsia="cs-CZ"/>
        </w:rPr>
      </w:pPr>
    </w:p>
    <w:p w14:paraId="2EB5B797" w14:textId="77777777"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lastRenderedPageBreak/>
        <w:t>Inovativnost sociální služby:</w:t>
      </w:r>
    </w:p>
    <w:p w14:paraId="0C50F672" w14:textId="77777777"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14:paraId="190B3E0C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5F580289" w14:textId="77777777"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4E663A1B" w14:textId="77777777" w:rsidR="00C315EB" w:rsidRPr="0086598D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proofErr w:type="spellStart"/>
      <w:r w:rsidRPr="0086598D">
        <w:rPr>
          <w:rFonts w:asciiTheme="minorHAnsi" w:hAnsiTheme="minorHAnsi" w:cstheme="minorHAnsi"/>
          <w:i/>
          <w:color w:val="auto"/>
          <w:sz w:val="22"/>
          <w:szCs w:val="22"/>
        </w:rPr>
        <w:t>Asistivní</w:t>
      </w:r>
      <w:proofErr w:type="spellEnd"/>
      <w:r w:rsidRPr="0086598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technologie</w:t>
      </w:r>
    </w:p>
    <w:p w14:paraId="42CFECB5" w14:textId="77777777"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14:paraId="3DB8BFDC" w14:textId="77777777" w:rsidR="00C315EB" w:rsidRPr="00C315EB" w:rsidRDefault="00C315EB" w:rsidP="007A5142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73A5282C" w14:textId="77777777" w:rsidR="00C315EB" w:rsidRPr="004E25D4" w:rsidRDefault="00C315EB" w:rsidP="00C315EB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</w:t>
      </w:r>
      <w:r w:rsidRPr="00237F7E">
        <w:rPr>
          <w:i/>
        </w:rPr>
        <w:t>0 % uživatelů sociální služby).</w:t>
      </w:r>
      <w:r>
        <w:rPr>
          <w:i/>
        </w:rPr>
        <w:t>)</w:t>
      </w:r>
    </w:p>
    <w:p w14:paraId="2203043E" w14:textId="77777777" w:rsidR="00D32F28" w:rsidRDefault="00D32F28" w:rsidP="00D32F28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68C6737F" w14:textId="77777777"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2049B916" w14:textId="77777777" w:rsidR="006642E7" w:rsidRPr="00D32F28" w:rsidRDefault="006642E7" w:rsidP="00D32F28">
      <w:pPr>
        <w:rPr>
          <w:i/>
          <w:lang w:eastAsia="cs-CZ"/>
        </w:rPr>
      </w:pPr>
    </w:p>
    <w:p w14:paraId="474E54B0" w14:textId="77777777"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 xml:space="preserve">Metodika Investiční záměr akce rekonstrukce (nástavba, přístavba, stavební </w:t>
      </w:r>
      <w:proofErr w:type="gramStart"/>
      <w:r w:rsidRPr="00825AD9">
        <w:rPr>
          <w:color w:val="auto"/>
          <w:sz w:val="28"/>
          <w:szCs w:val="28"/>
        </w:rPr>
        <w:t>úpravy)  a</w:t>
      </w:r>
      <w:proofErr w:type="gramEnd"/>
      <w:r w:rsidRPr="00825AD9">
        <w:rPr>
          <w:color w:val="auto"/>
          <w:sz w:val="28"/>
          <w:szCs w:val="28"/>
        </w:rPr>
        <w:t xml:space="preserve"> modernizace</w:t>
      </w:r>
      <w:r w:rsidRPr="00825AD9">
        <w:rPr>
          <w:color w:val="auto"/>
        </w:rPr>
        <w:t xml:space="preserve"> </w:t>
      </w:r>
    </w:p>
    <w:p w14:paraId="2313B9A8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46C63414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3CC8B922" w14:textId="77777777"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</w:p>
    <w:p w14:paraId="7B732D55" w14:textId="77777777"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14:paraId="0C9F09DF" w14:textId="77777777"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C4A6A61" w14:textId="77777777" w:rsidR="00B72E42" w:rsidRDefault="00B72E42" w:rsidP="00B72E42">
      <w:pPr>
        <w:jc w:val="both"/>
        <w:rPr>
          <w:sz w:val="24"/>
          <w:szCs w:val="24"/>
          <w:lang w:eastAsia="cs-CZ"/>
        </w:rPr>
      </w:pPr>
    </w:p>
    <w:p w14:paraId="5DDFF82F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744100F5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7CCEA7B1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1F0438B3" w14:textId="77777777"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14:paraId="7FFFE731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14:paraId="17553D89" w14:textId="77777777" w:rsidR="00B72E42" w:rsidRDefault="00B72E42" w:rsidP="00B72E42">
      <w:pPr>
        <w:spacing w:after="0" w:line="240" w:lineRule="auto"/>
      </w:pPr>
    </w:p>
    <w:p w14:paraId="3C2678A0" w14:textId="77777777"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A2F55">
        <w:t> </w:t>
      </w:r>
      <w:r w:rsidRPr="008F6EEF">
        <w:t>cíl</w:t>
      </w:r>
      <w:r w:rsidR="004A2F55">
        <w:t>em</w:t>
      </w:r>
    </w:p>
    <w:p w14:paraId="2AEE7362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</w:p>
    <w:p w14:paraId="18CD479A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>
        <w:rPr>
          <w:i/>
        </w:rPr>
        <w:t>e</w:t>
      </w:r>
      <w:r w:rsidRPr="0020409D">
        <w:rPr>
          <w:i/>
        </w:rPr>
        <w:t>konomické a sociální zdůvodnění)</w:t>
      </w:r>
    </w:p>
    <w:p w14:paraId="16409FFC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14:paraId="48465380" w14:textId="77777777"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>
        <w:rPr>
          <w:i/>
        </w:rPr>
        <w:t>d</w:t>
      </w:r>
      <w:r w:rsidRPr="0020409D">
        <w:rPr>
          <w:i/>
        </w:rPr>
        <w:t xml:space="preserve">oklady prokazující vlastnické právo k </w:t>
      </w:r>
      <w:proofErr w:type="gramStart"/>
      <w:r w:rsidRPr="0020409D">
        <w:rPr>
          <w:i/>
        </w:rPr>
        <w:t>budově</w:t>
      </w:r>
      <w:proofErr w:type="gramEnd"/>
      <w:r w:rsidRPr="0020409D">
        <w:rPr>
          <w:i/>
        </w:rPr>
        <w:t xml:space="preserve">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>
        <w:rPr>
          <w:i/>
        </w:rPr>
        <w:t>.</w:t>
      </w:r>
      <w:r w:rsidR="004E430F">
        <w:rPr>
          <w:i/>
        </w:rPr>
        <w:t>)</w:t>
      </w:r>
      <w:r>
        <w:rPr>
          <w:i/>
        </w:rPr>
        <w:t xml:space="preserve"> </w:t>
      </w:r>
    </w:p>
    <w:p w14:paraId="4CFE1DE1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14:paraId="4BCD2C69" w14:textId="77777777"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14:paraId="192D92A9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14:paraId="0460210F" w14:textId="77777777" w:rsidR="00B72E42" w:rsidRPr="00237F7E" w:rsidRDefault="00B72E42" w:rsidP="00D32F28">
      <w:pPr>
        <w:pStyle w:val="Odstavecseseznamem"/>
        <w:jc w:val="both"/>
        <w:rPr>
          <w:rFonts w:eastAsia="Times New Roman" w:cs="Times New Roman"/>
          <w:lang w:eastAsia="cs-CZ"/>
        </w:rPr>
      </w:pPr>
      <w:r w:rsidRPr="00237F7E">
        <w:rPr>
          <w:i/>
        </w:rPr>
        <w:t xml:space="preserve">(technická zpráva, nákresy, obrázky, fotodokumentace, umístění pořizovaných strojů </w:t>
      </w:r>
      <w:proofErr w:type="gramStart"/>
      <w:r w:rsidRPr="00237F7E">
        <w:rPr>
          <w:i/>
        </w:rPr>
        <w:t>a</w:t>
      </w:r>
      <w:r w:rsidR="00EE718E" w:rsidRPr="00237F7E">
        <w:rPr>
          <w:i/>
        </w:rPr>
        <w:t> </w:t>
      </w:r>
      <w:r w:rsidRPr="00237F7E">
        <w:rPr>
          <w:i/>
        </w:rPr>
        <w:t xml:space="preserve"> zařízení</w:t>
      </w:r>
      <w:proofErr w:type="gramEnd"/>
      <w:r w:rsidRPr="00237F7E">
        <w:rPr>
          <w:i/>
        </w:rPr>
        <w:t>, rozsah dodávek a prací apod.)</w:t>
      </w:r>
      <w:r w:rsidR="00D573A1" w:rsidRPr="00237F7E">
        <w:rPr>
          <w:i/>
        </w:rPr>
        <w:t xml:space="preserve">, </w:t>
      </w: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14:paraId="76E0F0BF" w14:textId="77777777"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 xml:space="preserve">dhad investičních nákladů) </w:t>
      </w:r>
    </w:p>
    <w:p w14:paraId="2E80C759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</w:p>
    <w:p w14:paraId="1D6C73D5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64A46554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11D03524" w14:textId="77777777" w:rsidR="00D32F28" w:rsidRPr="00D32F28" w:rsidRDefault="00717B23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526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="00D32F28" w:rsidRPr="00D32F28">
        <w:rPr>
          <w:rFonts w:cstheme="minorHAnsi"/>
        </w:rPr>
        <w:t>1 – 8</w:t>
      </w:r>
      <w:proofErr w:type="gramEnd"/>
      <w:r w:rsidR="00D32F28" w:rsidRPr="00D32F28">
        <w:rPr>
          <w:rFonts w:cstheme="minorHAnsi"/>
        </w:rPr>
        <w:t xml:space="preserve"> klientů </w:t>
      </w:r>
    </w:p>
    <w:p w14:paraId="7B934F96" w14:textId="77777777" w:rsidR="00D32F28" w:rsidRPr="00D32F28" w:rsidRDefault="00717B23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3230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="00D32F28" w:rsidRPr="00D32F28">
        <w:rPr>
          <w:rFonts w:cstheme="minorHAnsi"/>
        </w:rPr>
        <w:t>9 – 12</w:t>
      </w:r>
      <w:proofErr w:type="gramEnd"/>
      <w:r w:rsidR="00D32F28" w:rsidRPr="00D32F28">
        <w:rPr>
          <w:rFonts w:cstheme="minorHAnsi"/>
        </w:rPr>
        <w:t xml:space="preserve"> klientů</w:t>
      </w:r>
    </w:p>
    <w:p w14:paraId="5D611F75" w14:textId="77777777" w:rsidR="00D32F28" w:rsidRPr="00D32F28" w:rsidRDefault="00717B23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121696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14:paraId="7200AFFB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1F6C2047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121F1372" w14:textId="77777777"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14:paraId="4D39B31C" w14:textId="77777777"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14:paraId="399929F1" w14:textId="77777777"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14:paraId="43EAC430" w14:textId="77777777" w:rsidR="00861667" w:rsidRPr="0086598D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</w:rPr>
      </w:pPr>
      <w:proofErr w:type="spellStart"/>
      <w:r w:rsidRPr="0086598D">
        <w:rPr>
          <w:rFonts w:asciiTheme="minorHAnsi" w:hAnsiTheme="minorHAnsi" w:cstheme="minorHAnsi"/>
          <w:i/>
          <w:color w:val="auto"/>
          <w:sz w:val="22"/>
          <w:szCs w:val="22"/>
        </w:rPr>
        <w:t>Asistivní</w:t>
      </w:r>
      <w:proofErr w:type="spellEnd"/>
      <w:r w:rsidRPr="0086598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technologie</w:t>
      </w:r>
    </w:p>
    <w:p w14:paraId="207543C6" w14:textId="77777777"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14:paraId="4DB5D0B4" w14:textId="77777777"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5314780F" w14:textId="77777777" w:rsidR="00861667" w:rsidRDefault="00861667" w:rsidP="00861667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30 % uživatelů sociální služby).</w:t>
      </w:r>
    </w:p>
    <w:p w14:paraId="534EBC27" w14:textId="77777777" w:rsidR="00FB4C1F" w:rsidRPr="004E25D4" w:rsidRDefault="00FB4C1F" w:rsidP="00861667">
      <w:pPr>
        <w:ind w:left="360"/>
        <w:jc w:val="both"/>
        <w:rPr>
          <w:i/>
        </w:rPr>
      </w:pPr>
    </w:p>
    <w:p w14:paraId="0E9502CE" w14:textId="77777777" w:rsidR="00533878" w:rsidRDefault="00533878" w:rsidP="00EC3B56">
      <w:pPr>
        <w:pStyle w:val="Odstavecseseznamem"/>
      </w:pPr>
    </w:p>
    <w:p w14:paraId="05995C20" w14:textId="77777777" w:rsidR="00D32F28" w:rsidRDefault="00D32F28" w:rsidP="00D32F28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14:paraId="676FEF72" w14:textId="77777777"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14:paraId="4C41CE9E" w14:textId="77777777" w:rsidR="00FD4388" w:rsidRDefault="00FD4388" w:rsidP="00EC3B56">
      <w:pPr>
        <w:pStyle w:val="Odstavecseseznamem"/>
      </w:pPr>
    </w:p>
    <w:p w14:paraId="13A053F3" w14:textId="77777777" w:rsidR="00FD4388" w:rsidRDefault="00FD4388" w:rsidP="00EC3B56">
      <w:pPr>
        <w:pStyle w:val="Odstavecseseznamem"/>
        <w:sectPr w:rsidR="00FD4388" w:rsidSect="00FD4388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14EDF" w14:textId="77777777" w:rsidR="00FD4388" w:rsidRDefault="00FD4388" w:rsidP="00EC3B56">
      <w:pPr>
        <w:pStyle w:val="Odstavecseseznamem"/>
      </w:pPr>
    </w:p>
    <w:p w14:paraId="7AFB8053" w14:textId="77777777"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a automobilů </w:t>
      </w:r>
    </w:p>
    <w:p w14:paraId="1D76DCA7" w14:textId="77777777"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14:paraId="73FBA6BE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1838AA15" w14:textId="77777777" w:rsidR="005B1CD8" w:rsidRPr="00B227C2" w:rsidRDefault="005B1CD8" w:rsidP="005B1CD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14:paraId="50E1A033" w14:textId="77777777"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D7066" w14:textId="77777777"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14:paraId="75E651F6" w14:textId="77777777"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8CEE" w14:textId="77777777" w:rsidR="0086598D" w:rsidRDefault="008659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7CB8" w14:textId="77777777"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19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2F28">
          <w:rPr>
            <w:rFonts w:ascii="Calibri" w:hAnsi="Calibri" w:cs="Calibri"/>
            <w:bCs/>
            <w:sz w:val="18"/>
            <w:szCs w:val="18"/>
          </w:rPr>
          <w:t>8.8.2019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2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5321570A" w14:textId="192F5F74"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</w:t>
    </w:r>
    <w:proofErr w:type="gramStart"/>
    <w:r w:rsidRPr="0049246C">
      <w:rPr>
        <w:rFonts w:ascii="Calibri" w:hAnsi="Calibri" w:cs="Calibri"/>
        <w:b/>
        <w:bCs/>
        <w:sz w:val="18"/>
        <w:szCs w:val="18"/>
      </w:rPr>
      <w:t xml:space="preserve">dok:  </w:t>
    </w:r>
    <w:r w:rsidR="00D27F19" w:rsidRPr="0049246C">
      <w:rPr>
        <w:rFonts w:ascii="Calibri" w:hAnsi="Calibri" w:cs="Calibri"/>
        <w:b/>
        <w:bCs/>
        <w:sz w:val="18"/>
        <w:szCs w:val="18"/>
      </w:rPr>
      <w:t>Povinná</w:t>
    </w:r>
    <w:proofErr w:type="gramEnd"/>
    <w:r w:rsidR="00D27F19" w:rsidRPr="0049246C">
      <w:rPr>
        <w:rFonts w:ascii="Calibri" w:hAnsi="Calibri" w:cs="Calibri"/>
        <w:b/>
        <w:bCs/>
        <w:sz w:val="18"/>
        <w:szCs w:val="18"/>
      </w:rPr>
      <w:t xml:space="preserve"> příloha_V</w:t>
    </w:r>
    <w:r w:rsidR="0086598D">
      <w:rPr>
        <w:rFonts w:ascii="Calibri" w:hAnsi="Calibri" w:cs="Calibri"/>
        <w:b/>
        <w:bCs/>
        <w:sz w:val="18"/>
        <w:szCs w:val="18"/>
      </w:rPr>
      <w:t>9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86598D">
      <w:rPr>
        <w:rFonts w:ascii="Calibri" w:hAnsi="Calibri" w:cs="Calibri"/>
        <w:b/>
        <w:bCs/>
        <w:sz w:val="18"/>
        <w:szCs w:val="18"/>
      </w:rPr>
      <w:t>1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14:paraId="4114FD50" w14:textId="77777777" w:rsidR="00162252" w:rsidRDefault="001622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4EE9" w14:textId="77777777" w:rsidR="0086598D" w:rsidRDefault="00865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A3AF" w14:textId="77777777"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14:paraId="2748A8FE" w14:textId="77777777"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14:paraId="20F6F2A7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14:paraId="3CC7A8DD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</w:t>
      </w:r>
      <w:proofErr w:type="gramStart"/>
      <w:r w:rsidRPr="00A944E3">
        <w:rPr>
          <w:sz w:val="18"/>
          <w:szCs w:val="18"/>
        </w:rPr>
        <w:t>rozpočet- příloha</w:t>
      </w:r>
      <w:proofErr w:type="gramEnd"/>
      <w:r w:rsidRPr="00A944E3">
        <w:rPr>
          <w:sz w:val="18"/>
          <w:szCs w:val="18"/>
        </w:rPr>
        <w:t xml:space="preserve"> č. 4 Žádosti</w:t>
      </w:r>
    </w:p>
  </w:footnote>
  <w:footnote w:id="3">
    <w:p w14:paraId="52A608F7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14:paraId="46B2CE09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</w:t>
      </w:r>
      <w:proofErr w:type="gramStart"/>
      <w:r>
        <w:t>rozpočet- příloha</w:t>
      </w:r>
      <w:proofErr w:type="gramEnd"/>
      <w:r>
        <w:t xml:space="preserve"> č. 4 Žádosti</w:t>
      </w:r>
    </w:p>
  </w:footnote>
  <w:footnote w:id="5">
    <w:p w14:paraId="54971519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</w:t>
      </w:r>
      <w:proofErr w:type="gramStart"/>
      <w:r>
        <w:t>rozpočet- příloha</w:t>
      </w:r>
      <w:proofErr w:type="gramEnd"/>
      <w:r>
        <w:t xml:space="preserve">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B953" w14:textId="77777777" w:rsidR="0086598D" w:rsidRDefault="008659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6C52" w14:textId="77777777"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7A33767" wp14:editId="4B9151AB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14:paraId="44397B47" w14:textId="77777777"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6C3B2570" w14:textId="77777777" w:rsidR="00533878" w:rsidRDefault="005338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C92" w14:textId="77777777" w:rsidR="0086598D" w:rsidRDefault="0086598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A3F9" w14:textId="77777777" w:rsidR="00FD4388" w:rsidRPr="00FD4388" w:rsidRDefault="00FD4388" w:rsidP="00FD438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FDA2C" w14:textId="77777777"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14:paraId="43B1BBBA" w14:textId="77777777"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2E5D"/>
    <w:rsid w:val="000A29C4"/>
    <w:rsid w:val="000E26F7"/>
    <w:rsid w:val="0013300F"/>
    <w:rsid w:val="001460BF"/>
    <w:rsid w:val="00162252"/>
    <w:rsid w:val="00174DC6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A4658"/>
    <w:rsid w:val="003B59F7"/>
    <w:rsid w:val="003F3593"/>
    <w:rsid w:val="00473672"/>
    <w:rsid w:val="0049246C"/>
    <w:rsid w:val="004A2F55"/>
    <w:rsid w:val="004E25D4"/>
    <w:rsid w:val="004E430F"/>
    <w:rsid w:val="00533878"/>
    <w:rsid w:val="005A336E"/>
    <w:rsid w:val="005B1CD8"/>
    <w:rsid w:val="005F52A0"/>
    <w:rsid w:val="005F63A3"/>
    <w:rsid w:val="0062060D"/>
    <w:rsid w:val="006642E7"/>
    <w:rsid w:val="0069775E"/>
    <w:rsid w:val="006A783B"/>
    <w:rsid w:val="00717B23"/>
    <w:rsid w:val="007258DC"/>
    <w:rsid w:val="00761233"/>
    <w:rsid w:val="00776C02"/>
    <w:rsid w:val="00786D52"/>
    <w:rsid w:val="007A5142"/>
    <w:rsid w:val="007D151B"/>
    <w:rsid w:val="00825AD9"/>
    <w:rsid w:val="00835ABE"/>
    <w:rsid w:val="00861667"/>
    <w:rsid w:val="0086598D"/>
    <w:rsid w:val="00892E7F"/>
    <w:rsid w:val="008B3F88"/>
    <w:rsid w:val="008D0753"/>
    <w:rsid w:val="008D46A7"/>
    <w:rsid w:val="0095537F"/>
    <w:rsid w:val="009B2FBB"/>
    <w:rsid w:val="009D7FC3"/>
    <w:rsid w:val="009F3877"/>
    <w:rsid w:val="00A4132A"/>
    <w:rsid w:val="00A944E3"/>
    <w:rsid w:val="00AD169A"/>
    <w:rsid w:val="00B227C2"/>
    <w:rsid w:val="00B72E42"/>
    <w:rsid w:val="00B74456"/>
    <w:rsid w:val="00BA2550"/>
    <w:rsid w:val="00BA4B47"/>
    <w:rsid w:val="00BC577B"/>
    <w:rsid w:val="00BD65D9"/>
    <w:rsid w:val="00C22396"/>
    <w:rsid w:val="00C22C51"/>
    <w:rsid w:val="00C315EB"/>
    <w:rsid w:val="00C413B1"/>
    <w:rsid w:val="00CD274A"/>
    <w:rsid w:val="00D17663"/>
    <w:rsid w:val="00D27F19"/>
    <w:rsid w:val="00D32F28"/>
    <w:rsid w:val="00D573A1"/>
    <w:rsid w:val="00D64A5C"/>
    <w:rsid w:val="00DB5D93"/>
    <w:rsid w:val="00DC7C35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B4C1F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046997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uiPriority w:val="99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35F5D3-77F8-4C69-84B3-4C96B50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2</cp:revision>
  <cp:lastPrinted>2019-03-27T06:20:00Z</cp:lastPrinted>
  <dcterms:created xsi:type="dcterms:W3CDTF">2021-03-05T07:53:00Z</dcterms:created>
  <dcterms:modified xsi:type="dcterms:W3CDTF">2021-03-05T07:53:00Z</dcterms:modified>
</cp:coreProperties>
</file>