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8A6" w:rsidRPr="003C3793" w:rsidRDefault="00C078A6" w:rsidP="00C078A6">
      <w:pPr>
        <w:overflowPunct w:val="0"/>
        <w:autoSpaceDE w:val="0"/>
        <w:autoSpaceDN w:val="0"/>
        <w:adjustRightInd w:val="0"/>
        <w:spacing w:after="0"/>
        <w:jc w:val="center"/>
        <w:textAlignment w:val="baseline"/>
        <w:rPr>
          <w:rFonts w:ascii="Arial" w:eastAsia="Times New Roman" w:hAnsi="Arial" w:cs="Arial"/>
          <w:b/>
          <w:lang w:eastAsia="cs-CZ"/>
        </w:rPr>
      </w:pPr>
      <w:bookmarkStart w:id="0" w:name="_GoBack"/>
      <w:bookmarkEnd w:id="0"/>
      <w:r w:rsidRPr="003C3793">
        <w:rPr>
          <w:rFonts w:ascii="Arial" w:eastAsia="Times New Roman" w:hAnsi="Arial" w:cs="Arial"/>
          <w:b/>
          <w:lang w:eastAsia="cs-CZ"/>
        </w:rPr>
        <w:t xml:space="preserve">MINISTERSTVO PRÁCE A SOCIÁLNÍCH VĚCÍ </w:t>
      </w:r>
    </w:p>
    <w:p w:rsidR="00C078A6" w:rsidRPr="003C3793" w:rsidRDefault="00C078A6" w:rsidP="00C078A6">
      <w:pPr>
        <w:overflowPunct w:val="0"/>
        <w:autoSpaceDE w:val="0"/>
        <w:autoSpaceDN w:val="0"/>
        <w:adjustRightInd w:val="0"/>
        <w:spacing w:after="0"/>
        <w:jc w:val="center"/>
        <w:textAlignment w:val="baseline"/>
        <w:rPr>
          <w:rFonts w:ascii="Arial" w:eastAsia="Times New Roman" w:hAnsi="Arial" w:cs="Arial"/>
          <w:b/>
          <w:lang w:eastAsia="cs-CZ"/>
        </w:rPr>
      </w:pPr>
      <w:r w:rsidRPr="003C3793">
        <w:rPr>
          <w:rFonts w:ascii="Arial" w:eastAsia="Times New Roman" w:hAnsi="Arial" w:cs="Arial"/>
          <w:b/>
          <w:lang w:eastAsia="cs-CZ"/>
        </w:rPr>
        <w:t>Odbor sociálních služeb, sociální práce a sociálního bydlení</w:t>
      </w:r>
    </w:p>
    <w:p w:rsidR="00C078A6" w:rsidRPr="003C3793" w:rsidRDefault="00C078A6" w:rsidP="00C078A6">
      <w:pPr>
        <w:spacing w:after="0"/>
        <w:ind w:right="46"/>
        <w:jc w:val="center"/>
        <w:rPr>
          <w:rFonts w:ascii="Arial" w:eastAsia="Times New Roman" w:hAnsi="Arial" w:cs="Arial"/>
          <w:b/>
          <w:lang w:eastAsia="cs-CZ"/>
        </w:rPr>
      </w:pPr>
      <w:r w:rsidRPr="003C3793">
        <w:rPr>
          <w:rFonts w:ascii="Arial" w:eastAsia="Times New Roman" w:hAnsi="Arial" w:cs="Arial"/>
          <w:b/>
          <w:lang w:eastAsia="cs-CZ"/>
        </w:rPr>
        <w:t>Na Poříčním právu 1</w:t>
      </w:r>
    </w:p>
    <w:p w:rsidR="00C078A6" w:rsidRPr="003C3793" w:rsidRDefault="00C078A6" w:rsidP="00C078A6">
      <w:pPr>
        <w:overflowPunct w:val="0"/>
        <w:autoSpaceDE w:val="0"/>
        <w:autoSpaceDN w:val="0"/>
        <w:adjustRightInd w:val="0"/>
        <w:spacing w:after="0"/>
        <w:jc w:val="center"/>
        <w:textAlignment w:val="baseline"/>
        <w:rPr>
          <w:rFonts w:ascii="Arial" w:eastAsia="Times New Roman" w:hAnsi="Arial" w:cs="Arial"/>
          <w:b/>
          <w:lang w:eastAsia="cs-CZ"/>
        </w:rPr>
      </w:pPr>
      <w:r w:rsidRPr="003C3793">
        <w:rPr>
          <w:rFonts w:ascii="Arial" w:eastAsia="Times New Roman" w:hAnsi="Arial" w:cs="Arial"/>
          <w:b/>
          <w:lang w:eastAsia="cs-CZ"/>
        </w:rPr>
        <w:t>128 01 Praha 2</w:t>
      </w:r>
    </w:p>
    <w:p w:rsidR="00C078A6" w:rsidRPr="003C3793" w:rsidRDefault="00C078A6" w:rsidP="00C078A6">
      <w:pPr>
        <w:spacing w:after="0"/>
        <w:jc w:val="center"/>
        <w:rPr>
          <w:rFonts w:ascii="Arial" w:eastAsia="Times New Roman" w:hAnsi="Arial" w:cs="Arial"/>
          <w:lang w:eastAsia="cs-CZ"/>
        </w:rPr>
      </w:pPr>
    </w:p>
    <w:p w:rsidR="00C078A6" w:rsidRPr="003C3793" w:rsidRDefault="00C078A6" w:rsidP="00C078A6">
      <w:pPr>
        <w:spacing w:after="0"/>
        <w:jc w:val="center"/>
        <w:rPr>
          <w:rFonts w:ascii="Arial" w:eastAsia="Times New Roman" w:hAnsi="Arial" w:cs="Arial"/>
          <w:lang w:eastAsia="cs-CZ"/>
        </w:rPr>
      </w:pPr>
      <w:r w:rsidRPr="003C3793">
        <w:rPr>
          <w:rFonts w:ascii="Arial" w:eastAsia="Times New Roman" w:hAnsi="Arial" w:cs="Arial"/>
          <w:lang w:eastAsia="cs-CZ"/>
        </w:rPr>
        <w:t>vydává podle § 14 zákona č. 218/2000 Sb., o rozpočtových pravidlech a o změně některých souvisejících zákonů (rozpočtová pravidla), ve znění pozdějších předpisů, a podle § 102/§ 103 zákona č. 108/2006 Sb., o sociálních službách, ve znění pozdějších předpisů</w:t>
      </w:r>
    </w:p>
    <w:p w:rsidR="00C078A6" w:rsidRPr="003C3793" w:rsidRDefault="00C078A6" w:rsidP="00C078A6">
      <w:pPr>
        <w:spacing w:after="0"/>
        <w:jc w:val="center"/>
        <w:rPr>
          <w:rFonts w:ascii="Arial" w:eastAsia="Times New Roman" w:hAnsi="Arial" w:cs="Arial"/>
          <w:b/>
          <w:lang w:eastAsia="cs-CZ"/>
        </w:rPr>
      </w:pPr>
    </w:p>
    <w:p w:rsidR="00C078A6" w:rsidRPr="003C3793" w:rsidRDefault="00C078A6" w:rsidP="00C078A6">
      <w:pPr>
        <w:spacing w:after="0"/>
        <w:jc w:val="center"/>
        <w:rPr>
          <w:rFonts w:ascii="Arial" w:eastAsia="Times New Roman" w:hAnsi="Arial" w:cs="Arial"/>
          <w:b/>
          <w:lang w:eastAsia="cs-CZ"/>
        </w:rPr>
      </w:pPr>
    </w:p>
    <w:p w:rsidR="00C078A6" w:rsidRPr="003C3793" w:rsidRDefault="00C078A6" w:rsidP="00C078A6">
      <w:pPr>
        <w:spacing w:after="0"/>
        <w:jc w:val="center"/>
        <w:rPr>
          <w:rFonts w:ascii="Arial" w:eastAsia="Times New Roman" w:hAnsi="Arial" w:cs="Arial"/>
          <w:lang w:eastAsia="cs-CZ"/>
        </w:rPr>
      </w:pPr>
      <w:r w:rsidRPr="003C3793">
        <w:rPr>
          <w:rFonts w:ascii="Arial" w:eastAsia="Times New Roman" w:hAnsi="Arial" w:cs="Arial"/>
          <w:b/>
          <w:lang w:eastAsia="cs-CZ"/>
        </w:rPr>
        <w:t>ROZHODNUTÍ č. x</w:t>
      </w:r>
    </w:p>
    <w:p w:rsidR="00C078A6" w:rsidRPr="003C3793" w:rsidRDefault="00C078A6" w:rsidP="00C078A6">
      <w:pPr>
        <w:spacing w:after="0"/>
        <w:jc w:val="center"/>
        <w:rPr>
          <w:rFonts w:ascii="Arial" w:eastAsia="Times New Roman" w:hAnsi="Arial" w:cs="Arial"/>
          <w:b/>
          <w:bCs/>
          <w:lang w:eastAsia="cs-CZ"/>
        </w:rPr>
      </w:pPr>
      <w:r w:rsidRPr="003C3793">
        <w:rPr>
          <w:rFonts w:ascii="Arial" w:eastAsia="Times New Roman" w:hAnsi="Arial" w:cs="Arial"/>
          <w:b/>
          <w:bCs/>
          <w:lang w:eastAsia="cs-CZ"/>
        </w:rPr>
        <w:t>o poskytnutí dotace z kapitoly 313 – MPSV státního rozpočtu na rok 2017</w:t>
      </w:r>
    </w:p>
    <w:p w:rsidR="00C078A6" w:rsidRPr="003C3793" w:rsidRDefault="00C078A6" w:rsidP="00C078A6">
      <w:pPr>
        <w:spacing w:after="0"/>
        <w:ind w:right="46"/>
        <w:jc w:val="center"/>
        <w:rPr>
          <w:rFonts w:ascii="Arial" w:eastAsia="Times New Roman" w:hAnsi="Arial" w:cs="Arial"/>
          <w:b/>
          <w:bCs/>
          <w:lang w:eastAsia="cs-CZ"/>
        </w:rPr>
      </w:pPr>
    </w:p>
    <w:p w:rsidR="00C078A6" w:rsidRPr="003C3793" w:rsidRDefault="00C078A6" w:rsidP="00C078A6">
      <w:pPr>
        <w:spacing w:after="0"/>
        <w:ind w:right="46"/>
        <w:jc w:val="both"/>
        <w:rPr>
          <w:rFonts w:ascii="Arial" w:eastAsia="Times New Roman" w:hAnsi="Arial" w:cs="Arial"/>
          <w:lang w:eastAsia="cs-CZ"/>
        </w:rPr>
      </w:pPr>
      <w:r w:rsidRPr="003C3793">
        <w:rPr>
          <w:rFonts w:ascii="Arial" w:eastAsia="Times New Roman" w:hAnsi="Arial" w:cs="Arial"/>
          <w:lang w:eastAsia="cs-CZ"/>
        </w:rPr>
        <w:t xml:space="preserve">Na základě žádosti obce/města/kraje o poskytnutí dotace ze státního rozpočtu (dále jen „žádost“) rozhodlo Ministerstvo práce a sociálních věcí (dále jen „poskytovatel dotace“) </w:t>
      </w:r>
      <w:r w:rsidRPr="003C3793">
        <w:rPr>
          <w:rFonts w:ascii="Arial" w:eastAsia="Times New Roman" w:hAnsi="Arial" w:cs="Arial"/>
          <w:lang w:eastAsia="cs-CZ"/>
        </w:rPr>
        <w:br/>
        <w:t>o poskytnutí dotace na výkon sociální práce podle ustanovení</w:t>
      </w:r>
      <w:r w:rsidRPr="003C3793">
        <w:rPr>
          <w:rFonts w:ascii="Arial" w:eastAsia="Times New Roman" w:hAnsi="Arial" w:cs="Arial"/>
          <w:lang w:eastAsia="cs-CZ"/>
        </w:rPr>
        <w:br/>
        <w:t xml:space="preserve">§ 92 - § 93a zákona o sociálních službách/§ § 63 – 65a zákona o pomoci v hmotné nouzi, které jsou uvedeny v žádosti evidenční číslo </w:t>
      </w:r>
      <w:r w:rsidRPr="003C3793">
        <w:rPr>
          <w:rFonts w:ascii="Arial" w:eastAsia="Times New Roman" w:hAnsi="Arial" w:cs="Arial"/>
          <w:lang w:eastAsia="cs-CZ"/>
        </w:rPr>
        <w:fldChar w:fldCharType="begin"/>
      </w:r>
      <w:r w:rsidRPr="003C3793">
        <w:rPr>
          <w:rFonts w:ascii="Arial" w:eastAsia="Times New Roman" w:hAnsi="Arial" w:cs="Arial"/>
          <w:lang w:eastAsia="cs-CZ"/>
        </w:rPr>
        <w:instrText xml:space="preserve"> MERGEFIELD IČ </w:instrText>
      </w:r>
      <w:r w:rsidRPr="003C3793">
        <w:rPr>
          <w:rFonts w:ascii="Arial" w:eastAsia="Times New Roman" w:hAnsi="Arial" w:cs="Arial"/>
          <w:lang w:eastAsia="cs-CZ"/>
        </w:rPr>
        <w:fldChar w:fldCharType="separate"/>
      </w:r>
      <w:r w:rsidRPr="003C3793">
        <w:rPr>
          <w:rFonts w:ascii="Arial" w:eastAsia="Times New Roman" w:hAnsi="Arial" w:cs="Arial"/>
          <w:noProof/>
          <w:lang w:eastAsia="cs-CZ"/>
        </w:rPr>
        <w:t>«IČ»</w:t>
      </w:r>
      <w:r w:rsidRPr="003C3793">
        <w:rPr>
          <w:rFonts w:ascii="Arial" w:eastAsia="Times New Roman" w:hAnsi="Arial" w:cs="Arial"/>
          <w:lang w:eastAsia="cs-CZ"/>
        </w:rPr>
        <w:fldChar w:fldCharType="end"/>
      </w:r>
      <w:r w:rsidRPr="003C3793">
        <w:rPr>
          <w:rFonts w:ascii="Arial" w:eastAsia="Times New Roman" w:hAnsi="Arial" w:cs="Arial"/>
          <w:lang w:eastAsia="cs-CZ"/>
        </w:rPr>
        <w:t>/2017</w:t>
      </w:r>
      <w:r w:rsidRPr="003C3793">
        <w:rPr>
          <w:rFonts w:ascii="Times New Roman" w:eastAsia="Times New Roman" w:hAnsi="Times New Roman" w:cs="Times New Roman"/>
          <w:szCs w:val="24"/>
          <w:lang w:eastAsia="cs-CZ"/>
        </w:rPr>
        <w:t xml:space="preserve"> </w:t>
      </w:r>
      <w:r w:rsidRPr="003C3793">
        <w:rPr>
          <w:rFonts w:ascii="Arial" w:eastAsia="Times New Roman" w:hAnsi="Arial" w:cs="Arial"/>
          <w:lang w:eastAsia="cs-CZ"/>
        </w:rPr>
        <w:t>takto:</w:t>
      </w:r>
    </w:p>
    <w:p w:rsidR="00C078A6" w:rsidRPr="003C3793" w:rsidRDefault="00C078A6" w:rsidP="00C078A6">
      <w:pPr>
        <w:spacing w:after="0"/>
        <w:jc w:val="center"/>
        <w:rPr>
          <w:rFonts w:ascii="Arial" w:eastAsia="Times New Roman" w:hAnsi="Arial" w:cs="Arial"/>
          <w:b/>
          <w:lang w:eastAsia="cs-CZ"/>
        </w:rPr>
      </w:pPr>
    </w:p>
    <w:p w:rsidR="00C078A6" w:rsidRPr="003C3793" w:rsidRDefault="00C078A6" w:rsidP="00C078A6">
      <w:pPr>
        <w:spacing w:after="0"/>
        <w:jc w:val="center"/>
        <w:rPr>
          <w:rFonts w:ascii="Arial" w:eastAsia="Times New Roman" w:hAnsi="Arial" w:cs="Arial"/>
          <w:b/>
          <w:lang w:eastAsia="cs-CZ"/>
        </w:rPr>
      </w:pPr>
    </w:p>
    <w:p w:rsidR="00C078A6" w:rsidRPr="003C3793" w:rsidRDefault="00C078A6" w:rsidP="00C078A6">
      <w:pPr>
        <w:spacing w:before="60" w:after="0"/>
        <w:jc w:val="center"/>
        <w:rPr>
          <w:rFonts w:ascii="Arial" w:eastAsia="Times New Roman" w:hAnsi="Arial" w:cs="Arial"/>
          <w:b/>
          <w:lang w:eastAsia="cs-CZ"/>
        </w:rPr>
      </w:pPr>
      <w:r w:rsidRPr="003C3793">
        <w:rPr>
          <w:rFonts w:ascii="Arial" w:eastAsia="Times New Roman" w:hAnsi="Arial" w:cs="Arial"/>
          <w:b/>
          <w:lang w:eastAsia="cs-CZ"/>
        </w:rPr>
        <w:t>ČÁST I</w:t>
      </w:r>
    </w:p>
    <w:p w:rsidR="00C078A6" w:rsidRPr="003C3793" w:rsidRDefault="00C078A6" w:rsidP="00C078A6">
      <w:pPr>
        <w:spacing w:before="60" w:after="0"/>
        <w:jc w:val="center"/>
        <w:rPr>
          <w:rFonts w:ascii="Arial" w:eastAsia="Times New Roman" w:hAnsi="Arial" w:cs="Arial"/>
          <w:b/>
          <w:lang w:eastAsia="cs-CZ"/>
        </w:rPr>
      </w:pPr>
      <w:r w:rsidRPr="003C3793">
        <w:rPr>
          <w:rFonts w:ascii="Arial" w:eastAsia="Times New Roman" w:hAnsi="Arial" w:cs="Arial"/>
          <w:b/>
          <w:lang w:eastAsia="cs-CZ"/>
        </w:rPr>
        <w:t>OBECNÉ VYMEZENÍ DOTACE</w:t>
      </w:r>
    </w:p>
    <w:p w:rsidR="00C078A6" w:rsidRPr="003C3793" w:rsidRDefault="00C078A6" w:rsidP="00C078A6">
      <w:pPr>
        <w:spacing w:after="0"/>
        <w:jc w:val="center"/>
        <w:rPr>
          <w:rFonts w:ascii="Arial" w:eastAsia="Times New Roman" w:hAnsi="Arial" w:cs="Arial"/>
          <w:b/>
          <w:lang w:eastAsia="cs-CZ"/>
        </w:rPr>
      </w:pPr>
    </w:p>
    <w:p w:rsidR="00C078A6" w:rsidRPr="003C3793" w:rsidRDefault="00C078A6" w:rsidP="00C078A6">
      <w:pPr>
        <w:numPr>
          <w:ilvl w:val="0"/>
          <w:numId w:val="1"/>
        </w:numPr>
        <w:tabs>
          <w:tab w:val="num" w:pos="360"/>
        </w:tabs>
        <w:spacing w:before="120" w:after="0" w:line="240" w:lineRule="auto"/>
        <w:ind w:left="360"/>
        <w:jc w:val="both"/>
        <w:rPr>
          <w:rFonts w:ascii="Arial" w:eastAsia="Times New Roman" w:hAnsi="Arial" w:cs="Arial"/>
          <w:b/>
          <w:lang w:eastAsia="cs-CZ"/>
        </w:rPr>
      </w:pPr>
      <w:r w:rsidRPr="003C3793">
        <w:rPr>
          <w:rFonts w:ascii="Arial" w:eastAsia="Times New Roman" w:hAnsi="Arial" w:cs="Arial"/>
          <w:b/>
          <w:lang w:eastAsia="cs-CZ"/>
        </w:rPr>
        <w:t>Specifikace příjemce dotace</w:t>
      </w:r>
    </w:p>
    <w:p w:rsidR="00C078A6" w:rsidRPr="003C3793" w:rsidRDefault="00C078A6" w:rsidP="00C078A6">
      <w:pPr>
        <w:spacing w:before="120" w:after="0"/>
        <w:ind w:left="360"/>
        <w:jc w:val="both"/>
        <w:rPr>
          <w:rFonts w:ascii="Arial" w:eastAsia="Times New Roman" w:hAnsi="Arial" w:cs="Arial"/>
          <w:color w:val="000000"/>
          <w:lang w:eastAsia="cs-CZ"/>
        </w:rPr>
      </w:pPr>
      <w:r w:rsidRPr="003C3793">
        <w:rPr>
          <w:rFonts w:ascii="Arial" w:eastAsia="Times New Roman" w:hAnsi="Arial" w:cs="Arial"/>
          <w:lang w:eastAsia="cs-CZ"/>
        </w:rPr>
        <w:t xml:space="preserve">V souladu s podmínkami pro poskytování dotací stanovenými v Metodice Ministerstva práce a sociálních věcí pro poskytování příspěvku na výkon sociální práce (s výjimkou agendy sociálně-právní ochrany dětí) formou dotace ze státního rozpočtu krajům, </w:t>
      </w:r>
      <w:r w:rsidRPr="003C3793">
        <w:rPr>
          <w:rFonts w:ascii="Arial" w:eastAsia="Times New Roman" w:hAnsi="Arial" w:cs="Arial"/>
          <w:lang w:eastAsia="cs-CZ"/>
        </w:rPr>
        <w:br/>
        <w:t>hl. m. Praze, obcím s rozšířenou působností a obcím s pověřeným obecním úřadem, se poskytuje dotace příjemci:</w:t>
      </w:r>
    </w:p>
    <w:p w:rsidR="00C078A6" w:rsidRPr="003C3793" w:rsidRDefault="00C078A6" w:rsidP="00C078A6">
      <w:pPr>
        <w:spacing w:before="120" w:after="0"/>
        <w:ind w:left="360"/>
        <w:jc w:val="both"/>
        <w:rPr>
          <w:rFonts w:ascii="Arial" w:eastAsia="Times New Roman" w:hAnsi="Arial" w:cs="Arial"/>
          <w:lang w:eastAsia="cs-CZ"/>
        </w:rPr>
      </w:pPr>
      <w:r w:rsidRPr="003C3793">
        <w:rPr>
          <w:rFonts w:ascii="Arial" w:eastAsia="Times New Roman" w:hAnsi="Arial" w:cs="Arial"/>
          <w:lang w:eastAsia="cs-CZ"/>
        </w:rPr>
        <w:fldChar w:fldCharType="begin"/>
      </w:r>
      <w:r w:rsidRPr="003C3793">
        <w:rPr>
          <w:rFonts w:ascii="Arial" w:eastAsia="Times New Roman" w:hAnsi="Arial" w:cs="Arial"/>
          <w:lang w:eastAsia="cs-CZ"/>
        </w:rPr>
        <w:instrText xml:space="preserve"> MERGEFIELD Název_žadatele </w:instrText>
      </w:r>
      <w:r w:rsidRPr="003C3793">
        <w:rPr>
          <w:rFonts w:ascii="Arial" w:eastAsia="Times New Roman" w:hAnsi="Arial" w:cs="Arial"/>
          <w:lang w:eastAsia="cs-CZ"/>
        </w:rPr>
        <w:fldChar w:fldCharType="separate"/>
      </w:r>
      <w:r w:rsidRPr="003C3793">
        <w:rPr>
          <w:rFonts w:ascii="Arial" w:eastAsia="Times New Roman" w:hAnsi="Arial" w:cs="Arial"/>
          <w:noProof/>
          <w:lang w:eastAsia="cs-CZ"/>
        </w:rPr>
        <w:t>«Název_žadatele»</w:t>
      </w:r>
      <w:r w:rsidRPr="003C3793">
        <w:rPr>
          <w:rFonts w:ascii="Arial" w:eastAsia="Times New Roman" w:hAnsi="Arial" w:cs="Arial"/>
          <w:lang w:eastAsia="cs-CZ"/>
        </w:rPr>
        <w:fldChar w:fldCharType="end"/>
      </w:r>
    </w:p>
    <w:p w:rsidR="00C078A6" w:rsidRPr="003C3793" w:rsidRDefault="00C078A6" w:rsidP="00C078A6">
      <w:pPr>
        <w:spacing w:before="120" w:after="0"/>
        <w:ind w:left="360"/>
        <w:jc w:val="both"/>
        <w:rPr>
          <w:rFonts w:ascii="Arial" w:eastAsia="Times New Roman" w:hAnsi="Arial" w:cs="Arial"/>
          <w:lang w:eastAsia="cs-CZ"/>
        </w:rPr>
      </w:pPr>
      <w:r w:rsidRPr="003C3793">
        <w:rPr>
          <w:rFonts w:ascii="Arial" w:eastAsia="Times New Roman" w:hAnsi="Arial" w:cs="Arial"/>
          <w:lang w:eastAsia="cs-CZ"/>
        </w:rPr>
        <w:fldChar w:fldCharType="begin"/>
      </w:r>
      <w:r w:rsidRPr="003C3793">
        <w:rPr>
          <w:rFonts w:ascii="Arial" w:eastAsia="Times New Roman" w:hAnsi="Arial" w:cs="Arial"/>
          <w:lang w:eastAsia="cs-CZ"/>
        </w:rPr>
        <w:instrText xml:space="preserve"> MERGEFIELD adresa_1_řádek </w:instrText>
      </w:r>
      <w:r w:rsidRPr="003C3793">
        <w:rPr>
          <w:rFonts w:ascii="Arial" w:eastAsia="Times New Roman" w:hAnsi="Arial" w:cs="Arial"/>
          <w:lang w:eastAsia="cs-CZ"/>
        </w:rPr>
        <w:fldChar w:fldCharType="separate"/>
      </w:r>
      <w:r w:rsidRPr="003C3793">
        <w:rPr>
          <w:rFonts w:ascii="Arial" w:eastAsia="Times New Roman" w:hAnsi="Arial" w:cs="Arial"/>
          <w:noProof/>
          <w:lang w:eastAsia="cs-CZ"/>
        </w:rPr>
        <w:t>«adresa_1_řádek»</w:t>
      </w:r>
      <w:r w:rsidRPr="003C3793">
        <w:rPr>
          <w:rFonts w:ascii="Arial" w:eastAsia="Times New Roman" w:hAnsi="Arial" w:cs="Arial"/>
          <w:lang w:eastAsia="cs-CZ"/>
        </w:rPr>
        <w:fldChar w:fldCharType="end"/>
      </w:r>
    </w:p>
    <w:p w:rsidR="00C078A6" w:rsidRPr="003C3793" w:rsidRDefault="00C078A6" w:rsidP="00C078A6">
      <w:pPr>
        <w:spacing w:before="120" w:after="0"/>
        <w:ind w:left="360"/>
        <w:jc w:val="both"/>
        <w:rPr>
          <w:rFonts w:ascii="Arial" w:eastAsia="Times New Roman" w:hAnsi="Arial" w:cs="Arial"/>
          <w:lang w:eastAsia="cs-CZ"/>
        </w:rPr>
      </w:pPr>
      <w:r w:rsidRPr="003C3793">
        <w:rPr>
          <w:rFonts w:ascii="Arial" w:eastAsia="Times New Roman" w:hAnsi="Arial" w:cs="Arial"/>
          <w:lang w:eastAsia="cs-CZ"/>
        </w:rPr>
        <w:fldChar w:fldCharType="begin"/>
      </w:r>
      <w:r w:rsidRPr="003C3793">
        <w:rPr>
          <w:rFonts w:ascii="Arial" w:eastAsia="Times New Roman" w:hAnsi="Arial" w:cs="Arial"/>
          <w:lang w:eastAsia="cs-CZ"/>
        </w:rPr>
        <w:instrText xml:space="preserve"> MERGEFIELD adresa_3_řádek </w:instrText>
      </w:r>
      <w:r w:rsidRPr="003C3793">
        <w:rPr>
          <w:rFonts w:ascii="Arial" w:eastAsia="Times New Roman" w:hAnsi="Arial" w:cs="Arial"/>
          <w:lang w:eastAsia="cs-CZ"/>
        </w:rPr>
        <w:fldChar w:fldCharType="separate"/>
      </w:r>
      <w:r w:rsidRPr="003C3793">
        <w:rPr>
          <w:rFonts w:ascii="Arial" w:eastAsia="Times New Roman" w:hAnsi="Arial" w:cs="Arial"/>
          <w:noProof/>
          <w:lang w:eastAsia="cs-CZ"/>
        </w:rPr>
        <w:t>«adresa_3_řádek»</w:t>
      </w:r>
      <w:r w:rsidRPr="003C3793">
        <w:rPr>
          <w:rFonts w:ascii="Arial" w:eastAsia="Times New Roman" w:hAnsi="Arial" w:cs="Arial"/>
          <w:lang w:eastAsia="cs-CZ"/>
        </w:rPr>
        <w:fldChar w:fldCharType="end"/>
      </w:r>
    </w:p>
    <w:p w:rsidR="00C078A6" w:rsidRPr="003C3793" w:rsidRDefault="00C078A6" w:rsidP="00C078A6">
      <w:pPr>
        <w:spacing w:before="120" w:after="0"/>
        <w:ind w:left="360"/>
        <w:jc w:val="both"/>
        <w:rPr>
          <w:rFonts w:ascii="Arial" w:eastAsia="Times New Roman" w:hAnsi="Arial" w:cs="Arial"/>
          <w:lang w:eastAsia="cs-CZ"/>
        </w:rPr>
      </w:pPr>
      <w:r w:rsidRPr="003C3793">
        <w:rPr>
          <w:rFonts w:ascii="Arial" w:eastAsia="Times New Roman" w:hAnsi="Arial" w:cs="Arial"/>
          <w:lang w:eastAsia="cs-CZ"/>
        </w:rPr>
        <w:t xml:space="preserve">IČ: </w:t>
      </w:r>
      <w:r w:rsidRPr="003C3793">
        <w:rPr>
          <w:rFonts w:ascii="Arial" w:eastAsia="Times New Roman" w:hAnsi="Arial" w:cs="Arial"/>
          <w:lang w:eastAsia="cs-CZ"/>
        </w:rPr>
        <w:fldChar w:fldCharType="begin"/>
      </w:r>
      <w:r w:rsidRPr="003C3793">
        <w:rPr>
          <w:rFonts w:ascii="Arial" w:eastAsia="Times New Roman" w:hAnsi="Arial" w:cs="Arial"/>
          <w:lang w:eastAsia="cs-CZ"/>
        </w:rPr>
        <w:instrText xml:space="preserve"> MERGEFIELD IČ </w:instrText>
      </w:r>
      <w:r w:rsidRPr="003C3793">
        <w:rPr>
          <w:rFonts w:ascii="Arial" w:eastAsia="Times New Roman" w:hAnsi="Arial" w:cs="Arial"/>
          <w:lang w:eastAsia="cs-CZ"/>
        </w:rPr>
        <w:fldChar w:fldCharType="separate"/>
      </w:r>
      <w:r w:rsidRPr="003C3793">
        <w:rPr>
          <w:rFonts w:ascii="Arial" w:eastAsia="Times New Roman" w:hAnsi="Arial" w:cs="Arial"/>
          <w:noProof/>
          <w:lang w:eastAsia="cs-CZ"/>
        </w:rPr>
        <w:t>«IČ»</w:t>
      </w:r>
      <w:r w:rsidRPr="003C3793">
        <w:rPr>
          <w:rFonts w:ascii="Arial" w:eastAsia="Times New Roman" w:hAnsi="Arial" w:cs="Arial"/>
          <w:lang w:eastAsia="cs-CZ"/>
        </w:rPr>
        <w:fldChar w:fldCharType="end"/>
      </w:r>
    </w:p>
    <w:p w:rsidR="00C078A6" w:rsidRPr="003C3793" w:rsidRDefault="00C078A6" w:rsidP="00C078A6">
      <w:pPr>
        <w:spacing w:before="120" w:after="0"/>
        <w:ind w:left="360"/>
        <w:jc w:val="both"/>
        <w:rPr>
          <w:rFonts w:ascii="Arial" w:eastAsia="Times New Roman" w:hAnsi="Arial" w:cs="Arial"/>
          <w:lang w:eastAsia="cs-CZ"/>
        </w:rPr>
      </w:pPr>
      <w:r w:rsidRPr="003C3793">
        <w:rPr>
          <w:rFonts w:ascii="Arial" w:eastAsia="Times New Roman" w:hAnsi="Arial" w:cs="Arial"/>
          <w:lang w:eastAsia="cs-CZ"/>
        </w:rPr>
        <w:t xml:space="preserve">Bankovní účet: </w:t>
      </w:r>
      <w:r w:rsidRPr="003C3793">
        <w:rPr>
          <w:rFonts w:ascii="Arial" w:eastAsia="Times New Roman" w:hAnsi="Arial" w:cs="Arial"/>
          <w:lang w:eastAsia="cs-CZ"/>
        </w:rPr>
        <w:fldChar w:fldCharType="begin"/>
      </w:r>
      <w:r w:rsidRPr="003C3793">
        <w:rPr>
          <w:rFonts w:ascii="Arial" w:eastAsia="Times New Roman" w:hAnsi="Arial" w:cs="Arial"/>
          <w:lang w:eastAsia="cs-CZ"/>
        </w:rPr>
        <w:instrText xml:space="preserve"> MERGEFIELD Předčíslí_čísla_účtu </w:instrText>
      </w:r>
      <w:r w:rsidRPr="003C3793">
        <w:rPr>
          <w:rFonts w:ascii="Arial" w:eastAsia="Times New Roman" w:hAnsi="Arial" w:cs="Arial"/>
          <w:lang w:eastAsia="cs-CZ"/>
        </w:rPr>
        <w:fldChar w:fldCharType="separate"/>
      </w:r>
      <w:r w:rsidRPr="003C3793">
        <w:rPr>
          <w:rFonts w:ascii="Arial" w:eastAsia="Times New Roman" w:hAnsi="Arial" w:cs="Arial"/>
          <w:noProof/>
          <w:lang w:eastAsia="cs-CZ"/>
        </w:rPr>
        <w:t>«Předčíslí_čísla_účtu»</w:t>
      </w:r>
      <w:r w:rsidRPr="003C3793">
        <w:rPr>
          <w:rFonts w:ascii="Arial" w:eastAsia="Times New Roman" w:hAnsi="Arial" w:cs="Arial"/>
          <w:lang w:eastAsia="cs-CZ"/>
        </w:rPr>
        <w:fldChar w:fldCharType="end"/>
      </w:r>
      <w:r w:rsidRPr="003C3793">
        <w:rPr>
          <w:rFonts w:ascii="Arial" w:eastAsia="Times New Roman" w:hAnsi="Arial" w:cs="Times New Roman"/>
          <w:color w:val="000000"/>
          <w:szCs w:val="24"/>
          <w:lang w:eastAsia="cs-CZ"/>
        </w:rPr>
        <w:fldChar w:fldCharType="begin"/>
      </w:r>
      <w:r w:rsidRPr="003C3793">
        <w:rPr>
          <w:rFonts w:ascii="Arial" w:eastAsia="Times New Roman" w:hAnsi="Arial" w:cs="Times New Roman"/>
          <w:color w:val="000000"/>
          <w:szCs w:val="24"/>
          <w:lang w:eastAsia="cs-CZ"/>
        </w:rPr>
        <w:instrText xml:space="preserve"> IF </w:instrText>
      </w:r>
      <w:r w:rsidRPr="003C3793">
        <w:rPr>
          <w:rFonts w:ascii="Arial" w:eastAsia="Times New Roman" w:hAnsi="Arial" w:cs="Times New Roman"/>
          <w:color w:val="000000"/>
          <w:szCs w:val="24"/>
          <w:lang w:eastAsia="cs-CZ"/>
        </w:rPr>
        <w:fldChar w:fldCharType="begin"/>
      </w:r>
      <w:r w:rsidRPr="003C3793">
        <w:rPr>
          <w:rFonts w:ascii="Arial" w:eastAsia="Times New Roman" w:hAnsi="Arial" w:cs="Times New Roman"/>
          <w:color w:val="000000"/>
          <w:szCs w:val="24"/>
          <w:lang w:eastAsia="cs-CZ"/>
        </w:rPr>
        <w:instrText xml:space="preserve"> MERGEFIELD Předčíslí_čísla_účtu </w:instrText>
      </w:r>
      <w:r w:rsidRPr="003C3793">
        <w:rPr>
          <w:rFonts w:ascii="Arial" w:eastAsia="Times New Roman" w:hAnsi="Arial" w:cs="Times New Roman"/>
          <w:color w:val="000000"/>
          <w:szCs w:val="24"/>
          <w:lang w:eastAsia="cs-CZ"/>
        </w:rPr>
        <w:fldChar w:fldCharType="separate"/>
      </w:r>
      <w:r w:rsidRPr="003C3793">
        <w:rPr>
          <w:rFonts w:ascii="Arial" w:eastAsia="Times New Roman" w:hAnsi="Arial" w:cs="Times New Roman"/>
          <w:noProof/>
          <w:color w:val="000000"/>
          <w:szCs w:val="24"/>
          <w:lang w:eastAsia="cs-CZ"/>
        </w:rPr>
        <w:instrText>94</w:instrText>
      </w:r>
      <w:r w:rsidRPr="003C3793">
        <w:rPr>
          <w:rFonts w:ascii="Arial" w:eastAsia="Times New Roman" w:hAnsi="Arial" w:cs="Times New Roman"/>
          <w:noProof/>
          <w:color w:val="000000"/>
          <w:szCs w:val="24"/>
          <w:lang w:eastAsia="cs-CZ"/>
        </w:rPr>
        <w:fldChar w:fldCharType="end"/>
      </w:r>
      <w:r w:rsidRPr="003C3793">
        <w:rPr>
          <w:rFonts w:ascii="Arial" w:eastAsia="Times New Roman" w:hAnsi="Arial" w:cs="Times New Roman"/>
          <w:color w:val="000000"/>
          <w:szCs w:val="24"/>
          <w:lang w:eastAsia="cs-CZ"/>
        </w:rPr>
        <w:instrText xml:space="preserve">&lt;&gt; "" "-" "" </w:instrText>
      </w:r>
      <w:r w:rsidRPr="003C3793">
        <w:rPr>
          <w:rFonts w:ascii="Arial" w:eastAsia="Times New Roman" w:hAnsi="Arial" w:cs="Times New Roman"/>
          <w:color w:val="000000"/>
          <w:szCs w:val="24"/>
          <w:lang w:eastAsia="cs-CZ"/>
        </w:rPr>
        <w:fldChar w:fldCharType="separate"/>
      </w:r>
      <w:r w:rsidRPr="003C3793">
        <w:rPr>
          <w:rFonts w:ascii="Arial" w:eastAsia="Times New Roman" w:hAnsi="Arial" w:cs="Times New Roman"/>
          <w:noProof/>
          <w:color w:val="000000"/>
          <w:szCs w:val="24"/>
          <w:lang w:eastAsia="cs-CZ"/>
        </w:rPr>
        <w:t>-</w:t>
      </w:r>
      <w:r w:rsidRPr="003C3793">
        <w:rPr>
          <w:rFonts w:ascii="Arial" w:eastAsia="Times New Roman" w:hAnsi="Arial" w:cs="Times New Roman"/>
          <w:color w:val="000000"/>
          <w:szCs w:val="24"/>
          <w:lang w:eastAsia="cs-CZ"/>
        </w:rPr>
        <w:fldChar w:fldCharType="end"/>
      </w:r>
      <w:r w:rsidRPr="003C3793">
        <w:rPr>
          <w:rFonts w:ascii="Arial" w:eastAsia="Times New Roman" w:hAnsi="Arial" w:cs="Arial"/>
          <w:lang w:eastAsia="cs-CZ"/>
        </w:rPr>
        <w:fldChar w:fldCharType="begin"/>
      </w:r>
      <w:r w:rsidRPr="003C3793">
        <w:rPr>
          <w:rFonts w:ascii="Arial" w:eastAsia="Times New Roman" w:hAnsi="Arial" w:cs="Arial"/>
          <w:lang w:eastAsia="cs-CZ"/>
        </w:rPr>
        <w:instrText xml:space="preserve"> MERGEFIELD Číslo_účtu </w:instrText>
      </w:r>
      <w:r w:rsidRPr="003C3793">
        <w:rPr>
          <w:rFonts w:ascii="Arial" w:eastAsia="Times New Roman" w:hAnsi="Arial" w:cs="Arial"/>
          <w:lang w:eastAsia="cs-CZ"/>
        </w:rPr>
        <w:fldChar w:fldCharType="separate"/>
      </w:r>
      <w:r w:rsidRPr="003C3793">
        <w:rPr>
          <w:rFonts w:ascii="Arial" w:eastAsia="Times New Roman" w:hAnsi="Arial" w:cs="Arial"/>
          <w:noProof/>
          <w:lang w:eastAsia="cs-CZ"/>
        </w:rPr>
        <w:t>«Číslo_účtu»</w:t>
      </w:r>
      <w:r w:rsidRPr="003C3793">
        <w:rPr>
          <w:rFonts w:ascii="Arial" w:eastAsia="Times New Roman" w:hAnsi="Arial" w:cs="Arial"/>
          <w:lang w:eastAsia="cs-CZ"/>
        </w:rPr>
        <w:fldChar w:fldCharType="end"/>
      </w:r>
      <w:r w:rsidRPr="003C3793">
        <w:rPr>
          <w:rFonts w:ascii="Arial" w:eastAsia="Times New Roman" w:hAnsi="Arial" w:cs="Arial"/>
          <w:lang w:eastAsia="cs-CZ"/>
        </w:rPr>
        <w:t>/</w:t>
      </w:r>
      <w:r w:rsidRPr="003C3793">
        <w:rPr>
          <w:rFonts w:ascii="Arial" w:eastAsia="Times New Roman" w:hAnsi="Arial" w:cs="Arial"/>
          <w:lang w:eastAsia="cs-CZ"/>
        </w:rPr>
        <w:fldChar w:fldCharType="begin"/>
      </w:r>
      <w:r w:rsidRPr="003C3793">
        <w:rPr>
          <w:rFonts w:ascii="Arial" w:eastAsia="Times New Roman" w:hAnsi="Arial" w:cs="Arial"/>
          <w:lang w:eastAsia="cs-CZ"/>
        </w:rPr>
        <w:instrText xml:space="preserve"> MERGEFIELD Kód_banky </w:instrText>
      </w:r>
      <w:r w:rsidRPr="003C3793">
        <w:rPr>
          <w:rFonts w:ascii="Arial" w:eastAsia="Times New Roman" w:hAnsi="Arial" w:cs="Arial"/>
          <w:lang w:eastAsia="cs-CZ"/>
        </w:rPr>
        <w:fldChar w:fldCharType="separate"/>
      </w:r>
      <w:r w:rsidRPr="003C3793">
        <w:rPr>
          <w:rFonts w:ascii="Arial" w:eastAsia="Times New Roman" w:hAnsi="Arial" w:cs="Arial"/>
          <w:noProof/>
          <w:lang w:eastAsia="cs-CZ"/>
        </w:rPr>
        <w:t>«Kód_banky»</w:t>
      </w:r>
      <w:r w:rsidRPr="003C3793">
        <w:rPr>
          <w:rFonts w:ascii="Arial" w:eastAsia="Times New Roman" w:hAnsi="Arial" w:cs="Arial"/>
          <w:lang w:eastAsia="cs-CZ"/>
        </w:rPr>
        <w:fldChar w:fldCharType="end"/>
      </w:r>
    </w:p>
    <w:p w:rsidR="00C078A6" w:rsidRPr="003C3793" w:rsidRDefault="00C078A6" w:rsidP="00C078A6">
      <w:pPr>
        <w:spacing w:before="120" w:after="0"/>
        <w:ind w:left="360"/>
        <w:jc w:val="both"/>
        <w:rPr>
          <w:rFonts w:ascii="Arial" w:eastAsia="Times New Roman" w:hAnsi="Arial" w:cs="Arial"/>
          <w:lang w:eastAsia="cs-CZ"/>
        </w:rPr>
      </w:pPr>
    </w:p>
    <w:p w:rsidR="00C078A6" w:rsidRPr="003C3793" w:rsidRDefault="00C078A6" w:rsidP="00C078A6">
      <w:pPr>
        <w:numPr>
          <w:ilvl w:val="0"/>
          <w:numId w:val="1"/>
        </w:numPr>
        <w:tabs>
          <w:tab w:val="num" w:pos="360"/>
        </w:tabs>
        <w:spacing w:before="120" w:after="0" w:line="240" w:lineRule="auto"/>
        <w:ind w:left="360"/>
        <w:jc w:val="both"/>
        <w:rPr>
          <w:rFonts w:ascii="Arial" w:eastAsia="Times New Roman" w:hAnsi="Arial" w:cs="Arial"/>
          <w:b/>
          <w:lang w:eastAsia="cs-CZ"/>
        </w:rPr>
      </w:pPr>
      <w:r w:rsidRPr="003C3793">
        <w:rPr>
          <w:rFonts w:ascii="Arial" w:eastAsia="Times New Roman" w:hAnsi="Arial" w:cs="Arial"/>
          <w:b/>
          <w:lang w:eastAsia="cs-CZ"/>
        </w:rPr>
        <w:t>Výše dotace</w:t>
      </w:r>
    </w:p>
    <w:p w:rsidR="00C078A6" w:rsidRPr="003C3793" w:rsidRDefault="00C078A6" w:rsidP="00C078A6">
      <w:pPr>
        <w:spacing w:before="120" w:after="0"/>
        <w:ind w:left="360"/>
        <w:jc w:val="both"/>
        <w:rPr>
          <w:rFonts w:ascii="Arial" w:eastAsia="Times New Roman" w:hAnsi="Arial" w:cs="Arial"/>
          <w:lang w:eastAsia="cs-CZ"/>
        </w:rPr>
      </w:pPr>
      <w:r w:rsidRPr="003C3793">
        <w:rPr>
          <w:rFonts w:ascii="Arial" w:eastAsia="Times New Roman" w:hAnsi="Arial" w:cs="Arial"/>
          <w:lang w:eastAsia="cs-CZ"/>
        </w:rPr>
        <w:t xml:space="preserve">Dotace se poskytuje v celkové maximální výši </w:t>
      </w:r>
      <w:r w:rsidRPr="003C3793">
        <w:rPr>
          <w:rFonts w:ascii="Arial" w:eastAsia="Times New Roman" w:hAnsi="Arial" w:cs="Arial"/>
          <w:lang w:eastAsia="cs-CZ"/>
        </w:rPr>
        <w:fldChar w:fldCharType="begin"/>
      </w:r>
      <w:r w:rsidRPr="003C3793">
        <w:rPr>
          <w:rFonts w:ascii="Arial" w:eastAsia="Times New Roman" w:hAnsi="Arial" w:cs="Arial"/>
          <w:lang w:eastAsia="cs-CZ"/>
        </w:rPr>
        <w:instrText xml:space="preserve"> MERGEFIELD Výše_dotace \# “### ### ###”</w:instrText>
      </w:r>
      <w:r w:rsidRPr="003C3793">
        <w:rPr>
          <w:rFonts w:ascii="Arial" w:eastAsia="Times New Roman" w:hAnsi="Arial" w:cs="Arial"/>
          <w:lang w:eastAsia="cs-CZ"/>
        </w:rPr>
        <w:fldChar w:fldCharType="separate"/>
      </w:r>
      <w:r w:rsidRPr="003C3793">
        <w:rPr>
          <w:rFonts w:ascii="Arial" w:eastAsia="Times New Roman" w:hAnsi="Arial" w:cs="Arial"/>
          <w:noProof/>
          <w:lang w:eastAsia="cs-CZ"/>
        </w:rPr>
        <w:t>«Výše_dotace»</w:t>
      </w:r>
      <w:r w:rsidRPr="003C3793">
        <w:rPr>
          <w:rFonts w:ascii="Arial" w:eastAsia="Times New Roman" w:hAnsi="Arial" w:cs="Arial"/>
          <w:lang w:eastAsia="cs-CZ"/>
        </w:rPr>
        <w:fldChar w:fldCharType="end"/>
      </w:r>
      <w:r w:rsidRPr="003C3793">
        <w:rPr>
          <w:rFonts w:ascii="Arial" w:eastAsia="Times New Roman" w:hAnsi="Arial" w:cs="Arial"/>
          <w:lang w:eastAsia="cs-CZ"/>
        </w:rPr>
        <w:t>,-Kč.</w:t>
      </w:r>
    </w:p>
    <w:p w:rsidR="00C078A6" w:rsidRPr="003C3793" w:rsidRDefault="00C078A6" w:rsidP="00C078A6">
      <w:pPr>
        <w:spacing w:before="120" w:after="0"/>
        <w:ind w:left="360"/>
        <w:jc w:val="both"/>
        <w:rPr>
          <w:rFonts w:ascii="Arial" w:eastAsia="Times New Roman" w:hAnsi="Arial" w:cs="Arial"/>
          <w:lang w:eastAsia="cs-CZ"/>
        </w:rPr>
      </w:pPr>
    </w:p>
    <w:p w:rsidR="00C078A6" w:rsidRPr="003C3793" w:rsidRDefault="00C078A6" w:rsidP="00C078A6">
      <w:pPr>
        <w:numPr>
          <w:ilvl w:val="0"/>
          <w:numId w:val="1"/>
        </w:numPr>
        <w:tabs>
          <w:tab w:val="num" w:pos="360"/>
        </w:tabs>
        <w:spacing w:before="120" w:after="0" w:line="240" w:lineRule="auto"/>
        <w:ind w:left="360"/>
        <w:jc w:val="both"/>
        <w:rPr>
          <w:rFonts w:ascii="Arial" w:eastAsia="Times New Roman" w:hAnsi="Arial" w:cs="Arial"/>
          <w:b/>
          <w:lang w:eastAsia="cs-CZ"/>
        </w:rPr>
      </w:pPr>
      <w:r w:rsidRPr="003C3793">
        <w:rPr>
          <w:rFonts w:ascii="Arial" w:eastAsia="Times New Roman" w:hAnsi="Arial" w:cs="Arial"/>
          <w:b/>
          <w:lang w:eastAsia="cs-CZ"/>
        </w:rPr>
        <w:t>Účel dotace</w:t>
      </w:r>
    </w:p>
    <w:p w:rsidR="00C078A6" w:rsidRPr="003C3793" w:rsidRDefault="00C078A6" w:rsidP="00C078A6">
      <w:pPr>
        <w:spacing w:before="120" w:after="0"/>
        <w:ind w:left="360"/>
        <w:jc w:val="both"/>
        <w:rPr>
          <w:rFonts w:ascii="Arial" w:eastAsia="Times New Roman" w:hAnsi="Arial" w:cs="Arial"/>
          <w:lang w:eastAsia="cs-CZ"/>
        </w:rPr>
      </w:pPr>
      <w:r w:rsidRPr="003C3793">
        <w:rPr>
          <w:rFonts w:ascii="Arial" w:eastAsia="Times New Roman" w:hAnsi="Arial" w:cs="Arial"/>
          <w:lang w:eastAsia="cs-CZ"/>
        </w:rPr>
        <w:t xml:space="preserve">Dotace je určena na výkon sociální práce v souladu s ustanovením § 92 - § 93a zákona č. 108/2006 Sb., o sociálních službách, ve znění pozdějších předpisů (dále jen „zákon </w:t>
      </w:r>
      <w:r w:rsidRPr="003C3793">
        <w:rPr>
          <w:rFonts w:ascii="Arial" w:eastAsia="Times New Roman" w:hAnsi="Arial" w:cs="Arial"/>
          <w:lang w:eastAsia="cs-CZ"/>
        </w:rPr>
        <w:br/>
      </w:r>
      <w:r w:rsidRPr="003C3793">
        <w:rPr>
          <w:rFonts w:ascii="Arial" w:eastAsia="Times New Roman" w:hAnsi="Arial" w:cs="Arial"/>
          <w:lang w:eastAsia="cs-CZ"/>
        </w:rPr>
        <w:lastRenderedPageBreak/>
        <w:t>o sociálních službách“), a ustanovením § 63 - § 65 zákona č. 111/2006 Sb., o pomoci v hmotné nouzi.</w:t>
      </w:r>
    </w:p>
    <w:p w:rsidR="00C078A6" w:rsidRDefault="00C078A6" w:rsidP="00C078A6">
      <w:pPr>
        <w:spacing w:before="120" w:after="0" w:line="240" w:lineRule="auto"/>
        <w:jc w:val="both"/>
        <w:rPr>
          <w:rFonts w:ascii="Arial" w:eastAsia="Times New Roman" w:hAnsi="Arial" w:cs="Arial"/>
          <w:b/>
          <w:lang w:eastAsia="cs-CZ"/>
        </w:rPr>
      </w:pPr>
    </w:p>
    <w:p w:rsidR="00C078A6" w:rsidRPr="003C3793" w:rsidRDefault="00C078A6" w:rsidP="00C078A6">
      <w:pPr>
        <w:numPr>
          <w:ilvl w:val="0"/>
          <w:numId w:val="1"/>
        </w:numPr>
        <w:tabs>
          <w:tab w:val="num" w:pos="360"/>
        </w:tabs>
        <w:spacing w:before="120" w:after="0" w:line="240" w:lineRule="auto"/>
        <w:ind w:left="360"/>
        <w:jc w:val="both"/>
        <w:rPr>
          <w:rFonts w:ascii="Arial" w:eastAsia="Times New Roman" w:hAnsi="Arial" w:cs="Arial"/>
          <w:b/>
          <w:lang w:eastAsia="cs-CZ"/>
        </w:rPr>
      </w:pPr>
      <w:r w:rsidRPr="003C3793">
        <w:rPr>
          <w:rFonts w:ascii="Arial" w:eastAsia="Times New Roman" w:hAnsi="Arial" w:cs="Arial"/>
          <w:b/>
          <w:lang w:eastAsia="cs-CZ"/>
        </w:rPr>
        <w:t>Lhůta, v níž má být dosaženo účelu</w:t>
      </w:r>
    </w:p>
    <w:p w:rsidR="00C078A6" w:rsidRPr="003C3793" w:rsidRDefault="00C078A6" w:rsidP="00C078A6">
      <w:pPr>
        <w:spacing w:before="120" w:after="0"/>
        <w:ind w:left="360"/>
        <w:jc w:val="both"/>
        <w:rPr>
          <w:rFonts w:ascii="Arial" w:eastAsia="Times New Roman" w:hAnsi="Arial" w:cs="Arial"/>
          <w:lang w:eastAsia="cs-CZ"/>
        </w:rPr>
      </w:pPr>
      <w:r w:rsidRPr="003C3793">
        <w:rPr>
          <w:rFonts w:ascii="Arial" w:eastAsia="Times New Roman" w:hAnsi="Arial" w:cs="Arial"/>
          <w:lang w:eastAsia="cs-CZ"/>
        </w:rPr>
        <w:t>Účelu dotace musí být dosaženo ve lhůtě od 1. 1. 2017 do 31. 12. 2017</w:t>
      </w:r>
    </w:p>
    <w:p w:rsidR="00C078A6" w:rsidRPr="003C3793" w:rsidRDefault="00C078A6" w:rsidP="00C078A6">
      <w:pPr>
        <w:spacing w:before="60" w:after="0"/>
        <w:jc w:val="center"/>
        <w:rPr>
          <w:rFonts w:ascii="Arial" w:eastAsia="Times New Roman" w:hAnsi="Arial" w:cs="Arial"/>
          <w:b/>
          <w:caps/>
          <w:lang w:eastAsia="cs-CZ"/>
        </w:rPr>
      </w:pPr>
    </w:p>
    <w:p w:rsidR="00C078A6" w:rsidRPr="003C3793" w:rsidRDefault="00C078A6" w:rsidP="00C078A6">
      <w:pPr>
        <w:spacing w:before="60" w:after="0"/>
        <w:jc w:val="center"/>
        <w:rPr>
          <w:rFonts w:ascii="Arial" w:eastAsia="Times New Roman" w:hAnsi="Arial" w:cs="Arial"/>
          <w:b/>
          <w:caps/>
          <w:lang w:eastAsia="cs-CZ"/>
        </w:rPr>
      </w:pPr>
    </w:p>
    <w:p w:rsidR="00C078A6" w:rsidRPr="003C3793" w:rsidRDefault="00C078A6" w:rsidP="00C078A6">
      <w:pPr>
        <w:spacing w:before="60" w:after="0"/>
        <w:jc w:val="center"/>
        <w:rPr>
          <w:rFonts w:ascii="Arial" w:eastAsia="Times New Roman" w:hAnsi="Arial" w:cs="Arial"/>
          <w:b/>
          <w:caps/>
          <w:lang w:eastAsia="cs-CZ"/>
        </w:rPr>
      </w:pPr>
      <w:r w:rsidRPr="003C3793">
        <w:rPr>
          <w:rFonts w:ascii="Arial" w:eastAsia="Times New Roman" w:hAnsi="Arial" w:cs="Arial"/>
          <w:b/>
          <w:caps/>
          <w:lang w:eastAsia="cs-CZ"/>
        </w:rPr>
        <w:t>ČÁST II</w:t>
      </w:r>
    </w:p>
    <w:p w:rsidR="00C078A6" w:rsidRPr="003C3793" w:rsidRDefault="00C078A6" w:rsidP="00C078A6">
      <w:pPr>
        <w:spacing w:before="60" w:after="0"/>
        <w:jc w:val="center"/>
        <w:rPr>
          <w:rFonts w:ascii="Arial" w:eastAsia="Times New Roman" w:hAnsi="Arial" w:cs="Arial"/>
          <w:b/>
          <w:caps/>
          <w:lang w:eastAsia="cs-CZ"/>
        </w:rPr>
      </w:pPr>
      <w:r w:rsidRPr="003C3793">
        <w:rPr>
          <w:rFonts w:ascii="Arial" w:eastAsia="Times New Roman" w:hAnsi="Arial" w:cs="Arial"/>
          <w:b/>
          <w:caps/>
          <w:lang w:eastAsia="cs-CZ"/>
        </w:rPr>
        <w:t>Právní rámec pro poskytnutí dotace z kapitoly MPSV státního rozpočtu na VÝKON SOCIÁLNÍ PRÁCE</w:t>
      </w:r>
    </w:p>
    <w:p w:rsidR="00C078A6" w:rsidRPr="003C3793" w:rsidRDefault="00C078A6" w:rsidP="00C078A6">
      <w:pPr>
        <w:spacing w:after="0"/>
        <w:ind w:right="46"/>
        <w:jc w:val="both"/>
        <w:rPr>
          <w:rFonts w:ascii="Arial" w:eastAsia="Times New Roman" w:hAnsi="Arial" w:cs="Arial"/>
          <w:lang w:eastAsia="cs-CZ"/>
        </w:rPr>
      </w:pPr>
    </w:p>
    <w:p w:rsidR="00C078A6" w:rsidRPr="003C3793" w:rsidRDefault="00C078A6" w:rsidP="00C078A6">
      <w:pPr>
        <w:numPr>
          <w:ilvl w:val="0"/>
          <w:numId w:val="9"/>
        </w:numPr>
        <w:spacing w:after="0" w:line="240" w:lineRule="auto"/>
        <w:ind w:left="284" w:hanging="284"/>
        <w:contextualSpacing/>
        <w:jc w:val="both"/>
        <w:rPr>
          <w:rFonts w:ascii="Arial" w:eastAsia="Times New Roman" w:hAnsi="Arial" w:cs="Arial"/>
          <w:lang w:eastAsia="cs-CZ"/>
        </w:rPr>
      </w:pPr>
      <w:r w:rsidRPr="003C3793">
        <w:rPr>
          <w:rFonts w:ascii="Arial" w:eastAsia="Times New Roman" w:hAnsi="Arial" w:cs="Arial"/>
          <w:lang w:eastAsia="cs-CZ"/>
        </w:rPr>
        <w:t>Na poskytnutí dotace ze státního rozpočtu není právní nárok. Dotace je poskytována na základě § 14 a násl.</w:t>
      </w:r>
      <w:r>
        <w:rPr>
          <w:rFonts w:ascii="Arial" w:eastAsia="Times New Roman" w:hAnsi="Arial" w:cs="Arial"/>
          <w:lang w:eastAsia="cs-CZ"/>
        </w:rPr>
        <w:t xml:space="preserve"> </w:t>
      </w:r>
      <w:r w:rsidRPr="003C3793">
        <w:rPr>
          <w:rFonts w:ascii="Arial" w:eastAsia="Times New Roman" w:hAnsi="Arial" w:cs="Arial"/>
          <w:lang w:eastAsia="cs-CZ"/>
        </w:rPr>
        <w:t xml:space="preserve">zákona č. 218/2000 Sb., o rozpočtových pravidlech a o změně některých souvisejících zákonů (rozpočtová pravidla), ve znění pozdějších předpisů (dále jen „zákon o rozpočtových pravidlech“) a v souladu se zákonem o sociálních službách. </w:t>
      </w:r>
    </w:p>
    <w:p w:rsidR="00C078A6" w:rsidRPr="003C3793" w:rsidRDefault="00C078A6" w:rsidP="00C078A6">
      <w:pPr>
        <w:spacing w:after="0"/>
        <w:ind w:left="284" w:hanging="284"/>
        <w:jc w:val="both"/>
        <w:rPr>
          <w:rFonts w:ascii="Arial" w:eastAsia="Times New Roman" w:hAnsi="Arial" w:cs="Arial"/>
          <w:lang w:eastAsia="cs-CZ"/>
        </w:rPr>
      </w:pPr>
    </w:p>
    <w:p w:rsidR="00C078A6" w:rsidRPr="003C3793" w:rsidRDefault="00C078A6" w:rsidP="00C078A6">
      <w:pPr>
        <w:numPr>
          <w:ilvl w:val="0"/>
          <w:numId w:val="9"/>
        </w:numPr>
        <w:spacing w:after="0" w:line="240" w:lineRule="auto"/>
        <w:ind w:left="284" w:hanging="284"/>
        <w:contextualSpacing/>
        <w:jc w:val="both"/>
        <w:rPr>
          <w:rFonts w:ascii="Arial" w:eastAsia="Times New Roman" w:hAnsi="Arial" w:cs="Arial"/>
          <w:lang w:eastAsia="cs-CZ"/>
        </w:rPr>
      </w:pPr>
      <w:r w:rsidRPr="003C3793">
        <w:rPr>
          <w:rFonts w:ascii="Arial" w:eastAsia="Times New Roman" w:hAnsi="Arial" w:cs="Arial"/>
          <w:lang w:eastAsia="cs-CZ"/>
        </w:rPr>
        <w:t>Právní vztahy související s poskytnutím dotace se dále řídí zejména zákonem č. 320/2001 Sb., o finanční kontrole ve veřejné správě a o změně některých dalších zákonů, ve znění poz</w:t>
      </w:r>
      <w:r>
        <w:rPr>
          <w:rFonts w:ascii="Arial" w:eastAsia="Times New Roman" w:hAnsi="Arial" w:cs="Arial"/>
          <w:lang w:eastAsia="cs-CZ"/>
        </w:rPr>
        <w:t>dějších předpisů, zákonem č. 134/2016</w:t>
      </w:r>
      <w:r w:rsidRPr="003C3793">
        <w:rPr>
          <w:rFonts w:ascii="Arial" w:eastAsia="Times New Roman" w:hAnsi="Arial" w:cs="Arial"/>
          <w:lang w:eastAsia="cs-CZ"/>
        </w:rPr>
        <w:t xml:space="preserve"> Sb., o </w:t>
      </w:r>
      <w:r>
        <w:rPr>
          <w:rFonts w:ascii="Arial" w:eastAsia="Times New Roman" w:hAnsi="Arial" w:cs="Arial"/>
          <w:lang w:eastAsia="cs-CZ"/>
        </w:rPr>
        <w:t xml:space="preserve">zadávání </w:t>
      </w:r>
      <w:r w:rsidRPr="003C3793">
        <w:rPr>
          <w:rFonts w:ascii="Arial" w:eastAsia="Times New Roman" w:hAnsi="Arial" w:cs="Arial"/>
          <w:lang w:eastAsia="cs-CZ"/>
        </w:rPr>
        <w:t>veřejných zakáz</w:t>
      </w:r>
      <w:r>
        <w:rPr>
          <w:rFonts w:ascii="Arial" w:eastAsia="Times New Roman" w:hAnsi="Arial" w:cs="Arial"/>
          <w:lang w:eastAsia="cs-CZ"/>
        </w:rPr>
        <w:t>ek</w:t>
      </w:r>
      <w:r w:rsidRPr="003C3793">
        <w:rPr>
          <w:rFonts w:ascii="Arial" w:eastAsia="Times New Roman" w:hAnsi="Arial" w:cs="Arial"/>
          <w:lang w:eastAsia="cs-CZ"/>
        </w:rPr>
        <w:t>, vyhláškou č. 367/2015 Sb., kterou se stanoví zásady a termíny finančního vypořádání vztahů se státním rozpočtem, státními finančními aktivy nebo Národním fondem, a rovněž dalšími souvisejícími právními předpisy České republiky.</w:t>
      </w:r>
    </w:p>
    <w:p w:rsidR="00C078A6" w:rsidRPr="003C3793" w:rsidRDefault="00C078A6" w:rsidP="00C078A6">
      <w:pPr>
        <w:spacing w:after="0"/>
        <w:ind w:left="284" w:hanging="284"/>
        <w:jc w:val="both"/>
        <w:rPr>
          <w:rFonts w:ascii="Arial" w:eastAsia="Times New Roman" w:hAnsi="Arial" w:cs="Arial"/>
          <w:lang w:eastAsia="cs-CZ"/>
        </w:rPr>
      </w:pPr>
    </w:p>
    <w:p w:rsidR="00C078A6" w:rsidRPr="003C3793" w:rsidRDefault="00C078A6" w:rsidP="00C078A6">
      <w:pPr>
        <w:numPr>
          <w:ilvl w:val="0"/>
          <w:numId w:val="9"/>
        </w:numPr>
        <w:spacing w:after="0" w:line="240" w:lineRule="auto"/>
        <w:ind w:left="284" w:hanging="284"/>
        <w:contextualSpacing/>
        <w:jc w:val="both"/>
        <w:rPr>
          <w:rFonts w:ascii="Arial" w:eastAsia="Times New Roman" w:hAnsi="Arial" w:cs="Arial"/>
          <w:bCs/>
          <w:lang w:eastAsia="cs-CZ"/>
        </w:rPr>
      </w:pPr>
      <w:r w:rsidRPr="003C3793">
        <w:rPr>
          <w:rFonts w:ascii="Arial" w:eastAsia="Times New Roman" w:hAnsi="Arial" w:cs="Arial"/>
          <w:lang w:eastAsia="cs-CZ"/>
        </w:rPr>
        <w:t>Pravidla a podmínky pro čerpání, kontrolu a finanční vypořádání dotace jsou stanovena</w:t>
      </w:r>
      <w:r w:rsidRPr="003C3793">
        <w:rPr>
          <w:rFonts w:ascii="Arial" w:eastAsia="Times New Roman" w:hAnsi="Arial" w:cs="Arial"/>
          <w:lang w:eastAsia="cs-CZ"/>
        </w:rPr>
        <w:br/>
        <w:t>v Metodice Ministerstva práce a sociálních věcí pro poskytování příspěvku na výkon sociální práce (s výjimkou agendy sociálně-právní ochrany dětí) formou dotace</w:t>
      </w:r>
      <w:r w:rsidRPr="003C3793">
        <w:rPr>
          <w:rFonts w:ascii="Arial" w:eastAsia="Times New Roman" w:hAnsi="Arial" w:cs="Arial"/>
          <w:lang w:eastAsia="cs-CZ"/>
        </w:rPr>
        <w:br/>
        <w:t>ze státního rozpočtu krajům, hl. m. Praze, obcím s rozšířenou působností a obcím</w:t>
      </w:r>
      <w:r w:rsidRPr="003C3793">
        <w:rPr>
          <w:rFonts w:ascii="Arial" w:eastAsia="Times New Roman" w:hAnsi="Arial" w:cs="Arial"/>
          <w:lang w:eastAsia="cs-CZ"/>
        </w:rPr>
        <w:br/>
        <w:t>s pověřeným obecním úřadem (Metodika). Tato je pro příjemce dotace závazná a je volně přístupná na webových stránkách www.mpsv.cz.</w:t>
      </w:r>
    </w:p>
    <w:p w:rsidR="00C078A6" w:rsidRPr="003C3793" w:rsidRDefault="00C078A6" w:rsidP="00C078A6">
      <w:pPr>
        <w:spacing w:after="0"/>
        <w:ind w:left="284" w:hanging="284"/>
        <w:jc w:val="both"/>
        <w:rPr>
          <w:rFonts w:ascii="Arial" w:eastAsia="Times New Roman" w:hAnsi="Arial" w:cs="Arial"/>
          <w:bCs/>
          <w:lang w:eastAsia="cs-CZ"/>
        </w:rPr>
      </w:pPr>
    </w:p>
    <w:p w:rsidR="00C078A6" w:rsidRPr="003C3793" w:rsidRDefault="00C078A6" w:rsidP="00C078A6">
      <w:pPr>
        <w:spacing w:after="0"/>
        <w:ind w:left="284" w:hanging="284"/>
        <w:jc w:val="both"/>
        <w:rPr>
          <w:rFonts w:ascii="Arial" w:eastAsia="Times New Roman" w:hAnsi="Arial" w:cs="Arial"/>
          <w:bCs/>
          <w:lang w:eastAsia="cs-CZ"/>
        </w:rPr>
      </w:pPr>
    </w:p>
    <w:p w:rsidR="00C078A6" w:rsidRPr="003C3793" w:rsidRDefault="00C078A6" w:rsidP="00C078A6">
      <w:pPr>
        <w:spacing w:after="0"/>
        <w:jc w:val="both"/>
        <w:rPr>
          <w:rFonts w:ascii="Arial" w:eastAsia="Times New Roman" w:hAnsi="Arial" w:cs="Arial"/>
          <w:bCs/>
          <w:lang w:eastAsia="cs-CZ"/>
        </w:rPr>
      </w:pPr>
    </w:p>
    <w:p w:rsidR="00C078A6" w:rsidRPr="003C3793" w:rsidRDefault="00C078A6" w:rsidP="00C078A6">
      <w:pPr>
        <w:spacing w:before="60" w:after="0"/>
        <w:jc w:val="center"/>
        <w:rPr>
          <w:rFonts w:ascii="Arial" w:eastAsia="Times New Roman" w:hAnsi="Arial" w:cs="Arial"/>
          <w:b/>
          <w:caps/>
          <w:lang w:eastAsia="cs-CZ"/>
        </w:rPr>
      </w:pPr>
      <w:r w:rsidRPr="003C3793">
        <w:rPr>
          <w:rFonts w:ascii="Arial" w:eastAsia="Times New Roman" w:hAnsi="Arial" w:cs="Arial"/>
          <w:b/>
          <w:caps/>
          <w:lang w:eastAsia="cs-CZ"/>
        </w:rPr>
        <w:t>ČÁST III</w:t>
      </w:r>
    </w:p>
    <w:p w:rsidR="00C078A6" w:rsidRPr="003C3793" w:rsidRDefault="00C078A6" w:rsidP="00C078A6">
      <w:pPr>
        <w:spacing w:before="60" w:after="0"/>
        <w:jc w:val="center"/>
        <w:rPr>
          <w:rFonts w:ascii="Arial" w:eastAsia="Times New Roman" w:hAnsi="Arial" w:cs="Arial"/>
          <w:b/>
          <w:caps/>
          <w:lang w:eastAsia="cs-CZ"/>
        </w:rPr>
      </w:pPr>
      <w:r w:rsidRPr="003C3793">
        <w:rPr>
          <w:rFonts w:ascii="Arial" w:eastAsia="Times New Roman" w:hAnsi="Arial" w:cs="Arial"/>
          <w:b/>
          <w:caps/>
          <w:lang w:eastAsia="cs-CZ"/>
        </w:rPr>
        <w:t>POVINNOSTI PŘÍJEMCE DOTACE</w:t>
      </w:r>
    </w:p>
    <w:p w:rsidR="00C078A6" w:rsidRPr="003C3793" w:rsidRDefault="00C078A6" w:rsidP="00C078A6">
      <w:pPr>
        <w:numPr>
          <w:ilvl w:val="0"/>
          <w:numId w:val="4"/>
        </w:numPr>
        <w:spacing w:before="120" w:after="0" w:line="240" w:lineRule="auto"/>
        <w:jc w:val="both"/>
        <w:rPr>
          <w:rFonts w:ascii="Arial" w:eastAsia="Times New Roman" w:hAnsi="Arial" w:cs="Arial"/>
          <w:lang w:eastAsia="cs-CZ"/>
        </w:rPr>
      </w:pPr>
      <w:bookmarkStart w:id="1" w:name="_Ref173480223"/>
      <w:r w:rsidRPr="003C3793">
        <w:rPr>
          <w:rFonts w:ascii="Arial" w:eastAsia="Times New Roman" w:hAnsi="Arial" w:cs="Arial"/>
          <w:lang w:eastAsia="cs-CZ"/>
        </w:rPr>
        <w:t>Příjemce dotace je povinen splnit účel dotace uvedený v části I, bodě 3 tohoto Rozhodnutí.</w:t>
      </w:r>
    </w:p>
    <w:p w:rsidR="00C078A6" w:rsidRPr="003C3793" w:rsidRDefault="00C078A6" w:rsidP="00C078A6">
      <w:pPr>
        <w:numPr>
          <w:ilvl w:val="0"/>
          <w:numId w:val="4"/>
        </w:numPr>
        <w:spacing w:before="120" w:after="0" w:line="240" w:lineRule="auto"/>
        <w:jc w:val="both"/>
        <w:rPr>
          <w:rFonts w:ascii="Arial" w:eastAsia="Times New Roman" w:hAnsi="Arial" w:cs="Arial"/>
          <w:lang w:eastAsia="cs-CZ"/>
        </w:rPr>
      </w:pPr>
      <w:r w:rsidRPr="003C3793">
        <w:rPr>
          <w:rFonts w:ascii="Arial" w:eastAsia="Times New Roman" w:hAnsi="Arial" w:cs="Arial"/>
          <w:lang w:eastAsia="cs-CZ"/>
        </w:rPr>
        <w:t>Příjemce dotace odpovídá za hospodárné a efektivní použití dotace v souladu s účelem, na který byla dotace poskytnuta.</w:t>
      </w:r>
    </w:p>
    <w:p w:rsidR="00C078A6" w:rsidRPr="003C3793" w:rsidRDefault="00C078A6" w:rsidP="00C078A6">
      <w:pPr>
        <w:numPr>
          <w:ilvl w:val="0"/>
          <w:numId w:val="4"/>
        </w:numPr>
        <w:spacing w:before="120" w:after="0" w:line="240" w:lineRule="auto"/>
        <w:jc w:val="both"/>
        <w:rPr>
          <w:rFonts w:ascii="Arial" w:eastAsia="Times New Roman" w:hAnsi="Arial" w:cs="Arial"/>
          <w:lang w:eastAsia="cs-CZ"/>
        </w:rPr>
      </w:pPr>
      <w:r w:rsidRPr="003C3793">
        <w:rPr>
          <w:rFonts w:ascii="Arial" w:eastAsia="Times New Roman" w:hAnsi="Arial" w:cs="Arial"/>
          <w:lang w:eastAsia="cs-CZ"/>
        </w:rPr>
        <w:t>Příjemce dotace je povinen dotaci ze státního rozpočtu použít pouze na úhradu výdajů na výkon sociální práce podle části I, bodu 3 tohoto Rozhodnutí a ve lhůtě uvedené</w:t>
      </w:r>
      <w:r w:rsidRPr="003C3793">
        <w:rPr>
          <w:rFonts w:ascii="Arial" w:eastAsia="Times New Roman" w:hAnsi="Arial" w:cs="Arial"/>
          <w:lang w:eastAsia="cs-CZ"/>
        </w:rPr>
        <w:br/>
        <w:t>v části I, bodu 4 tohoto Rozhodnutí.</w:t>
      </w:r>
    </w:p>
    <w:p w:rsidR="00C078A6" w:rsidRDefault="00C078A6" w:rsidP="00C078A6">
      <w:pPr>
        <w:numPr>
          <w:ilvl w:val="0"/>
          <w:numId w:val="4"/>
        </w:numPr>
        <w:spacing w:before="120" w:after="0" w:line="240" w:lineRule="auto"/>
        <w:jc w:val="both"/>
        <w:rPr>
          <w:rFonts w:ascii="Arial" w:eastAsia="Times New Roman" w:hAnsi="Arial" w:cs="Arial"/>
          <w:lang w:eastAsia="cs-CZ"/>
        </w:rPr>
      </w:pPr>
      <w:r w:rsidRPr="003C3793">
        <w:rPr>
          <w:rFonts w:ascii="Arial" w:eastAsia="Times New Roman" w:hAnsi="Arial" w:cs="Arial"/>
          <w:lang w:eastAsia="cs-CZ"/>
        </w:rPr>
        <w:t>Příjemce dotace je povinen čerpat dotaci pouze na úhradu uznatelných nákladů/výdajů, které jsou definovány v části IV Metodiky.</w:t>
      </w:r>
    </w:p>
    <w:p w:rsidR="00C078A6" w:rsidRDefault="00C078A6" w:rsidP="00C078A6">
      <w:pPr>
        <w:rPr>
          <w:rFonts w:ascii="Arial" w:eastAsia="Times New Roman" w:hAnsi="Arial" w:cs="Arial"/>
          <w:lang w:eastAsia="cs-CZ"/>
        </w:rPr>
      </w:pPr>
      <w:r>
        <w:rPr>
          <w:rFonts w:ascii="Arial" w:eastAsia="Times New Roman" w:hAnsi="Arial" w:cs="Arial"/>
          <w:lang w:eastAsia="cs-CZ"/>
        </w:rPr>
        <w:br w:type="page"/>
      </w:r>
    </w:p>
    <w:p w:rsidR="00C078A6" w:rsidRPr="003C3793" w:rsidRDefault="00C078A6" w:rsidP="00C078A6">
      <w:pPr>
        <w:numPr>
          <w:ilvl w:val="0"/>
          <w:numId w:val="4"/>
        </w:numPr>
        <w:spacing w:before="120" w:after="0" w:line="240" w:lineRule="auto"/>
        <w:jc w:val="both"/>
        <w:rPr>
          <w:rFonts w:ascii="Arial" w:eastAsia="Times New Roman" w:hAnsi="Arial" w:cs="Arial"/>
          <w:lang w:eastAsia="cs-CZ"/>
        </w:rPr>
      </w:pPr>
      <w:r w:rsidRPr="003C3793">
        <w:rPr>
          <w:rFonts w:ascii="Arial" w:eastAsia="Times New Roman" w:hAnsi="Arial" w:cs="Arial"/>
          <w:lang w:eastAsia="cs-CZ"/>
        </w:rPr>
        <w:lastRenderedPageBreak/>
        <w:t>Z poskytnuté dotace příjemce dotace nesmí hradit tyto výdaje (tzv. neuznatelné výdaje, srov. Metodika, část V):</w:t>
      </w:r>
    </w:p>
    <w:p w:rsidR="00C078A6" w:rsidRPr="003C3793" w:rsidRDefault="00C078A6" w:rsidP="00C078A6">
      <w:pPr>
        <w:numPr>
          <w:ilvl w:val="1"/>
          <w:numId w:val="8"/>
        </w:numPr>
        <w:spacing w:before="120" w:after="0" w:line="240" w:lineRule="auto"/>
        <w:ind w:left="720"/>
        <w:jc w:val="both"/>
        <w:rPr>
          <w:rFonts w:ascii="Arial" w:eastAsia="Times New Roman" w:hAnsi="Arial" w:cs="Arial"/>
          <w:lang w:eastAsia="cs-CZ"/>
        </w:rPr>
      </w:pPr>
      <w:r w:rsidRPr="003C3793">
        <w:rPr>
          <w:rFonts w:ascii="Arial" w:eastAsia="Times New Roman" w:hAnsi="Arial" w:cs="Arial"/>
          <w:color w:val="000000"/>
          <w:szCs w:val="24"/>
          <w:lang w:eastAsia="cs-CZ"/>
        </w:rPr>
        <w:t>Výdaje, které nesouvisejí přímo s výkonem sociální práce a musely by být hrazeny i v případě, kdy by krajský nebo obecní úřad danou agendu nevykonával. Příspěvek proto nelze využít například na výdaje na mzdy zaměstnanců podatelny, hospodářské správy, údržby, recepce, úklidu a ostrahy budovy a výdaje na opravu budovy. Dotaci nelze v poměrné části využít ani na zaměstnance, kteří na krajském nebo obecním úřadu zabezpečují personální či pracovněprávní agendu, byť se tato personální agenda týká sociálních pracovníků úřadu. Pokud jde o drobný dlouhodobý majetek (mobilní telefony, osobní počítače, fotoaparáty a kancelářské zařízení) pořízený z příspěvku na výkon sociální práce, musí být používán k účelu, ke kterému byl jako nezbytný prostředek pořízený a nemůže být převeden na jiné oddělení.</w:t>
      </w:r>
    </w:p>
    <w:p w:rsidR="00C078A6" w:rsidRPr="003C3793" w:rsidRDefault="00C078A6" w:rsidP="00C078A6">
      <w:pPr>
        <w:numPr>
          <w:ilvl w:val="1"/>
          <w:numId w:val="8"/>
        </w:numPr>
        <w:spacing w:before="120" w:after="0" w:line="240" w:lineRule="auto"/>
        <w:ind w:left="720"/>
        <w:jc w:val="both"/>
        <w:rPr>
          <w:rFonts w:ascii="Arial" w:eastAsia="Times New Roman" w:hAnsi="Arial" w:cs="Arial"/>
          <w:lang w:eastAsia="cs-CZ"/>
        </w:rPr>
      </w:pPr>
      <w:r w:rsidRPr="003C3793">
        <w:rPr>
          <w:rFonts w:ascii="Arial" w:eastAsia="Times New Roman" w:hAnsi="Arial" w:cs="Arial"/>
          <w:color w:val="000000"/>
          <w:szCs w:val="24"/>
          <w:lang w:eastAsia="cs-CZ"/>
        </w:rPr>
        <w:t>Příspěvek, ani jeho část, nesmí být vložen do peněžního fondu zřízeného obcí nebo krajem podle § 5 zákona č. 250/2000 Sb., o rozpočtových pravidlech územních rozpočtů, ve znění pozdějších předpisů.</w:t>
      </w:r>
    </w:p>
    <w:p w:rsidR="00C078A6" w:rsidRPr="003C3793" w:rsidRDefault="00C078A6" w:rsidP="00C078A6">
      <w:pPr>
        <w:numPr>
          <w:ilvl w:val="1"/>
          <w:numId w:val="8"/>
        </w:numPr>
        <w:spacing w:before="120" w:after="0" w:line="240" w:lineRule="auto"/>
        <w:ind w:left="720"/>
        <w:jc w:val="both"/>
        <w:rPr>
          <w:rFonts w:ascii="Arial" w:eastAsia="Times New Roman" w:hAnsi="Arial" w:cs="Arial"/>
          <w:lang w:eastAsia="cs-CZ"/>
        </w:rPr>
      </w:pPr>
      <w:r w:rsidRPr="003C3793">
        <w:rPr>
          <w:rFonts w:ascii="Arial" w:eastAsia="Times New Roman" w:hAnsi="Arial" w:cs="Arial"/>
          <w:color w:val="000000"/>
          <w:szCs w:val="24"/>
          <w:lang w:eastAsia="cs-CZ"/>
        </w:rPr>
        <w:t>Příspěvek je poskytován jako neinvestiční dotace, z čehož plyne, že nesmí být použit ke krytí výdajů na pořízení a technické zhodnocení dlouhodobého hmotného</w:t>
      </w:r>
      <w:r w:rsidRPr="003C3793">
        <w:rPr>
          <w:rFonts w:ascii="Arial" w:eastAsia="Times New Roman" w:hAnsi="Arial" w:cs="Arial"/>
          <w:color w:val="000000"/>
          <w:szCs w:val="24"/>
          <w:lang w:eastAsia="cs-CZ"/>
        </w:rPr>
        <w:br/>
        <w:t>a nehmotného majetku. Tím se podle vyhlášky Ministerstva financí č. 323/2002 Sb.,</w:t>
      </w:r>
      <w:r w:rsidRPr="003C3793">
        <w:rPr>
          <w:rFonts w:ascii="Arial" w:eastAsia="Times New Roman" w:hAnsi="Arial" w:cs="Arial"/>
          <w:color w:val="000000"/>
          <w:szCs w:val="24"/>
          <w:lang w:eastAsia="cs-CZ"/>
        </w:rPr>
        <w:br/>
        <w:t>o rozpočtové skladbě, ve znění pozdějších předpisů, rozumí, že nemůže být použit</w:t>
      </w:r>
      <w:r w:rsidRPr="003C3793">
        <w:rPr>
          <w:rFonts w:ascii="Arial" w:eastAsia="Times New Roman" w:hAnsi="Arial" w:cs="Arial"/>
          <w:color w:val="000000"/>
          <w:szCs w:val="24"/>
          <w:lang w:eastAsia="cs-CZ"/>
        </w:rPr>
        <w:br/>
        <w:t>k nákupu dlouhodobého hmotného majetku v hodnotě nad 40 tisíc Kč, dlouhodobého nehmotného majetku v hodnotě nad 60 tisíc Kč a k technickému zhodnocení tohoto majetku. Ministerstvo práce a sociálních věcí nebude měnit charakter tohoto příspěvku.</w:t>
      </w:r>
    </w:p>
    <w:p w:rsidR="00C078A6" w:rsidRPr="003C3793" w:rsidRDefault="00C078A6" w:rsidP="00C078A6">
      <w:pPr>
        <w:numPr>
          <w:ilvl w:val="0"/>
          <w:numId w:val="4"/>
        </w:numPr>
        <w:autoSpaceDE w:val="0"/>
        <w:autoSpaceDN w:val="0"/>
        <w:spacing w:before="120" w:after="0" w:line="240" w:lineRule="auto"/>
        <w:jc w:val="both"/>
        <w:rPr>
          <w:rFonts w:ascii="Arial" w:eastAsia="Times New Roman" w:hAnsi="Arial" w:cs="Arial"/>
          <w:szCs w:val="20"/>
          <w:lang w:eastAsia="cs-CZ"/>
        </w:rPr>
      </w:pPr>
      <w:r w:rsidRPr="003C3793">
        <w:rPr>
          <w:rFonts w:ascii="Arial" w:eastAsia="Times New Roman" w:hAnsi="Arial" w:cs="Arial"/>
          <w:lang w:eastAsia="cs-CZ"/>
        </w:rPr>
        <w:t>Příjemce dotace je povinen vést přidělenou dotaci v účetnictví odděleně a vést účetnictví v souladu se zákonem č. 563/1991 Sb., o účetnictví, ve znění pozdějších předpisů.</w:t>
      </w:r>
      <w:r w:rsidRPr="003C3793">
        <w:rPr>
          <w:rFonts w:ascii="Arial" w:eastAsia="Times New Roman" w:hAnsi="Arial" w:cs="Arial"/>
          <w:sz w:val="20"/>
          <w:lang w:eastAsia="cs-CZ"/>
        </w:rPr>
        <w:t xml:space="preserve"> </w:t>
      </w:r>
      <w:r w:rsidRPr="003C3793">
        <w:rPr>
          <w:rFonts w:ascii="Arial" w:eastAsia="Times New Roman" w:hAnsi="Arial" w:cs="Arial"/>
          <w:lang w:eastAsia="cs-CZ"/>
        </w:rPr>
        <w:t>Příjemce dotace je povinen jednotlivé originály účetních dokladů označit tak, aby bylo zřejmé, že se jedná o výdaj hrazený z dotačního titulu na výkon sociální práce přidělené na základě tohoto Rozhodnutí.</w:t>
      </w:r>
    </w:p>
    <w:p w:rsidR="00C078A6" w:rsidRPr="003C3793" w:rsidRDefault="00C078A6" w:rsidP="00C078A6">
      <w:pPr>
        <w:numPr>
          <w:ilvl w:val="0"/>
          <w:numId w:val="4"/>
        </w:numPr>
        <w:spacing w:before="120" w:after="0" w:line="240" w:lineRule="auto"/>
        <w:jc w:val="both"/>
        <w:rPr>
          <w:rFonts w:ascii="Arial" w:eastAsia="Times New Roman" w:hAnsi="Arial" w:cs="Arial"/>
          <w:lang w:eastAsia="cs-CZ"/>
        </w:rPr>
      </w:pPr>
      <w:r w:rsidRPr="003C3793">
        <w:rPr>
          <w:rFonts w:ascii="Arial" w:eastAsia="Times New Roman" w:hAnsi="Arial" w:cs="Arial"/>
          <w:lang w:eastAsia="cs-CZ"/>
        </w:rPr>
        <w:t>Příjemce dotace je povinen vést analytickou účetní evidenci všech účetních případů vztahujících se k poskytnuté dotaci.</w:t>
      </w:r>
    </w:p>
    <w:p w:rsidR="00C078A6" w:rsidRPr="003C3793" w:rsidRDefault="00C078A6" w:rsidP="00C078A6">
      <w:pPr>
        <w:numPr>
          <w:ilvl w:val="0"/>
          <w:numId w:val="4"/>
        </w:numPr>
        <w:spacing w:before="120" w:after="0" w:line="240" w:lineRule="auto"/>
        <w:jc w:val="both"/>
        <w:rPr>
          <w:rFonts w:ascii="Arial" w:eastAsia="Times New Roman" w:hAnsi="Arial" w:cs="Arial"/>
          <w:lang w:eastAsia="cs-CZ"/>
        </w:rPr>
      </w:pPr>
      <w:bookmarkStart w:id="2" w:name="_Ref233982153"/>
      <w:r w:rsidRPr="003C3793">
        <w:rPr>
          <w:rFonts w:ascii="Arial" w:eastAsia="Times New Roman" w:hAnsi="Arial" w:cs="Arial"/>
          <w:lang w:eastAsia="cs-CZ"/>
        </w:rPr>
        <w:t>Při čerpání dotace je příjemce dotace povinen zajistit, aby na stejnou činnost/stejný výdaj nedocházelo k duplicitnímu čerpání finančních prostředků z více zdrojů se stejným účelem.</w:t>
      </w:r>
      <w:bookmarkEnd w:id="2"/>
    </w:p>
    <w:p w:rsidR="00C078A6" w:rsidRPr="003C3793" w:rsidRDefault="00C078A6" w:rsidP="00C078A6">
      <w:pPr>
        <w:numPr>
          <w:ilvl w:val="0"/>
          <w:numId w:val="4"/>
        </w:numPr>
        <w:spacing w:before="120" w:after="0" w:line="240" w:lineRule="auto"/>
        <w:jc w:val="both"/>
        <w:rPr>
          <w:rFonts w:ascii="Arial" w:eastAsia="Times New Roman" w:hAnsi="Arial" w:cs="Arial"/>
          <w:lang w:eastAsia="cs-CZ"/>
        </w:rPr>
      </w:pPr>
      <w:bookmarkStart w:id="3" w:name="_Ref233982175"/>
      <w:bookmarkStart w:id="4" w:name="_Ref173481057"/>
      <w:r w:rsidRPr="003C3793">
        <w:rPr>
          <w:rFonts w:ascii="Arial" w:eastAsia="Times New Roman" w:hAnsi="Arial" w:cs="Arial"/>
          <w:lang w:eastAsia="cs-CZ"/>
        </w:rPr>
        <w:t>Příjemce dotace je povinen písemně informovat poskytovatele dotace o následujících změnách údajů uváděných v žádosti, a to nejpozději do 10 pracovních dnů ode dne, kdy tato změna nastala:</w:t>
      </w:r>
      <w:bookmarkEnd w:id="3"/>
    </w:p>
    <w:p w:rsidR="00C078A6" w:rsidRPr="003C3793" w:rsidRDefault="00C078A6" w:rsidP="00C078A6">
      <w:pPr>
        <w:numPr>
          <w:ilvl w:val="0"/>
          <w:numId w:val="2"/>
        </w:numPr>
        <w:tabs>
          <w:tab w:val="num" w:pos="927"/>
        </w:tabs>
        <w:spacing w:before="60" w:after="0" w:line="240" w:lineRule="auto"/>
        <w:ind w:left="927"/>
        <w:jc w:val="both"/>
        <w:rPr>
          <w:rFonts w:ascii="Arial" w:eastAsia="Times New Roman" w:hAnsi="Arial" w:cs="Arial"/>
          <w:szCs w:val="24"/>
          <w:lang w:eastAsia="cs-CZ"/>
        </w:rPr>
      </w:pPr>
      <w:r w:rsidRPr="003C3793">
        <w:rPr>
          <w:rFonts w:ascii="Arial" w:eastAsia="Times New Roman" w:hAnsi="Arial" w:cs="Arial"/>
          <w:szCs w:val="24"/>
          <w:lang w:eastAsia="cs-CZ"/>
        </w:rPr>
        <w:t>změny v kontaktních údajích (změna kontaktní osoby, telefonického spojení,</w:t>
      </w:r>
      <w:r w:rsidRPr="003C3793">
        <w:rPr>
          <w:rFonts w:ascii="Arial" w:eastAsia="Times New Roman" w:hAnsi="Arial" w:cs="Arial"/>
          <w:szCs w:val="24"/>
          <w:lang w:eastAsia="cs-CZ"/>
        </w:rPr>
        <w:br/>
        <w:t>e-mailové adresy),</w:t>
      </w:r>
    </w:p>
    <w:p w:rsidR="00C078A6" w:rsidRPr="003C3793" w:rsidRDefault="00C078A6" w:rsidP="00C078A6">
      <w:pPr>
        <w:numPr>
          <w:ilvl w:val="0"/>
          <w:numId w:val="2"/>
        </w:numPr>
        <w:tabs>
          <w:tab w:val="num" w:pos="927"/>
        </w:tabs>
        <w:spacing w:before="60" w:after="0" w:line="240" w:lineRule="auto"/>
        <w:ind w:left="927"/>
        <w:jc w:val="both"/>
        <w:rPr>
          <w:rFonts w:ascii="Arial" w:eastAsia="Times New Roman" w:hAnsi="Arial" w:cs="Arial"/>
          <w:szCs w:val="24"/>
          <w:lang w:eastAsia="cs-CZ"/>
        </w:rPr>
      </w:pPr>
      <w:r w:rsidRPr="003C3793">
        <w:rPr>
          <w:rFonts w:ascii="Arial" w:eastAsia="Times New Roman" w:hAnsi="Arial" w:cs="Arial"/>
          <w:szCs w:val="24"/>
          <w:lang w:eastAsia="cs-CZ"/>
        </w:rPr>
        <w:t>změna bankovního účtu příjemce dotace,</w:t>
      </w:r>
    </w:p>
    <w:p w:rsidR="00C078A6" w:rsidRPr="003C3793" w:rsidRDefault="00C078A6" w:rsidP="00C078A6">
      <w:pPr>
        <w:numPr>
          <w:ilvl w:val="0"/>
          <w:numId w:val="2"/>
        </w:numPr>
        <w:tabs>
          <w:tab w:val="num" w:pos="927"/>
        </w:tabs>
        <w:spacing w:before="60" w:after="0" w:line="240" w:lineRule="auto"/>
        <w:ind w:left="927"/>
        <w:jc w:val="both"/>
        <w:rPr>
          <w:rFonts w:ascii="Arial" w:eastAsia="Times New Roman" w:hAnsi="Arial" w:cs="Arial"/>
          <w:lang w:eastAsia="cs-CZ"/>
        </w:rPr>
      </w:pPr>
      <w:r w:rsidRPr="003C3793">
        <w:rPr>
          <w:rFonts w:ascii="Arial" w:eastAsia="Times New Roman" w:hAnsi="Arial" w:cs="Arial"/>
          <w:lang w:eastAsia="cs-CZ"/>
        </w:rPr>
        <w:t>jakoukoliv změnu ve vztahu k poskytovatelům veřejných prostředků z důvodu vyloučení možného rizika zneužití poskytnuté dotace</w:t>
      </w:r>
    </w:p>
    <w:p w:rsidR="00C078A6" w:rsidRPr="003C3793" w:rsidRDefault="00C078A6" w:rsidP="00C078A6">
      <w:pPr>
        <w:numPr>
          <w:ilvl w:val="0"/>
          <w:numId w:val="2"/>
        </w:numPr>
        <w:tabs>
          <w:tab w:val="num" w:pos="927"/>
        </w:tabs>
        <w:spacing w:before="60" w:after="0" w:line="240" w:lineRule="auto"/>
        <w:ind w:left="927"/>
        <w:jc w:val="both"/>
        <w:rPr>
          <w:rFonts w:ascii="Arial" w:eastAsia="Times New Roman" w:hAnsi="Arial" w:cs="Arial"/>
          <w:lang w:eastAsia="cs-CZ"/>
        </w:rPr>
      </w:pPr>
      <w:r w:rsidRPr="003C3793">
        <w:rPr>
          <w:rFonts w:ascii="Arial" w:eastAsia="Times New Roman" w:hAnsi="Arial" w:cs="Arial"/>
          <w:lang w:eastAsia="cs-CZ"/>
        </w:rPr>
        <w:t>změny v rozpočtu ve smyslu nutnosti navýšení některé z položek rozpočtu, a to prostřednictvím odeslání změnového formuláře (příloha č. 6 Metodiky) datovou schránkou</w:t>
      </w:r>
    </w:p>
    <w:bookmarkEnd w:id="4"/>
    <w:p w:rsidR="00C078A6" w:rsidRPr="003C3793" w:rsidRDefault="00C078A6" w:rsidP="00C078A6">
      <w:pPr>
        <w:numPr>
          <w:ilvl w:val="0"/>
          <w:numId w:val="4"/>
        </w:numPr>
        <w:spacing w:before="120" w:after="0" w:line="240" w:lineRule="auto"/>
        <w:jc w:val="both"/>
        <w:rPr>
          <w:rFonts w:ascii="Arial" w:eastAsia="Times New Roman" w:hAnsi="Arial" w:cs="Arial"/>
          <w:lang w:eastAsia="cs-CZ"/>
        </w:rPr>
      </w:pPr>
      <w:r w:rsidRPr="003C3793">
        <w:rPr>
          <w:rFonts w:ascii="Arial" w:eastAsia="Times New Roman" w:hAnsi="Arial" w:cs="Arial"/>
          <w:lang w:eastAsia="cs-CZ"/>
        </w:rPr>
        <w:t>Příjemce dotace je na základě § 44a odst. 8 rozpočtových pravidel povinen řádně uchovávat veškeré dokumenty související s výkonem sociální práce a prokazující čerpání poskytnuté dotace na výkon sociální práce, a to včetně dokladů o kvalifikaci pracovníků, na jejichž osobní výdaje byly použity finanční prostředky z dotace, po dobu 10 let od ukončení jejího financování způsobem, který je v souladu s platnými právními předpisy České republiky.</w:t>
      </w:r>
    </w:p>
    <w:p w:rsidR="00C078A6" w:rsidRDefault="00C078A6" w:rsidP="00C078A6">
      <w:pPr>
        <w:numPr>
          <w:ilvl w:val="0"/>
          <w:numId w:val="4"/>
        </w:numPr>
        <w:spacing w:before="120" w:after="0" w:line="240" w:lineRule="auto"/>
        <w:jc w:val="both"/>
        <w:rPr>
          <w:rFonts w:ascii="Arial" w:eastAsia="Times New Roman" w:hAnsi="Arial" w:cs="Arial"/>
          <w:lang w:eastAsia="cs-CZ"/>
        </w:rPr>
      </w:pPr>
      <w:r w:rsidRPr="003C3793">
        <w:rPr>
          <w:rFonts w:ascii="Arial" w:eastAsia="Times New Roman" w:hAnsi="Arial" w:cs="Arial"/>
          <w:lang w:eastAsia="cs-CZ"/>
        </w:rPr>
        <w:lastRenderedPageBreak/>
        <w:t xml:space="preserve">Při výběru dodavatelů na zajištění dodávek a služeb je příjemce dotace povinen postupovat v souladu se </w:t>
      </w:r>
      <w:r w:rsidRPr="005579BE">
        <w:rPr>
          <w:rFonts w:ascii="Arial" w:eastAsia="Times New Roman" w:hAnsi="Arial" w:cs="Arial"/>
          <w:lang w:eastAsia="cs-CZ"/>
        </w:rPr>
        <w:t>zákonem č. 134/2016 Sb., o zadávání veřejných zakázek</w:t>
      </w:r>
      <w:r>
        <w:rPr>
          <w:rFonts w:ascii="Arial" w:eastAsia="Times New Roman" w:hAnsi="Arial" w:cs="Arial"/>
          <w:lang w:eastAsia="cs-CZ"/>
        </w:rPr>
        <w:t>.</w:t>
      </w:r>
    </w:p>
    <w:p w:rsidR="00C078A6" w:rsidRPr="003C3793" w:rsidRDefault="00C078A6" w:rsidP="00C078A6">
      <w:pPr>
        <w:spacing w:before="120" w:after="0" w:line="240" w:lineRule="auto"/>
        <w:ind w:left="360"/>
        <w:jc w:val="both"/>
        <w:rPr>
          <w:rFonts w:ascii="Arial" w:eastAsia="Times New Roman" w:hAnsi="Arial" w:cs="Arial"/>
          <w:lang w:eastAsia="cs-CZ"/>
        </w:rPr>
      </w:pPr>
    </w:p>
    <w:p w:rsidR="00C078A6" w:rsidRPr="003C3793" w:rsidRDefault="00C078A6" w:rsidP="00C078A6">
      <w:pPr>
        <w:numPr>
          <w:ilvl w:val="0"/>
          <w:numId w:val="4"/>
        </w:numPr>
        <w:spacing w:before="60" w:after="0" w:line="240" w:lineRule="auto"/>
        <w:contextualSpacing/>
        <w:jc w:val="both"/>
        <w:rPr>
          <w:rFonts w:ascii="Arial" w:eastAsia="Times New Roman" w:hAnsi="Arial" w:cs="Arial"/>
          <w:szCs w:val="24"/>
          <w:lang w:eastAsia="cs-CZ"/>
        </w:rPr>
      </w:pPr>
      <w:bookmarkStart w:id="5" w:name="_Ref175710606"/>
      <w:r w:rsidRPr="003C3793">
        <w:rPr>
          <w:rFonts w:ascii="Arial" w:eastAsia="Times New Roman" w:hAnsi="Arial" w:cs="Arial"/>
          <w:szCs w:val="24"/>
          <w:lang w:eastAsia="cs-CZ"/>
        </w:rPr>
        <w:t>Příjemce dotace je povinen provést finanční vypořádání poskytnuté dotace v souladu</w:t>
      </w:r>
      <w:r w:rsidRPr="003C3793">
        <w:rPr>
          <w:rFonts w:ascii="Arial" w:eastAsia="Times New Roman" w:hAnsi="Arial" w:cs="Arial"/>
          <w:szCs w:val="24"/>
          <w:lang w:eastAsia="cs-CZ"/>
        </w:rPr>
        <w:br/>
        <w:t>s vyhláškou č. 367/2015 Sb., kterou se stanoví zásady a termíny finančního vypořádání vztahů se státním rozpočtem, státními finančními aktivy nebo Národním fondem.</w:t>
      </w:r>
    </w:p>
    <w:p w:rsidR="00C078A6" w:rsidRPr="003C3793" w:rsidRDefault="00C078A6" w:rsidP="00C078A6">
      <w:pPr>
        <w:spacing w:before="60" w:after="0"/>
        <w:ind w:left="360"/>
        <w:jc w:val="both"/>
        <w:rPr>
          <w:rFonts w:ascii="Arial" w:eastAsia="Times New Roman" w:hAnsi="Arial" w:cs="Arial"/>
          <w:szCs w:val="24"/>
          <w:lang w:eastAsia="cs-CZ"/>
        </w:rPr>
      </w:pPr>
      <w:r w:rsidRPr="003C3793">
        <w:rPr>
          <w:rFonts w:ascii="Arial" w:eastAsia="Times New Roman" w:hAnsi="Arial" w:cs="Arial"/>
          <w:szCs w:val="24"/>
          <w:lang w:eastAsia="cs-CZ"/>
        </w:rPr>
        <w:t>Finanční vypořádání dotace zpracuje příjemce dotace za období týkající se celého roku 2017, tedy od 1. ledna 2017 do 31. prosince 2017. K podkladům příjemce dotace přiloží komentář a současně provede případnou vratku dotace společně s avízem. Lhůty pro finanční vypořádání se řídí vyhláškou č. 367/2015 Sb.</w:t>
      </w:r>
    </w:p>
    <w:p w:rsidR="00C078A6" w:rsidRPr="003C3793" w:rsidRDefault="00C078A6" w:rsidP="00C078A6">
      <w:pPr>
        <w:spacing w:before="60" w:after="0"/>
        <w:ind w:left="360"/>
        <w:jc w:val="both"/>
        <w:rPr>
          <w:rFonts w:ascii="Arial" w:eastAsia="Times New Roman" w:hAnsi="Arial" w:cs="Arial"/>
          <w:szCs w:val="24"/>
          <w:lang w:eastAsia="cs-CZ"/>
        </w:rPr>
      </w:pPr>
      <w:r w:rsidRPr="003C3793">
        <w:rPr>
          <w:rFonts w:ascii="Arial" w:eastAsia="Times New Roman" w:hAnsi="Arial" w:cs="Arial"/>
          <w:szCs w:val="24"/>
          <w:lang w:eastAsia="cs-CZ"/>
        </w:rPr>
        <w:t xml:space="preserve">Zpracovaný podklad pro finanční vypořádání dotace bude podepsán statutárním zástupcem příjemce dotace nebo jím pověřenou osobou. </w:t>
      </w:r>
    </w:p>
    <w:p w:rsidR="00C078A6" w:rsidRPr="003C3793" w:rsidRDefault="00C078A6" w:rsidP="00C078A6">
      <w:pPr>
        <w:spacing w:before="60" w:after="0"/>
        <w:ind w:left="360"/>
        <w:jc w:val="both"/>
        <w:rPr>
          <w:rFonts w:ascii="Arial" w:eastAsia="Times New Roman" w:hAnsi="Arial" w:cs="Arial"/>
          <w:szCs w:val="24"/>
          <w:lang w:eastAsia="cs-CZ"/>
        </w:rPr>
      </w:pPr>
      <w:r w:rsidRPr="003C3793">
        <w:rPr>
          <w:rFonts w:ascii="Arial" w:eastAsia="Times New Roman" w:hAnsi="Arial" w:cs="Arial"/>
          <w:szCs w:val="24"/>
          <w:lang w:eastAsia="cs-CZ"/>
        </w:rPr>
        <w:t>Při nedodržení uvedené povinnosti se postupuje podle § 44 a § 44a zákona o rozpočtových</w:t>
      </w:r>
      <w:r w:rsidRPr="003C3793">
        <w:rPr>
          <w:rFonts w:ascii="Times New Roman" w:eastAsia="Times New Roman" w:hAnsi="Times New Roman" w:cs="Times New Roman"/>
          <w:sz w:val="24"/>
          <w:szCs w:val="24"/>
          <w:lang w:eastAsia="cs-CZ"/>
        </w:rPr>
        <w:t xml:space="preserve"> </w:t>
      </w:r>
      <w:r w:rsidRPr="003C3793">
        <w:rPr>
          <w:rFonts w:ascii="Arial" w:eastAsia="Times New Roman" w:hAnsi="Arial" w:cs="Arial"/>
          <w:szCs w:val="24"/>
          <w:lang w:eastAsia="cs-CZ"/>
        </w:rPr>
        <w:t>pravidlech. Bez řádného finančního vypořádání dotace v předepsaném termínu nebudou subjektu v následujícím roce uvolněny prostředky dotace.</w:t>
      </w:r>
    </w:p>
    <w:bookmarkEnd w:id="5"/>
    <w:p w:rsidR="00C078A6" w:rsidRPr="003C3793" w:rsidRDefault="00C078A6" w:rsidP="00C078A6">
      <w:pPr>
        <w:numPr>
          <w:ilvl w:val="0"/>
          <w:numId w:val="4"/>
        </w:numPr>
        <w:spacing w:before="120" w:after="0" w:line="240" w:lineRule="auto"/>
        <w:jc w:val="both"/>
        <w:rPr>
          <w:rFonts w:ascii="Arial" w:eastAsia="Times New Roman" w:hAnsi="Arial" w:cs="Arial"/>
          <w:lang w:eastAsia="cs-CZ"/>
        </w:rPr>
      </w:pPr>
      <w:r w:rsidRPr="003C3793">
        <w:rPr>
          <w:rFonts w:ascii="Arial" w:eastAsia="Times New Roman" w:hAnsi="Arial" w:cs="Arial"/>
          <w:lang w:eastAsia="cs-CZ"/>
        </w:rPr>
        <w:t>Pokud příjemci dotace byla v roce 2017 přidělena dotace ve výši 3 mil. Kč a více (viz článek I tohoto Rozhodnutí), předloží do 31. srpna 2018 poskytovateli dotace:</w:t>
      </w:r>
    </w:p>
    <w:p w:rsidR="00C078A6" w:rsidRPr="003C3793" w:rsidRDefault="00C078A6" w:rsidP="00C078A6">
      <w:pPr>
        <w:numPr>
          <w:ilvl w:val="0"/>
          <w:numId w:val="3"/>
        </w:numPr>
        <w:autoSpaceDE w:val="0"/>
        <w:autoSpaceDN w:val="0"/>
        <w:spacing w:after="0" w:line="240" w:lineRule="auto"/>
        <w:ind w:left="714" w:hanging="357"/>
        <w:jc w:val="both"/>
        <w:rPr>
          <w:rFonts w:ascii="Arial" w:eastAsia="Times New Roman" w:hAnsi="Arial" w:cs="Arial"/>
          <w:szCs w:val="20"/>
          <w:lang w:eastAsia="cs-CZ"/>
        </w:rPr>
      </w:pPr>
      <w:r w:rsidRPr="003C3793">
        <w:rPr>
          <w:rFonts w:ascii="Arial" w:eastAsia="Times New Roman" w:hAnsi="Arial" w:cs="Arial"/>
          <w:szCs w:val="20"/>
          <w:lang w:eastAsia="cs-CZ"/>
        </w:rPr>
        <w:t>výrok auditora a vyjádření auditora ke způsobu účtování a použití poskytnuté dotace – v případě příjemců dotace, na které se podle § 20 zákona č.563/1991 Sb., o účetnictví, ve znění pozdějších předpisů, vztahuje povinnost ověřování účetní závěrky auditorem,</w:t>
      </w:r>
    </w:p>
    <w:p w:rsidR="00C078A6" w:rsidRPr="003C3793" w:rsidRDefault="00C078A6" w:rsidP="00C078A6">
      <w:pPr>
        <w:numPr>
          <w:ilvl w:val="0"/>
          <w:numId w:val="3"/>
        </w:numPr>
        <w:autoSpaceDE w:val="0"/>
        <w:autoSpaceDN w:val="0"/>
        <w:spacing w:after="0" w:line="240" w:lineRule="auto"/>
        <w:ind w:left="714" w:hanging="357"/>
        <w:jc w:val="both"/>
        <w:rPr>
          <w:rFonts w:ascii="Arial" w:eastAsia="Times New Roman" w:hAnsi="Arial" w:cs="Arial"/>
          <w:szCs w:val="20"/>
          <w:lang w:eastAsia="cs-CZ"/>
        </w:rPr>
      </w:pPr>
      <w:r w:rsidRPr="003C3793">
        <w:rPr>
          <w:rFonts w:ascii="Arial" w:eastAsia="Times New Roman" w:hAnsi="Arial" w:cs="Arial"/>
          <w:szCs w:val="20"/>
          <w:lang w:eastAsia="cs-CZ"/>
        </w:rPr>
        <w:t>vyjádření auditora ke způsobu účtování a použití poskytnuté dotace – v případě ostatních příjemců dotace.</w:t>
      </w:r>
    </w:p>
    <w:p w:rsidR="00C078A6" w:rsidRPr="003C3793" w:rsidRDefault="00C078A6" w:rsidP="00C078A6">
      <w:pPr>
        <w:numPr>
          <w:ilvl w:val="0"/>
          <w:numId w:val="4"/>
        </w:numPr>
        <w:autoSpaceDE w:val="0"/>
        <w:autoSpaceDN w:val="0"/>
        <w:spacing w:before="120" w:after="0" w:line="240" w:lineRule="auto"/>
        <w:jc w:val="both"/>
        <w:rPr>
          <w:rFonts w:ascii="Arial" w:eastAsia="Times New Roman" w:hAnsi="Arial" w:cs="Arial"/>
          <w:szCs w:val="20"/>
          <w:lang w:eastAsia="cs-CZ"/>
        </w:rPr>
      </w:pPr>
      <w:r w:rsidRPr="003C3793">
        <w:rPr>
          <w:rFonts w:ascii="Arial" w:eastAsia="Times New Roman" w:hAnsi="Arial" w:cs="Arial"/>
          <w:szCs w:val="20"/>
          <w:lang w:eastAsia="cs-CZ"/>
        </w:rPr>
        <w:t>Výrok a vyjádření auditora musí být předloženy jako samostatný dokument, nikoli jako součást jiného dokumentu.</w:t>
      </w:r>
    </w:p>
    <w:p w:rsidR="00C078A6" w:rsidRPr="003C3793" w:rsidRDefault="00C078A6" w:rsidP="00C078A6">
      <w:pPr>
        <w:numPr>
          <w:ilvl w:val="0"/>
          <w:numId w:val="4"/>
        </w:numPr>
        <w:autoSpaceDE w:val="0"/>
        <w:autoSpaceDN w:val="0"/>
        <w:spacing w:before="120" w:after="0" w:line="240" w:lineRule="auto"/>
        <w:jc w:val="both"/>
        <w:rPr>
          <w:rFonts w:ascii="Arial" w:eastAsia="Times New Roman" w:hAnsi="Arial" w:cs="Arial"/>
          <w:szCs w:val="20"/>
          <w:lang w:eastAsia="cs-CZ"/>
        </w:rPr>
      </w:pPr>
      <w:r w:rsidRPr="003C3793">
        <w:rPr>
          <w:rFonts w:ascii="Arial" w:eastAsia="Times New Roman" w:hAnsi="Arial" w:cs="Arial"/>
          <w:szCs w:val="20"/>
          <w:lang w:eastAsia="cs-CZ"/>
        </w:rPr>
        <w:t>V případě, že příjemce dotace nedodá výrok nebo vyjádření auditora ve stanoveném termínu, může být tato skutečnost důvodem pro neposkytnutí dotace. Sankce za nedodržení termínu předložení výroku nebo vyjádření auditora dále stanoví část V tohoto Rozhodnutí.</w:t>
      </w:r>
    </w:p>
    <w:p w:rsidR="00C078A6" w:rsidRPr="003C3793" w:rsidRDefault="00C078A6" w:rsidP="00C078A6">
      <w:pPr>
        <w:numPr>
          <w:ilvl w:val="0"/>
          <w:numId w:val="4"/>
        </w:numPr>
        <w:spacing w:before="120" w:after="0" w:line="240" w:lineRule="auto"/>
        <w:jc w:val="both"/>
        <w:rPr>
          <w:rFonts w:ascii="Arial" w:eastAsia="Times New Roman" w:hAnsi="Arial" w:cs="Arial"/>
          <w:lang w:eastAsia="cs-CZ"/>
        </w:rPr>
      </w:pPr>
      <w:r w:rsidRPr="003C3793">
        <w:rPr>
          <w:rFonts w:ascii="Arial" w:eastAsia="Times New Roman" w:hAnsi="Arial" w:cs="Arial"/>
          <w:lang w:eastAsia="cs-CZ"/>
        </w:rPr>
        <w:t>Pro kontrolu dodržování podmínek čerpání dotace ze státního rozpočtu a uplatnění sankcí při neoprávněném použití nebo zadržení dotace se postupuje podle zákona</w:t>
      </w:r>
      <w:r w:rsidRPr="003C3793">
        <w:rPr>
          <w:rFonts w:ascii="Arial" w:eastAsia="Times New Roman" w:hAnsi="Arial" w:cs="Arial"/>
          <w:lang w:eastAsia="cs-CZ"/>
        </w:rPr>
        <w:br/>
        <w:t xml:space="preserve">č. 320/2001 Sb., o finanční kontrole ve veřejné správě a o změně některých zákonů (zákon o finanční kontrole), ve znění pozdějších předpisů, a § 44a </w:t>
      </w:r>
      <w:r w:rsidRPr="003C3793">
        <w:rPr>
          <w:rFonts w:ascii="Arial" w:eastAsia="Times New Roman" w:hAnsi="Arial" w:cs="Times New Roman"/>
          <w:szCs w:val="24"/>
          <w:lang w:eastAsia="cs-CZ"/>
        </w:rPr>
        <w:t>zákona</w:t>
      </w:r>
      <w:r w:rsidRPr="003C3793">
        <w:rPr>
          <w:rFonts w:ascii="Arial" w:eastAsia="Times New Roman" w:hAnsi="Arial" w:cs="Times New Roman"/>
          <w:szCs w:val="24"/>
          <w:lang w:eastAsia="cs-CZ"/>
        </w:rPr>
        <w:br/>
        <w:t>o rozpočtových pravidlech</w:t>
      </w:r>
      <w:r w:rsidRPr="003C3793">
        <w:rPr>
          <w:rFonts w:ascii="Arial" w:eastAsia="Times New Roman" w:hAnsi="Arial" w:cs="Arial"/>
          <w:szCs w:val="24"/>
          <w:lang w:eastAsia="cs-CZ"/>
        </w:rPr>
        <w:t>.</w:t>
      </w:r>
    </w:p>
    <w:p w:rsidR="00C078A6" w:rsidRPr="003C3793" w:rsidRDefault="00C078A6" w:rsidP="00C078A6">
      <w:pPr>
        <w:numPr>
          <w:ilvl w:val="0"/>
          <w:numId w:val="4"/>
        </w:numPr>
        <w:spacing w:before="120" w:after="0" w:line="240" w:lineRule="auto"/>
        <w:jc w:val="both"/>
        <w:rPr>
          <w:rFonts w:ascii="Arial" w:eastAsia="Times New Roman" w:hAnsi="Arial" w:cs="Arial"/>
          <w:lang w:eastAsia="cs-CZ"/>
        </w:rPr>
      </w:pPr>
      <w:bookmarkStart w:id="6" w:name="_Ref233982198"/>
      <w:r w:rsidRPr="003C3793">
        <w:rPr>
          <w:rFonts w:ascii="Arial" w:eastAsia="Times New Roman" w:hAnsi="Arial" w:cs="Arial"/>
          <w:lang w:eastAsia="cs-CZ"/>
        </w:rPr>
        <w:t xml:space="preserve">Příjemce dotace je povinen v souladu se zákonem o finanční kontrole, a v souladu s dalšími právními předpisy České republiky umožnit výkon kontroly všech dokladů vztahujících se k poskytnuté dotaci ze státního rozpočtu na základě rozhodnutí </w:t>
      </w:r>
      <w:r w:rsidRPr="003C3793">
        <w:rPr>
          <w:rFonts w:ascii="Arial" w:eastAsia="Times New Roman" w:hAnsi="Arial" w:cs="Arial"/>
          <w:lang w:eastAsia="cs-CZ"/>
        </w:rPr>
        <w:br/>
        <w:t>a poskytnout součinnost všem osobám oprávněným k provádění kontroly, příp. jejich zmocněncům. Těmito oprávněnými osobami jsou zaměstnanci odboru sociálních služeb, sociální práce a sociálního bydlení a jimi pověřené osoby, zaměstnanci příslušného krajského úřadu a jimi pověřené osoby, územní finanční orgány, Ministerstvo financí ČR, Nejvyšší kontrolní úřad, případně další orgány oprávněné k výkonu kontroly.</w:t>
      </w:r>
      <w:bookmarkEnd w:id="6"/>
    </w:p>
    <w:p w:rsidR="00C078A6" w:rsidRPr="003C3793" w:rsidRDefault="00C078A6" w:rsidP="00C078A6">
      <w:pPr>
        <w:numPr>
          <w:ilvl w:val="0"/>
          <w:numId w:val="4"/>
        </w:numPr>
        <w:spacing w:before="120" w:after="0" w:line="240" w:lineRule="auto"/>
        <w:jc w:val="both"/>
        <w:rPr>
          <w:rFonts w:ascii="Arial" w:eastAsia="Times New Roman" w:hAnsi="Arial" w:cs="Arial"/>
          <w:lang w:eastAsia="cs-CZ"/>
        </w:rPr>
      </w:pPr>
      <w:bookmarkStart w:id="7" w:name="_Ref173480998"/>
      <w:r w:rsidRPr="003C3793">
        <w:rPr>
          <w:rFonts w:ascii="Arial" w:eastAsia="Times New Roman" w:hAnsi="Arial" w:cs="Arial"/>
          <w:lang w:eastAsia="cs-CZ"/>
        </w:rPr>
        <w:t>Příjemce dotace je povinen realizovat nápravná opatření, která mu byla uložena na základě prováděných kontrol, a to v požadovaném termínu, rozsahu a kvalitě a v souladu s § 18 zákona č. 320/2001 Sb., o finanční kontrole ve veřejné správě a o změně některých zákonů (zákon o finanční kontrole), ve znění pozdějších předpisů, a informovat o splnění nápravných opatření toho, kdo tato nápravná opatření uložil.</w:t>
      </w:r>
      <w:bookmarkEnd w:id="7"/>
    </w:p>
    <w:p w:rsidR="00C078A6" w:rsidRPr="003C3793" w:rsidRDefault="00C078A6" w:rsidP="00C078A6">
      <w:pPr>
        <w:spacing w:before="60" w:after="0" w:line="240" w:lineRule="auto"/>
        <w:jc w:val="center"/>
        <w:rPr>
          <w:rFonts w:ascii="Arial" w:eastAsia="Times New Roman" w:hAnsi="Arial" w:cs="Arial"/>
          <w:b/>
          <w:caps/>
          <w:lang w:eastAsia="cs-CZ"/>
        </w:rPr>
      </w:pPr>
    </w:p>
    <w:p w:rsidR="00C078A6" w:rsidRDefault="00C078A6" w:rsidP="00C078A6">
      <w:pPr>
        <w:rPr>
          <w:rFonts w:ascii="Arial" w:eastAsia="Times New Roman" w:hAnsi="Arial" w:cs="Arial"/>
          <w:b/>
          <w:caps/>
          <w:lang w:eastAsia="cs-CZ"/>
        </w:rPr>
      </w:pPr>
      <w:r>
        <w:rPr>
          <w:rFonts w:ascii="Arial" w:eastAsia="Times New Roman" w:hAnsi="Arial" w:cs="Arial"/>
          <w:b/>
          <w:caps/>
          <w:lang w:eastAsia="cs-CZ"/>
        </w:rPr>
        <w:br w:type="page"/>
      </w:r>
    </w:p>
    <w:p w:rsidR="00C078A6" w:rsidRPr="003C3793" w:rsidRDefault="00C078A6" w:rsidP="00C078A6">
      <w:pPr>
        <w:spacing w:before="60" w:after="0" w:line="240" w:lineRule="auto"/>
        <w:jc w:val="center"/>
        <w:rPr>
          <w:rFonts w:ascii="Arial" w:eastAsia="Times New Roman" w:hAnsi="Arial" w:cs="Arial"/>
          <w:b/>
          <w:caps/>
          <w:lang w:eastAsia="cs-CZ"/>
        </w:rPr>
      </w:pPr>
      <w:r w:rsidRPr="003C3793">
        <w:rPr>
          <w:rFonts w:ascii="Arial" w:eastAsia="Times New Roman" w:hAnsi="Arial" w:cs="Arial"/>
          <w:b/>
          <w:caps/>
          <w:lang w:eastAsia="cs-CZ"/>
        </w:rPr>
        <w:lastRenderedPageBreak/>
        <w:t>Část IV</w:t>
      </w:r>
    </w:p>
    <w:p w:rsidR="00C078A6" w:rsidRPr="003C3793" w:rsidRDefault="00C078A6" w:rsidP="00C078A6">
      <w:pPr>
        <w:spacing w:before="60" w:after="0" w:line="240" w:lineRule="auto"/>
        <w:jc w:val="center"/>
        <w:rPr>
          <w:rFonts w:ascii="Arial" w:eastAsia="Times New Roman" w:hAnsi="Arial" w:cs="Arial"/>
          <w:b/>
          <w:caps/>
          <w:lang w:eastAsia="cs-CZ"/>
        </w:rPr>
      </w:pPr>
      <w:r w:rsidRPr="003C3793">
        <w:rPr>
          <w:rFonts w:ascii="Arial" w:eastAsia="Times New Roman" w:hAnsi="Arial" w:cs="Arial"/>
          <w:b/>
          <w:caps/>
          <w:lang w:eastAsia="cs-CZ"/>
        </w:rPr>
        <w:t>Platební podmínky</w:t>
      </w:r>
    </w:p>
    <w:p w:rsidR="00C078A6" w:rsidRPr="003C3793" w:rsidRDefault="00C078A6" w:rsidP="00C078A6">
      <w:pPr>
        <w:autoSpaceDE w:val="0"/>
        <w:autoSpaceDN w:val="0"/>
        <w:spacing w:before="120" w:after="0" w:line="240" w:lineRule="auto"/>
        <w:ind w:left="357"/>
        <w:jc w:val="both"/>
        <w:rPr>
          <w:rFonts w:ascii="Arial" w:eastAsia="Times New Roman" w:hAnsi="Arial" w:cs="Arial"/>
          <w:szCs w:val="20"/>
          <w:lang w:eastAsia="cs-CZ"/>
        </w:rPr>
      </w:pPr>
    </w:p>
    <w:p w:rsidR="00C078A6" w:rsidRPr="003C3793" w:rsidRDefault="00C078A6" w:rsidP="00C078A6">
      <w:pPr>
        <w:numPr>
          <w:ilvl w:val="0"/>
          <w:numId w:val="5"/>
        </w:numPr>
        <w:spacing w:before="120" w:after="0" w:line="240" w:lineRule="auto"/>
        <w:ind w:left="357" w:hanging="357"/>
        <w:jc w:val="both"/>
        <w:rPr>
          <w:rFonts w:ascii="Arial" w:eastAsia="Times New Roman" w:hAnsi="Arial" w:cs="Arial"/>
          <w:lang w:eastAsia="cs-CZ"/>
        </w:rPr>
      </w:pPr>
      <w:r w:rsidRPr="003C3793">
        <w:rPr>
          <w:rFonts w:ascii="Arial" w:eastAsia="Times New Roman" w:hAnsi="Arial" w:cs="Arial"/>
          <w:lang w:eastAsia="cs-CZ"/>
        </w:rPr>
        <w:t>Přidělená neprůtoková dotace je poskytovatelem dotace vyplácena jednorázově na  účet příjemce dotace, zřízený u České národní banky, platebním poukazem, přidělená průtoková dotace je poskytovatelem dotace vyplácena jednorázově na účet zprostředkovatele, zřízený u České národní banky, platebním příkazem, a to v souladu s případnými regulačními opatřeními ve státním rozpočtu.</w:t>
      </w:r>
    </w:p>
    <w:p w:rsidR="00C078A6" w:rsidRPr="003C3793" w:rsidRDefault="00C078A6" w:rsidP="00C078A6">
      <w:pPr>
        <w:numPr>
          <w:ilvl w:val="0"/>
          <w:numId w:val="5"/>
        </w:numPr>
        <w:spacing w:before="120" w:after="0" w:line="264" w:lineRule="auto"/>
        <w:ind w:left="357" w:hanging="357"/>
        <w:jc w:val="both"/>
        <w:rPr>
          <w:rFonts w:ascii="Arial" w:eastAsia="Times New Roman" w:hAnsi="Arial" w:cs="Arial"/>
          <w:bCs/>
          <w:lang w:eastAsia="cs-CZ"/>
        </w:rPr>
      </w:pPr>
      <w:r w:rsidRPr="003C3793">
        <w:rPr>
          <w:rFonts w:ascii="Arial" w:eastAsia="Times New Roman" w:hAnsi="Arial" w:cs="Arial"/>
          <w:lang w:eastAsia="cs-CZ"/>
        </w:rPr>
        <w:t>Výše a termín výplaty</w:t>
      </w:r>
      <w:r w:rsidRPr="003C3793">
        <w:rPr>
          <w:rFonts w:ascii="Arial" w:eastAsia="Times New Roman" w:hAnsi="Arial" w:cs="Arial"/>
          <w:bCs/>
          <w:lang w:eastAsia="cs-CZ"/>
        </w:rPr>
        <w:t>:</w:t>
      </w:r>
    </w:p>
    <w:p w:rsidR="00C078A6" w:rsidRPr="003C3793" w:rsidRDefault="00C078A6" w:rsidP="00C078A6">
      <w:pPr>
        <w:spacing w:before="60" w:after="60"/>
        <w:ind w:left="714"/>
        <w:jc w:val="both"/>
        <w:outlineLvl w:val="7"/>
        <w:rPr>
          <w:rFonts w:ascii="Arial" w:eastAsia="Times New Roman" w:hAnsi="Arial" w:cs="Arial"/>
          <w:lang w:eastAsia="cs-CZ"/>
        </w:rPr>
      </w:pPr>
      <w:r w:rsidRPr="003C3793">
        <w:rPr>
          <w:rFonts w:ascii="Arial" w:eastAsia="Times New Roman" w:hAnsi="Arial" w:cs="Arial"/>
          <w:lang w:eastAsia="cs-CZ"/>
        </w:rPr>
        <w:t xml:space="preserve">Příspěvek je vyplácen ve výši 100% poskytnuté dotace po vydání tohoto Rozhodnutí a podpisu přiloženého formuláře Prohlášení příjemce dotace, nejpozději však </w:t>
      </w:r>
      <w:r w:rsidRPr="003C3793">
        <w:rPr>
          <w:rFonts w:ascii="Arial" w:eastAsia="Times New Roman" w:hAnsi="Arial" w:cs="Arial"/>
          <w:lang w:eastAsia="cs-CZ"/>
        </w:rPr>
        <w:br/>
        <w:t>do 31. května roku, na který je dotace poskytnuta.</w:t>
      </w:r>
    </w:p>
    <w:p w:rsidR="00C078A6" w:rsidRPr="003C3793" w:rsidRDefault="00C078A6" w:rsidP="00C078A6">
      <w:pPr>
        <w:numPr>
          <w:ilvl w:val="0"/>
          <w:numId w:val="5"/>
        </w:numPr>
        <w:spacing w:before="120" w:after="0" w:line="240" w:lineRule="auto"/>
        <w:jc w:val="both"/>
        <w:outlineLvl w:val="7"/>
        <w:rPr>
          <w:rFonts w:ascii="Arial" w:eastAsia="Times New Roman" w:hAnsi="Arial" w:cs="Arial"/>
          <w:lang w:eastAsia="cs-CZ"/>
        </w:rPr>
      </w:pPr>
      <w:r w:rsidRPr="003C3793">
        <w:rPr>
          <w:rFonts w:ascii="Arial" w:eastAsia="Times New Roman" w:hAnsi="Arial" w:cs="Arial"/>
          <w:lang w:eastAsia="cs-CZ"/>
        </w:rPr>
        <w:t>MPSV si vyhrazuje právo změnit výši a termín výplaty dotace.</w:t>
      </w:r>
    </w:p>
    <w:p w:rsidR="00C078A6" w:rsidRPr="003C3793" w:rsidRDefault="00C078A6" w:rsidP="00C078A6">
      <w:pPr>
        <w:spacing w:before="60" w:after="0" w:line="240" w:lineRule="auto"/>
        <w:jc w:val="center"/>
        <w:rPr>
          <w:rFonts w:ascii="Arial" w:eastAsia="Times New Roman" w:hAnsi="Arial" w:cs="Arial"/>
          <w:b/>
          <w:caps/>
          <w:lang w:eastAsia="cs-CZ"/>
        </w:rPr>
      </w:pPr>
    </w:p>
    <w:p w:rsidR="00C078A6" w:rsidRPr="003C3793" w:rsidRDefault="00C078A6" w:rsidP="00C078A6">
      <w:pPr>
        <w:spacing w:before="60" w:after="0" w:line="240" w:lineRule="auto"/>
        <w:jc w:val="center"/>
        <w:rPr>
          <w:rFonts w:ascii="Arial" w:eastAsia="Times New Roman" w:hAnsi="Arial" w:cs="Arial"/>
          <w:b/>
          <w:caps/>
          <w:lang w:eastAsia="cs-CZ"/>
        </w:rPr>
      </w:pPr>
    </w:p>
    <w:p w:rsidR="00C078A6" w:rsidRPr="003C3793" w:rsidRDefault="00C078A6" w:rsidP="00C078A6">
      <w:pPr>
        <w:spacing w:before="60" w:after="0" w:line="240" w:lineRule="auto"/>
        <w:jc w:val="center"/>
        <w:rPr>
          <w:rFonts w:ascii="Arial" w:eastAsia="Times New Roman" w:hAnsi="Arial" w:cs="Arial"/>
          <w:b/>
          <w:caps/>
          <w:lang w:eastAsia="cs-CZ"/>
        </w:rPr>
      </w:pPr>
      <w:r w:rsidRPr="003C3793">
        <w:rPr>
          <w:rFonts w:ascii="Arial" w:eastAsia="Times New Roman" w:hAnsi="Arial" w:cs="Arial"/>
          <w:b/>
          <w:caps/>
          <w:lang w:eastAsia="cs-CZ"/>
        </w:rPr>
        <w:t>Část V</w:t>
      </w:r>
    </w:p>
    <w:p w:rsidR="00C078A6" w:rsidRPr="003C3793" w:rsidRDefault="00C078A6" w:rsidP="00C078A6">
      <w:pPr>
        <w:spacing w:before="60" w:after="0" w:line="240" w:lineRule="auto"/>
        <w:jc w:val="center"/>
        <w:rPr>
          <w:rFonts w:ascii="Arial" w:eastAsia="Times New Roman" w:hAnsi="Arial" w:cs="Arial"/>
          <w:b/>
          <w:caps/>
          <w:lang w:eastAsia="cs-CZ"/>
        </w:rPr>
      </w:pPr>
      <w:r w:rsidRPr="003C3793">
        <w:rPr>
          <w:rFonts w:ascii="Arial" w:eastAsia="Times New Roman" w:hAnsi="Arial" w:cs="Arial"/>
          <w:b/>
          <w:caps/>
          <w:lang w:eastAsia="cs-CZ"/>
        </w:rPr>
        <w:t>Sankce</w:t>
      </w:r>
    </w:p>
    <w:p w:rsidR="00C078A6" w:rsidRPr="003C3793" w:rsidRDefault="00C078A6" w:rsidP="00C078A6">
      <w:pPr>
        <w:spacing w:before="60" w:after="60" w:line="240" w:lineRule="auto"/>
        <w:ind w:left="425" w:hanging="425"/>
        <w:jc w:val="both"/>
        <w:outlineLvl w:val="7"/>
        <w:rPr>
          <w:rFonts w:ascii="Arial" w:eastAsia="Times New Roman" w:hAnsi="Arial" w:cs="Arial"/>
          <w:szCs w:val="20"/>
          <w:lang w:eastAsia="cs-CZ"/>
        </w:rPr>
      </w:pPr>
    </w:p>
    <w:p w:rsidR="00C078A6" w:rsidRPr="003C3793" w:rsidRDefault="00C078A6" w:rsidP="00C078A6">
      <w:pPr>
        <w:spacing w:before="120" w:after="0"/>
        <w:jc w:val="both"/>
        <w:rPr>
          <w:rFonts w:ascii="Arial" w:eastAsia="Times New Roman" w:hAnsi="Arial" w:cs="Arial"/>
          <w:lang w:eastAsia="cs-CZ"/>
        </w:rPr>
      </w:pPr>
      <w:r w:rsidRPr="003C3793">
        <w:rPr>
          <w:rFonts w:ascii="Arial" w:eastAsia="Times New Roman" w:hAnsi="Arial" w:cs="Arial"/>
          <w:lang w:eastAsia="cs-CZ"/>
        </w:rPr>
        <w:t xml:space="preserve">V případě, že kontrolní orgán zjistí v průběhu roku, na který byla dotace poskytnuta, že příjemce dotace neplní povinnosti, které toto Rozhodnutí stanoví, je příjemce dotace povinen vrátit finanční prostředky, které neoprávněně použil, do státního rozpočtu ČR podle § 44a </w:t>
      </w:r>
      <w:r w:rsidRPr="003C3793">
        <w:rPr>
          <w:rFonts w:ascii="Arial" w:eastAsia="Times New Roman" w:hAnsi="Arial" w:cs="Times New Roman"/>
          <w:szCs w:val="24"/>
          <w:lang w:eastAsia="cs-CZ"/>
        </w:rPr>
        <w:t>zákona o rozpočtových pravidlech</w:t>
      </w:r>
      <w:r w:rsidRPr="003C3793">
        <w:rPr>
          <w:rFonts w:ascii="Arial" w:eastAsia="Times New Roman" w:hAnsi="Arial" w:cs="Arial"/>
          <w:lang w:eastAsia="cs-CZ"/>
        </w:rPr>
        <w:t>.</w:t>
      </w:r>
    </w:p>
    <w:p w:rsidR="00C078A6" w:rsidRPr="003C3793" w:rsidRDefault="00C078A6" w:rsidP="00C078A6">
      <w:pPr>
        <w:spacing w:before="120" w:after="0" w:line="264" w:lineRule="auto"/>
        <w:jc w:val="center"/>
        <w:rPr>
          <w:rFonts w:ascii="Arial" w:eastAsia="Times New Roman" w:hAnsi="Arial" w:cs="Arial"/>
          <w:lang w:eastAsia="cs-CZ"/>
        </w:rPr>
      </w:pPr>
    </w:p>
    <w:p w:rsidR="00C078A6" w:rsidRPr="003C3793" w:rsidRDefault="00C078A6" w:rsidP="00C078A6">
      <w:pPr>
        <w:spacing w:before="60" w:after="0" w:line="240" w:lineRule="auto"/>
        <w:jc w:val="center"/>
        <w:rPr>
          <w:rFonts w:ascii="Arial" w:eastAsia="Times New Roman" w:hAnsi="Arial" w:cs="Arial"/>
          <w:b/>
          <w:caps/>
          <w:lang w:eastAsia="cs-CZ"/>
        </w:rPr>
      </w:pPr>
    </w:p>
    <w:p w:rsidR="00C078A6" w:rsidRPr="003C3793" w:rsidRDefault="00C078A6" w:rsidP="00C078A6">
      <w:pPr>
        <w:spacing w:before="60" w:after="0" w:line="240" w:lineRule="auto"/>
        <w:jc w:val="center"/>
        <w:rPr>
          <w:rFonts w:ascii="Arial" w:eastAsia="Times New Roman" w:hAnsi="Arial" w:cs="Arial"/>
          <w:b/>
          <w:caps/>
          <w:lang w:eastAsia="cs-CZ"/>
        </w:rPr>
      </w:pPr>
      <w:r w:rsidRPr="003C3793">
        <w:rPr>
          <w:rFonts w:ascii="Arial" w:eastAsia="Times New Roman" w:hAnsi="Arial" w:cs="Arial"/>
          <w:b/>
          <w:caps/>
          <w:lang w:eastAsia="cs-CZ"/>
        </w:rPr>
        <w:t>Část VI</w:t>
      </w:r>
    </w:p>
    <w:p w:rsidR="00C078A6" w:rsidRPr="003C3793" w:rsidRDefault="00C078A6" w:rsidP="00C078A6">
      <w:pPr>
        <w:spacing w:before="60" w:after="0" w:line="240" w:lineRule="auto"/>
        <w:jc w:val="center"/>
        <w:rPr>
          <w:rFonts w:ascii="Arial" w:eastAsia="Times New Roman" w:hAnsi="Arial" w:cs="Arial"/>
          <w:b/>
          <w:caps/>
          <w:lang w:eastAsia="cs-CZ"/>
        </w:rPr>
      </w:pPr>
      <w:r w:rsidRPr="003C3793">
        <w:rPr>
          <w:rFonts w:ascii="Arial" w:eastAsia="Times New Roman" w:hAnsi="Arial" w:cs="Arial"/>
          <w:b/>
          <w:caps/>
          <w:lang w:eastAsia="cs-CZ"/>
        </w:rPr>
        <w:t>Závěrečná ustanovení</w:t>
      </w:r>
    </w:p>
    <w:p w:rsidR="00C078A6" w:rsidRPr="003C3793" w:rsidRDefault="00C078A6" w:rsidP="00C078A6">
      <w:pPr>
        <w:spacing w:before="60" w:after="0" w:line="240" w:lineRule="auto"/>
        <w:jc w:val="center"/>
        <w:rPr>
          <w:rFonts w:ascii="Arial" w:eastAsia="Times New Roman" w:hAnsi="Arial" w:cs="Arial"/>
          <w:b/>
          <w:caps/>
          <w:lang w:eastAsia="cs-CZ"/>
        </w:rPr>
      </w:pPr>
    </w:p>
    <w:bookmarkEnd w:id="1"/>
    <w:p w:rsidR="00C078A6" w:rsidRPr="003C3793" w:rsidRDefault="00C078A6" w:rsidP="00C078A6">
      <w:pPr>
        <w:numPr>
          <w:ilvl w:val="0"/>
          <w:numId w:val="6"/>
        </w:numPr>
        <w:spacing w:before="120" w:after="0" w:line="264" w:lineRule="auto"/>
        <w:jc w:val="both"/>
        <w:rPr>
          <w:rFonts w:ascii="Arial" w:eastAsia="Times New Roman" w:hAnsi="Arial" w:cs="Arial"/>
          <w:lang w:eastAsia="cs-CZ"/>
        </w:rPr>
      </w:pPr>
      <w:r w:rsidRPr="003C3793">
        <w:rPr>
          <w:rFonts w:ascii="Arial" w:eastAsia="Times New Roman" w:hAnsi="Arial" w:cs="Arial"/>
          <w:lang w:eastAsia="cs-CZ"/>
        </w:rPr>
        <w:t xml:space="preserve">Příjemce dotace souhlasí se zveřejněním </w:t>
      </w:r>
      <w:r w:rsidRPr="003C3793">
        <w:rPr>
          <w:rFonts w:ascii="Arial" w:eastAsia="Times New Roman" w:hAnsi="Arial" w:cs="Arial"/>
          <w:szCs w:val="24"/>
          <w:lang w:eastAsia="cs-CZ"/>
        </w:rPr>
        <w:t>žádosti o dotaci,</w:t>
      </w:r>
      <w:r w:rsidRPr="003C3793">
        <w:rPr>
          <w:rFonts w:ascii="Arial" w:eastAsia="Times New Roman" w:hAnsi="Arial" w:cs="Arial"/>
          <w:lang w:eastAsia="cs-CZ"/>
        </w:rPr>
        <w:t xml:space="preserve"> svého názvu, jména, adresy, výše požadavku na dotaci a výše přidělené dotace způsobem stanoveným poskytovatelem dotace.</w:t>
      </w:r>
    </w:p>
    <w:p w:rsidR="00C078A6" w:rsidRPr="003C3793" w:rsidRDefault="00C078A6" w:rsidP="00C078A6">
      <w:pPr>
        <w:numPr>
          <w:ilvl w:val="0"/>
          <w:numId w:val="6"/>
        </w:numPr>
        <w:spacing w:before="120" w:after="0" w:line="264" w:lineRule="auto"/>
        <w:jc w:val="both"/>
        <w:rPr>
          <w:rFonts w:ascii="Arial" w:eastAsia="Times New Roman" w:hAnsi="Arial" w:cs="Arial"/>
          <w:lang w:eastAsia="cs-CZ"/>
        </w:rPr>
      </w:pPr>
      <w:r w:rsidRPr="003C3793">
        <w:rPr>
          <w:rFonts w:ascii="Arial" w:eastAsia="Times New Roman" w:hAnsi="Arial" w:cs="Arial"/>
          <w:lang w:eastAsia="cs-CZ"/>
        </w:rPr>
        <w:t>Rozhodnutí se vyhotovuje ve dvou stejnopisech, z nichž každá ze stran tohoto vztahu obdrží po jednom vyhotovení.</w:t>
      </w:r>
    </w:p>
    <w:p w:rsidR="00C078A6" w:rsidRPr="003C3793" w:rsidRDefault="00C078A6" w:rsidP="00C078A6">
      <w:pPr>
        <w:numPr>
          <w:ilvl w:val="0"/>
          <w:numId w:val="6"/>
        </w:numPr>
        <w:spacing w:before="120" w:after="0" w:line="264" w:lineRule="auto"/>
        <w:jc w:val="both"/>
        <w:rPr>
          <w:rFonts w:ascii="Arial" w:eastAsia="Times New Roman" w:hAnsi="Arial" w:cs="Arial"/>
          <w:lang w:eastAsia="cs-CZ"/>
        </w:rPr>
      </w:pPr>
      <w:r w:rsidRPr="003C3793">
        <w:rPr>
          <w:rFonts w:ascii="Arial" w:eastAsia="Times New Roman" w:hAnsi="Arial" w:cs="Arial"/>
          <w:lang w:eastAsia="cs-CZ"/>
        </w:rPr>
        <w:t>Toto Rozhodnutí se nahrazuje vydáním Rozhodnutí s vyšším pořadovým číslem.</w:t>
      </w:r>
    </w:p>
    <w:p w:rsidR="00C078A6" w:rsidRPr="003C3793" w:rsidRDefault="00C078A6" w:rsidP="00C078A6">
      <w:pPr>
        <w:spacing w:before="120" w:after="0" w:line="264" w:lineRule="auto"/>
        <w:jc w:val="center"/>
        <w:rPr>
          <w:rFonts w:ascii="Arial" w:eastAsia="Times New Roman" w:hAnsi="Arial" w:cs="Arial"/>
          <w:lang w:eastAsia="cs-CZ"/>
        </w:rPr>
      </w:pPr>
    </w:p>
    <w:p w:rsidR="00C078A6" w:rsidRPr="003C3793" w:rsidRDefault="00C078A6" w:rsidP="00C078A6">
      <w:pPr>
        <w:spacing w:before="120" w:after="0" w:line="264" w:lineRule="auto"/>
        <w:jc w:val="center"/>
        <w:rPr>
          <w:rFonts w:ascii="Arial" w:eastAsia="Times New Roman" w:hAnsi="Arial" w:cs="Arial"/>
          <w:lang w:eastAsia="cs-CZ"/>
        </w:rPr>
      </w:pPr>
    </w:p>
    <w:p w:rsidR="00C078A6" w:rsidRPr="003C3793" w:rsidRDefault="00C078A6" w:rsidP="00C078A6">
      <w:pPr>
        <w:spacing w:before="60" w:after="0" w:line="240" w:lineRule="auto"/>
        <w:jc w:val="center"/>
        <w:rPr>
          <w:rFonts w:ascii="Arial" w:eastAsia="Times New Roman" w:hAnsi="Arial" w:cs="Arial"/>
          <w:b/>
          <w:caps/>
          <w:lang w:eastAsia="cs-CZ"/>
        </w:rPr>
      </w:pPr>
      <w:r w:rsidRPr="003C3793">
        <w:rPr>
          <w:rFonts w:ascii="Arial" w:eastAsia="Times New Roman" w:hAnsi="Arial" w:cs="Arial"/>
          <w:b/>
          <w:caps/>
          <w:lang w:eastAsia="cs-CZ"/>
        </w:rPr>
        <w:t>část vII</w:t>
      </w:r>
    </w:p>
    <w:p w:rsidR="00C078A6" w:rsidRPr="003C3793" w:rsidRDefault="00C078A6" w:rsidP="00C078A6">
      <w:pPr>
        <w:spacing w:before="60" w:after="0" w:line="240" w:lineRule="auto"/>
        <w:jc w:val="center"/>
        <w:rPr>
          <w:rFonts w:ascii="Arial" w:eastAsia="Times New Roman" w:hAnsi="Arial" w:cs="Arial"/>
          <w:b/>
          <w:caps/>
          <w:lang w:eastAsia="cs-CZ"/>
        </w:rPr>
      </w:pPr>
      <w:r w:rsidRPr="003C3793">
        <w:rPr>
          <w:rFonts w:ascii="Arial" w:eastAsia="Times New Roman" w:hAnsi="Arial" w:cs="Arial"/>
          <w:b/>
          <w:caps/>
          <w:lang w:eastAsia="cs-CZ"/>
        </w:rPr>
        <w:t xml:space="preserve">Poučení </w:t>
      </w:r>
    </w:p>
    <w:p w:rsidR="00C078A6" w:rsidRPr="003C3793" w:rsidRDefault="00C078A6" w:rsidP="00C078A6">
      <w:pPr>
        <w:spacing w:before="60" w:after="0" w:line="240" w:lineRule="auto"/>
        <w:jc w:val="center"/>
        <w:rPr>
          <w:rFonts w:ascii="Arial" w:eastAsia="Times New Roman" w:hAnsi="Arial" w:cs="Arial"/>
          <w:b/>
          <w:caps/>
          <w:lang w:eastAsia="cs-CZ"/>
        </w:rPr>
      </w:pPr>
    </w:p>
    <w:p w:rsidR="00C078A6" w:rsidRPr="003C3793" w:rsidRDefault="00C078A6" w:rsidP="00C078A6">
      <w:pPr>
        <w:numPr>
          <w:ilvl w:val="0"/>
          <w:numId w:val="7"/>
        </w:numPr>
        <w:spacing w:after="120" w:line="240" w:lineRule="auto"/>
        <w:ind w:left="360"/>
        <w:jc w:val="both"/>
        <w:rPr>
          <w:rFonts w:ascii="Arial" w:eastAsia="Times New Roman" w:hAnsi="Arial" w:cs="Arial"/>
          <w:szCs w:val="24"/>
          <w:lang w:eastAsia="cs-CZ"/>
        </w:rPr>
      </w:pPr>
      <w:r w:rsidRPr="00A65B7D">
        <w:rPr>
          <w:rFonts w:ascii="Arial" w:hAnsi="Arial" w:cs="Arial"/>
        </w:rPr>
        <w:t>Na vydání Rozhodnutí o poskytnutí dotace se na základě ustanovení § 14 odst. 5 rozpočtových pravidel nevztahují obecné právní předpisy o správním řízení a je vyloučeno jeho soudní přezkoumání. Případný soudní</w:t>
      </w:r>
      <w:r>
        <w:rPr>
          <w:rFonts w:ascii="Arial" w:hAnsi="Arial" w:cs="Arial"/>
        </w:rPr>
        <w:t xml:space="preserve"> přezkum negativních rozhodnutí</w:t>
      </w:r>
      <w:r>
        <w:rPr>
          <w:rFonts w:ascii="Arial" w:hAnsi="Arial" w:cs="Arial"/>
        </w:rPr>
        <w:br/>
      </w:r>
      <w:r w:rsidRPr="00A65B7D">
        <w:rPr>
          <w:rFonts w:ascii="Arial" w:hAnsi="Arial" w:cs="Arial"/>
        </w:rPr>
        <w:t>o nenárokové dotaci je omezen na posouzení řádného procesu, který garantuje rovnou ochranu práv a rovné zacházení se všemi žadateli za obecným způsobem stanovených podmínek.</w:t>
      </w:r>
    </w:p>
    <w:p w:rsidR="00C078A6" w:rsidRPr="003C3793" w:rsidRDefault="00C078A6" w:rsidP="00C078A6">
      <w:pPr>
        <w:numPr>
          <w:ilvl w:val="0"/>
          <w:numId w:val="7"/>
        </w:numPr>
        <w:spacing w:after="120" w:line="240" w:lineRule="auto"/>
        <w:ind w:left="360"/>
        <w:jc w:val="both"/>
        <w:rPr>
          <w:rFonts w:ascii="Arial" w:eastAsia="Times New Roman" w:hAnsi="Arial" w:cs="Arial"/>
          <w:szCs w:val="24"/>
          <w:lang w:eastAsia="cs-CZ"/>
        </w:rPr>
      </w:pPr>
      <w:r w:rsidRPr="003C3793">
        <w:rPr>
          <w:rFonts w:ascii="Arial" w:eastAsia="Times New Roman" w:hAnsi="Arial" w:cs="Arial"/>
          <w:szCs w:val="24"/>
          <w:lang w:eastAsia="cs-CZ"/>
        </w:rPr>
        <w:lastRenderedPageBreak/>
        <w:t>Za podmínek stanovených v § 15 rozpočtových pravidel může být zahájeno řízení o odnětí dotace. Na řízení o odnětí dotace se vztahují obecné předpisy o správním řízení.</w:t>
      </w:r>
    </w:p>
    <w:p w:rsidR="00C078A6" w:rsidRPr="003C3793" w:rsidRDefault="00C078A6" w:rsidP="00C078A6">
      <w:pPr>
        <w:spacing w:after="0" w:line="264" w:lineRule="auto"/>
        <w:rPr>
          <w:rFonts w:ascii="Arial" w:eastAsia="Times New Roman" w:hAnsi="Arial" w:cs="Arial"/>
          <w:lang w:eastAsia="cs-CZ"/>
        </w:rPr>
      </w:pPr>
    </w:p>
    <w:p w:rsidR="00C078A6" w:rsidRPr="003C3793" w:rsidRDefault="00C078A6" w:rsidP="00C078A6">
      <w:pPr>
        <w:spacing w:after="0" w:line="264" w:lineRule="auto"/>
        <w:rPr>
          <w:rFonts w:ascii="Arial" w:eastAsia="Times New Roman" w:hAnsi="Arial" w:cs="Arial"/>
          <w:lang w:eastAsia="cs-CZ"/>
        </w:rPr>
      </w:pPr>
      <w:r w:rsidRPr="003C3793">
        <w:rPr>
          <w:rFonts w:ascii="Arial" w:eastAsia="Times New Roman" w:hAnsi="Arial" w:cs="Arial"/>
          <w:lang w:eastAsia="cs-CZ"/>
        </w:rPr>
        <w:t>Bankovní spojení: 2229001/0710</w:t>
      </w:r>
    </w:p>
    <w:p w:rsidR="00C078A6" w:rsidRPr="003C3793" w:rsidRDefault="00C078A6" w:rsidP="00C078A6">
      <w:pPr>
        <w:overflowPunct w:val="0"/>
        <w:autoSpaceDE w:val="0"/>
        <w:autoSpaceDN w:val="0"/>
        <w:adjustRightInd w:val="0"/>
        <w:spacing w:after="0" w:line="264" w:lineRule="auto"/>
        <w:textAlignment w:val="baseline"/>
        <w:rPr>
          <w:rFonts w:ascii="Arial" w:eastAsia="Times New Roman" w:hAnsi="Arial" w:cs="Arial"/>
          <w:lang w:eastAsia="cs-CZ"/>
        </w:rPr>
      </w:pPr>
    </w:p>
    <w:p w:rsidR="00C078A6" w:rsidRPr="003C3793" w:rsidRDefault="00C078A6" w:rsidP="00C078A6">
      <w:pPr>
        <w:spacing w:after="0" w:line="264" w:lineRule="auto"/>
        <w:rPr>
          <w:rFonts w:ascii="Arial" w:eastAsia="Times New Roman" w:hAnsi="Arial" w:cs="Arial"/>
          <w:lang w:eastAsia="cs-CZ"/>
        </w:rPr>
      </w:pPr>
      <w:r w:rsidRPr="003C3793">
        <w:rPr>
          <w:rFonts w:ascii="Arial" w:eastAsia="Times New Roman" w:hAnsi="Arial" w:cs="Arial"/>
          <w:lang w:eastAsia="cs-CZ"/>
        </w:rPr>
        <w:t>Odbor sociálních služeb, sociální práce a sociálního bydlení</w:t>
      </w:r>
    </w:p>
    <w:p w:rsidR="00C078A6" w:rsidRPr="003C3793" w:rsidRDefault="00C078A6" w:rsidP="00C078A6">
      <w:pPr>
        <w:spacing w:after="0" w:line="264" w:lineRule="auto"/>
        <w:rPr>
          <w:rFonts w:ascii="Arial" w:eastAsia="Times New Roman" w:hAnsi="Arial" w:cs="Arial"/>
          <w:lang w:eastAsia="cs-CZ"/>
        </w:rPr>
      </w:pPr>
      <w:r w:rsidRPr="003C3793">
        <w:rPr>
          <w:rFonts w:ascii="Arial" w:eastAsia="Times New Roman" w:hAnsi="Arial" w:cs="Arial"/>
          <w:lang w:eastAsia="cs-CZ"/>
        </w:rPr>
        <w:t>Oddělení koncepce sociální práce a vzdělávání</w:t>
      </w:r>
    </w:p>
    <w:p w:rsidR="00C078A6" w:rsidRPr="003C3793" w:rsidRDefault="00C078A6" w:rsidP="00C078A6">
      <w:pPr>
        <w:spacing w:after="0" w:line="264" w:lineRule="auto"/>
        <w:rPr>
          <w:rFonts w:ascii="Arial" w:eastAsia="Times New Roman" w:hAnsi="Arial" w:cs="Arial"/>
          <w:lang w:eastAsia="cs-CZ"/>
        </w:rPr>
      </w:pPr>
    </w:p>
    <w:p w:rsidR="00C078A6" w:rsidRPr="003C3793" w:rsidRDefault="00C078A6" w:rsidP="00C078A6">
      <w:pPr>
        <w:spacing w:after="0" w:line="264" w:lineRule="auto"/>
        <w:rPr>
          <w:rFonts w:ascii="Arial" w:eastAsia="Times New Roman" w:hAnsi="Arial" w:cs="Arial"/>
          <w:lang w:eastAsia="cs-CZ"/>
        </w:rPr>
      </w:pPr>
      <w:r w:rsidRPr="003C3793">
        <w:rPr>
          <w:rFonts w:ascii="Arial" w:eastAsia="Times New Roman" w:hAnsi="Arial" w:cs="Arial"/>
          <w:lang w:eastAsia="cs-CZ"/>
        </w:rPr>
        <w:t>¨</w:t>
      </w:r>
    </w:p>
    <w:p w:rsidR="00C078A6" w:rsidRPr="003C3793" w:rsidRDefault="00C078A6" w:rsidP="00C078A6">
      <w:pPr>
        <w:spacing w:after="0" w:line="264" w:lineRule="auto"/>
        <w:rPr>
          <w:rFonts w:ascii="Arial" w:eastAsia="Times New Roman" w:hAnsi="Arial" w:cs="Arial"/>
          <w:lang w:eastAsia="cs-CZ"/>
        </w:rPr>
      </w:pPr>
    </w:p>
    <w:p w:rsidR="00C078A6" w:rsidRPr="003C3793" w:rsidRDefault="00C078A6" w:rsidP="00C078A6">
      <w:pPr>
        <w:spacing w:after="0" w:line="264" w:lineRule="auto"/>
        <w:rPr>
          <w:rFonts w:ascii="Arial" w:eastAsia="Times New Roman" w:hAnsi="Arial" w:cs="Arial"/>
          <w:lang w:eastAsia="cs-CZ"/>
        </w:rPr>
      </w:pPr>
      <w:r w:rsidRPr="003C3793">
        <w:rPr>
          <w:rFonts w:ascii="Arial" w:eastAsia="Times New Roman" w:hAnsi="Arial" w:cs="Arial"/>
          <w:lang w:eastAsia="cs-CZ"/>
        </w:rPr>
        <w:t>Za organizační složku státu:</w:t>
      </w:r>
    </w:p>
    <w:p w:rsidR="00C078A6" w:rsidRPr="003C3793" w:rsidRDefault="00C078A6" w:rsidP="00C078A6">
      <w:pPr>
        <w:overflowPunct w:val="0"/>
        <w:autoSpaceDE w:val="0"/>
        <w:autoSpaceDN w:val="0"/>
        <w:adjustRightInd w:val="0"/>
        <w:spacing w:after="0" w:line="264" w:lineRule="auto"/>
        <w:textAlignment w:val="baseline"/>
        <w:rPr>
          <w:rFonts w:ascii="Arial" w:eastAsia="Times New Roman" w:hAnsi="Arial" w:cs="Arial"/>
          <w:lang w:eastAsia="cs-CZ"/>
        </w:rPr>
      </w:pPr>
    </w:p>
    <w:p w:rsidR="00C078A6" w:rsidRPr="003C3793" w:rsidRDefault="00C078A6" w:rsidP="00C078A6">
      <w:pPr>
        <w:overflowPunct w:val="0"/>
        <w:autoSpaceDE w:val="0"/>
        <w:autoSpaceDN w:val="0"/>
        <w:adjustRightInd w:val="0"/>
        <w:spacing w:after="0" w:line="264" w:lineRule="auto"/>
        <w:textAlignment w:val="baseline"/>
        <w:rPr>
          <w:rFonts w:ascii="Arial" w:eastAsia="Times New Roman" w:hAnsi="Arial" w:cs="Arial"/>
          <w:lang w:eastAsia="cs-CZ"/>
        </w:rPr>
      </w:pPr>
    </w:p>
    <w:p w:rsidR="00C078A6" w:rsidRPr="003C3793" w:rsidRDefault="00C078A6" w:rsidP="00C078A6">
      <w:pPr>
        <w:spacing w:after="0" w:line="264" w:lineRule="auto"/>
        <w:rPr>
          <w:rFonts w:ascii="Arial" w:eastAsia="Times New Roman" w:hAnsi="Arial" w:cs="Arial"/>
          <w:lang w:eastAsia="cs-CZ"/>
        </w:rPr>
      </w:pPr>
      <w:r w:rsidRPr="003C3793">
        <w:rPr>
          <w:rFonts w:ascii="Arial" w:eastAsia="Times New Roman" w:hAnsi="Arial" w:cs="Arial"/>
          <w:spacing w:val="-4"/>
          <w:lang w:eastAsia="cs-CZ"/>
        </w:rPr>
        <w:t>Příslušný náměstek ministra/Příslušný ředitel odboru</w:t>
      </w:r>
    </w:p>
    <w:p w:rsidR="00C078A6" w:rsidRPr="003C3793" w:rsidRDefault="00C078A6" w:rsidP="00C078A6">
      <w:pPr>
        <w:spacing w:after="0" w:line="264" w:lineRule="auto"/>
        <w:rPr>
          <w:rFonts w:ascii="Arial" w:eastAsia="Times New Roman" w:hAnsi="Arial" w:cs="Arial"/>
          <w:lang w:eastAsia="cs-CZ"/>
        </w:rPr>
      </w:pPr>
    </w:p>
    <w:p w:rsidR="00C078A6" w:rsidRPr="003C3793" w:rsidRDefault="00C078A6" w:rsidP="00C078A6">
      <w:pPr>
        <w:spacing w:after="0" w:line="264" w:lineRule="auto"/>
        <w:rPr>
          <w:rFonts w:ascii="Arial" w:eastAsia="Times New Roman" w:hAnsi="Arial" w:cs="Arial"/>
          <w:lang w:eastAsia="cs-CZ"/>
        </w:rPr>
      </w:pPr>
      <w:r w:rsidRPr="003C3793">
        <w:rPr>
          <w:rFonts w:ascii="Arial" w:eastAsia="Times New Roman" w:hAnsi="Arial" w:cs="Arial"/>
          <w:lang w:eastAsia="cs-CZ"/>
        </w:rPr>
        <w:t xml:space="preserve">V Praze, dne      </w:t>
      </w:r>
    </w:p>
    <w:p w:rsidR="00C078A6" w:rsidRPr="003C3793" w:rsidRDefault="00C078A6" w:rsidP="00C078A6">
      <w:pPr>
        <w:overflowPunct w:val="0"/>
        <w:autoSpaceDE w:val="0"/>
        <w:autoSpaceDN w:val="0"/>
        <w:adjustRightInd w:val="0"/>
        <w:spacing w:after="0" w:line="264" w:lineRule="auto"/>
        <w:textAlignment w:val="baseline"/>
        <w:rPr>
          <w:rFonts w:ascii="Arial" w:eastAsia="Times New Roman" w:hAnsi="Arial" w:cs="Arial"/>
          <w:lang w:eastAsia="cs-CZ"/>
        </w:rPr>
      </w:pPr>
    </w:p>
    <w:p w:rsidR="00C078A6" w:rsidRPr="003C3793" w:rsidRDefault="00C078A6" w:rsidP="00C078A6">
      <w:pPr>
        <w:overflowPunct w:val="0"/>
        <w:autoSpaceDE w:val="0"/>
        <w:autoSpaceDN w:val="0"/>
        <w:adjustRightInd w:val="0"/>
        <w:spacing w:after="0" w:line="264" w:lineRule="auto"/>
        <w:textAlignment w:val="baseline"/>
        <w:rPr>
          <w:rFonts w:ascii="Arial" w:eastAsia="Times New Roman" w:hAnsi="Arial" w:cs="Arial"/>
          <w:lang w:eastAsia="cs-CZ"/>
        </w:rPr>
      </w:pPr>
    </w:p>
    <w:p w:rsidR="007A49A8" w:rsidRDefault="00C078A6" w:rsidP="00C078A6">
      <w:pPr>
        <w:spacing w:after="0" w:line="264" w:lineRule="auto"/>
      </w:pPr>
      <w:r w:rsidRPr="003C3793">
        <w:rPr>
          <w:rFonts w:ascii="Arial" w:eastAsia="Times New Roman" w:hAnsi="Arial" w:cs="Arial"/>
          <w:lang w:eastAsia="cs-CZ"/>
        </w:rPr>
        <w:t>Podpis, razítko:</w:t>
      </w:r>
      <w:r w:rsidRPr="003C3793">
        <w:rPr>
          <w:rFonts w:ascii="Arial" w:eastAsia="Times New Roman" w:hAnsi="Arial" w:cs="Arial"/>
          <w:lang w:eastAsia="cs-CZ"/>
        </w:rPr>
        <w:tab/>
      </w:r>
      <w:r w:rsidRPr="003C3793">
        <w:rPr>
          <w:rFonts w:ascii="Arial" w:eastAsia="Times New Roman" w:hAnsi="Arial" w:cs="Arial"/>
          <w:lang w:eastAsia="cs-CZ"/>
        </w:rPr>
        <w:tab/>
      </w:r>
      <w:r w:rsidRPr="003C3793">
        <w:rPr>
          <w:rFonts w:ascii="Arial" w:eastAsia="Times New Roman" w:hAnsi="Arial" w:cs="Arial"/>
          <w:lang w:eastAsia="cs-CZ"/>
        </w:rPr>
        <w:tab/>
      </w:r>
      <w:r w:rsidRPr="003C3793">
        <w:rPr>
          <w:rFonts w:ascii="Arial" w:eastAsia="Times New Roman" w:hAnsi="Arial" w:cs="Arial"/>
          <w:lang w:eastAsia="cs-CZ"/>
        </w:rPr>
        <w:tab/>
        <w:t>……………………………………………</w:t>
      </w:r>
    </w:p>
    <w:sectPr w:rsidR="007A49A8">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0F3F">
      <w:pPr>
        <w:spacing w:after="0" w:line="240" w:lineRule="auto"/>
      </w:pPr>
      <w:r>
        <w:separator/>
      </w:r>
    </w:p>
  </w:endnote>
  <w:endnote w:type="continuationSeparator" w:id="0">
    <w:p w:rsidR="00000000" w:rsidRDefault="00B9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140074"/>
      <w:docPartObj>
        <w:docPartGallery w:val="Page Numbers (Bottom of Page)"/>
        <w:docPartUnique/>
      </w:docPartObj>
    </w:sdtPr>
    <w:sdtEndPr/>
    <w:sdtContent>
      <w:p w:rsidR="005579BE" w:rsidRDefault="00B90F3F" w:rsidP="00F82521">
        <w:pPr>
          <w:pStyle w:val="Zpat"/>
          <w:jc w:val="center"/>
        </w:pPr>
      </w:p>
      <w:p w:rsidR="005579BE" w:rsidRDefault="00C078A6" w:rsidP="00F82521">
        <w:pPr>
          <w:pStyle w:val="Zpat"/>
          <w:jc w:val="center"/>
        </w:pPr>
        <w:r>
          <w:fldChar w:fldCharType="begin"/>
        </w:r>
        <w:r>
          <w:instrText>PAGE   \* MERGEFORMAT</w:instrText>
        </w:r>
        <w:r>
          <w:fldChar w:fldCharType="separate"/>
        </w:r>
        <w:r w:rsidR="00B90F3F">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0F3F">
      <w:pPr>
        <w:spacing w:after="0" w:line="240" w:lineRule="auto"/>
      </w:pPr>
      <w:r>
        <w:separator/>
      </w:r>
    </w:p>
  </w:footnote>
  <w:footnote w:type="continuationSeparator" w:id="0">
    <w:p w:rsidR="00000000" w:rsidRDefault="00B90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BE" w:rsidRDefault="00C078A6" w:rsidP="00655795">
    <w:pPr>
      <w:pStyle w:val="Zhlav"/>
      <w:jc w:val="right"/>
      <w:rPr>
        <w:rFonts w:ascii="Arial" w:hAnsi="Arial" w:cs="Arial"/>
      </w:rPr>
    </w:pPr>
    <w:r w:rsidRPr="008448BB">
      <w:rPr>
        <w:rFonts w:ascii="Arial" w:hAnsi="Arial" w:cs="Arial"/>
        <w:bCs/>
        <w:sz w:val="20"/>
      </w:rPr>
      <w:t xml:space="preserve">Příloha č. 4 </w:t>
    </w:r>
    <w:r w:rsidRPr="008448BB">
      <w:rPr>
        <w:rFonts w:ascii="Arial" w:hAnsi="Arial" w:cs="Arial"/>
        <w:sz w:val="20"/>
      </w:rPr>
      <w:t>k Metodice pro dotaci na výkon sociální práce 2017 ve znění dodatku č.</w:t>
    </w:r>
    <w:r w:rsidR="00B90F3F">
      <w:rPr>
        <w:rFonts w:ascii="Arial" w:hAnsi="Arial" w:cs="Arial"/>
        <w:sz w:val="20"/>
      </w:rPr>
      <w:t xml:space="preserve"> </w:t>
    </w:r>
    <w:r w:rsidRPr="008448BB">
      <w:rPr>
        <w:rFonts w:ascii="Arial" w:hAnsi="Arial" w:cs="Arial"/>
        <w:sz w:val="20"/>
      </w:rPr>
      <w:t>1</w:t>
    </w:r>
  </w:p>
  <w:p w:rsidR="005579BE" w:rsidRDefault="00B90F3F" w:rsidP="00655795">
    <w:pPr>
      <w:pStyle w:val="Zhlav"/>
      <w:jc w:val="right"/>
      <w:rPr>
        <w:rFonts w:ascii="Arial" w:hAnsi="Arial" w:cs="Arial"/>
      </w:rPr>
    </w:pPr>
  </w:p>
  <w:p w:rsidR="005579BE" w:rsidRDefault="00B90F3F" w:rsidP="00655795">
    <w:pPr>
      <w:pStyle w:val="Zhlav"/>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BE" w:rsidRPr="008448BB" w:rsidRDefault="00C078A6" w:rsidP="00F82521">
    <w:pPr>
      <w:pStyle w:val="Zhlav"/>
      <w:jc w:val="right"/>
      <w:rPr>
        <w:rFonts w:ascii="Arial" w:hAnsi="Arial" w:cs="Arial"/>
        <w:sz w:val="20"/>
      </w:rPr>
    </w:pPr>
    <w:r>
      <w:rPr>
        <w:rFonts w:ascii="Arial" w:hAnsi="Arial" w:cs="Arial"/>
        <w:sz w:val="24"/>
      </w:rPr>
      <w:tab/>
    </w:r>
    <w:r w:rsidRPr="008448BB">
      <w:rPr>
        <w:rFonts w:ascii="Arial" w:hAnsi="Arial" w:cs="Arial"/>
        <w:bCs/>
        <w:sz w:val="20"/>
      </w:rPr>
      <w:t xml:space="preserve">Příloha č. 4 </w:t>
    </w:r>
    <w:r w:rsidRPr="008448BB">
      <w:rPr>
        <w:rFonts w:ascii="Arial" w:hAnsi="Arial" w:cs="Arial"/>
        <w:sz w:val="20"/>
      </w:rPr>
      <w:t>k Metodice pro dotaci na výkon sociální práce 2017 ve znění dodatku č.1</w:t>
    </w:r>
  </w:p>
  <w:p w:rsidR="005579BE" w:rsidRDefault="00B90F3F" w:rsidP="00F82521">
    <w:pPr>
      <w:pStyle w:val="Zhlav"/>
      <w:jc w:val="right"/>
      <w:rPr>
        <w:rFonts w:ascii="Arial" w:hAnsi="Arial" w:cs="Arial"/>
      </w:rPr>
    </w:pPr>
  </w:p>
  <w:p w:rsidR="005579BE" w:rsidRPr="002965DB" w:rsidRDefault="00C078A6" w:rsidP="00F82521">
    <w:pPr>
      <w:pStyle w:val="Zhlav"/>
      <w:jc w:val="right"/>
      <w:rPr>
        <w:sz w:val="20"/>
      </w:rPr>
    </w:pPr>
    <w:r w:rsidRPr="00A91A28">
      <w:rPr>
        <w:rFonts w:ascii="Arial" w:hAnsi="Arial" w:cs="Arial"/>
        <w:sz w:val="20"/>
      </w:rPr>
      <w:t>Č. j. MPSV-2017/xxxxx-224/y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AFB"/>
    <w:multiLevelType w:val="hybridMultilevel"/>
    <w:tmpl w:val="9806CC8A"/>
    <w:lvl w:ilvl="0" w:tplc="9AC8531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17635853"/>
    <w:multiLevelType w:val="multilevel"/>
    <w:tmpl w:val="84449B5C"/>
    <w:lvl w:ilvl="0">
      <w:start w:val="1"/>
      <w:numFmt w:val="bullet"/>
      <w:lvlText w:val=""/>
      <w:lvlJc w:val="left"/>
      <w:pPr>
        <w:tabs>
          <w:tab w:val="num" w:pos="1021"/>
        </w:tabs>
        <w:ind w:left="1021" w:hanging="454"/>
      </w:pPr>
      <w:rPr>
        <w:rFonts w:ascii="Symbol" w:hAnsi="Symbol"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nsid w:val="44E8320C"/>
    <w:multiLevelType w:val="hybridMultilevel"/>
    <w:tmpl w:val="83EEBE5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5AEEC05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FAE1255"/>
    <w:multiLevelType w:val="hybridMultilevel"/>
    <w:tmpl w:val="D21E5772"/>
    <w:lvl w:ilvl="0" w:tplc="9AC8531C">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52277717"/>
    <w:multiLevelType w:val="hybridMultilevel"/>
    <w:tmpl w:val="FDCC1DC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8797376"/>
    <w:multiLevelType w:val="hybridMultilevel"/>
    <w:tmpl w:val="3AF64ECC"/>
    <w:lvl w:ilvl="0" w:tplc="1756929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9EC775F"/>
    <w:multiLevelType w:val="hybridMultilevel"/>
    <w:tmpl w:val="AF26AF96"/>
    <w:lvl w:ilvl="0" w:tplc="9AC8531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6C2814BC"/>
    <w:multiLevelType w:val="hybridMultilevel"/>
    <w:tmpl w:val="4C0CBAFE"/>
    <w:lvl w:ilvl="0" w:tplc="6DDACEDE">
      <w:start w:val="1"/>
      <w:numFmt w:val="decimal"/>
      <w:lvlText w:val="%1."/>
      <w:lvlJc w:val="left"/>
      <w:pPr>
        <w:tabs>
          <w:tab w:val="num" w:pos="720"/>
        </w:tabs>
        <w:ind w:left="720" w:hanging="360"/>
      </w:pPr>
    </w:lvl>
    <w:lvl w:ilvl="1" w:tplc="A3E0525E">
      <w:start w:val="1"/>
      <w:numFmt w:val="lowerLetter"/>
      <w:lvlText w:val="%2."/>
      <w:lvlJc w:val="left"/>
      <w:pPr>
        <w:tabs>
          <w:tab w:val="num" w:pos="1440"/>
        </w:tabs>
        <w:ind w:left="1440" w:hanging="360"/>
      </w:pPr>
    </w:lvl>
    <w:lvl w:ilvl="2" w:tplc="63C4E318" w:tentative="1">
      <w:start w:val="1"/>
      <w:numFmt w:val="lowerRoman"/>
      <w:lvlText w:val="%3."/>
      <w:lvlJc w:val="right"/>
      <w:pPr>
        <w:tabs>
          <w:tab w:val="num" w:pos="2160"/>
        </w:tabs>
        <w:ind w:left="2160" w:hanging="180"/>
      </w:pPr>
    </w:lvl>
    <w:lvl w:ilvl="3" w:tplc="8F7607DC" w:tentative="1">
      <w:start w:val="1"/>
      <w:numFmt w:val="decimal"/>
      <w:lvlText w:val="%4."/>
      <w:lvlJc w:val="left"/>
      <w:pPr>
        <w:tabs>
          <w:tab w:val="num" w:pos="2880"/>
        </w:tabs>
        <w:ind w:left="2880" w:hanging="360"/>
      </w:pPr>
    </w:lvl>
    <w:lvl w:ilvl="4" w:tplc="ED14C860" w:tentative="1">
      <w:start w:val="1"/>
      <w:numFmt w:val="lowerLetter"/>
      <w:lvlText w:val="%5."/>
      <w:lvlJc w:val="left"/>
      <w:pPr>
        <w:tabs>
          <w:tab w:val="num" w:pos="3600"/>
        </w:tabs>
        <w:ind w:left="3600" w:hanging="360"/>
      </w:pPr>
    </w:lvl>
    <w:lvl w:ilvl="5" w:tplc="C258333C" w:tentative="1">
      <w:start w:val="1"/>
      <w:numFmt w:val="lowerRoman"/>
      <w:lvlText w:val="%6."/>
      <w:lvlJc w:val="right"/>
      <w:pPr>
        <w:tabs>
          <w:tab w:val="num" w:pos="4320"/>
        </w:tabs>
        <w:ind w:left="4320" w:hanging="180"/>
      </w:pPr>
    </w:lvl>
    <w:lvl w:ilvl="6" w:tplc="F35239D8" w:tentative="1">
      <w:start w:val="1"/>
      <w:numFmt w:val="decimal"/>
      <w:lvlText w:val="%7."/>
      <w:lvlJc w:val="left"/>
      <w:pPr>
        <w:tabs>
          <w:tab w:val="num" w:pos="5040"/>
        </w:tabs>
        <w:ind w:left="5040" w:hanging="360"/>
      </w:pPr>
    </w:lvl>
    <w:lvl w:ilvl="7" w:tplc="6764D8B0" w:tentative="1">
      <w:start w:val="1"/>
      <w:numFmt w:val="lowerLetter"/>
      <w:lvlText w:val="%8."/>
      <w:lvlJc w:val="left"/>
      <w:pPr>
        <w:tabs>
          <w:tab w:val="num" w:pos="5760"/>
        </w:tabs>
        <w:ind w:left="5760" w:hanging="360"/>
      </w:pPr>
    </w:lvl>
    <w:lvl w:ilvl="8" w:tplc="66B21C6A" w:tentative="1">
      <w:start w:val="1"/>
      <w:numFmt w:val="lowerRoman"/>
      <w:lvlText w:val="%9."/>
      <w:lvlJc w:val="right"/>
      <w:pPr>
        <w:tabs>
          <w:tab w:val="num" w:pos="6480"/>
        </w:tabs>
        <w:ind w:left="6480" w:hanging="180"/>
      </w:pPr>
    </w:lvl>
  </w:abstractNum>
  <w:abstractNum w:abstractNumId="8">
    <w:nsid w:val="7DFF658F"/>
    <w:multiLevelType w:val="hybridMultilevel"/>
    <w:tmpl w:val="4CC80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3"/>
  </w:num>
  <w:num w:numId="5">
    <w:abstractNumId w:val="0"/>
  </w:num>
  <w:num w:numId="6">
    <w:abstractNumId w:val="6"/>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A6"/>
    <w:rsid w:val="007A49A8"/>
    <w:rsid w:val="00B90F3F"/>
    <w:rsid w:val="00C078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78A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078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78A6"/>
  </w:style>
  <w:style w:type="paragraph" w:styleId="Zpat">
    <w:name w:val="footer"/>
    <w:basedOn w:val="Normln"/>
    <w:link w:val="ZpatChar"/>
    <w:uiPriority w:val="99"/>
    <w:unhideWhenUsed/>
    <w:rsid w:val="00C078A6"/>
    <w:pPr>
      <w:tabs>
        <w:tab w:val="center" w:pos="4536"/>
        <w:tab w:val="right" w:pos="9072"/>
      </w:tabs>
      <w:spacing w:after="0" w:line="240" w:lineRule="auto"/>
    </w:pPr>
  </w:style>
  <w:style w:type="character" w:customStyle="1" w:styleId="ZpatChar">
    <w:name w:val="Zápatí Char"/>
    <w:basedOn w:val="Standardnpsmoodstavce"/>
    <w:link w:val="Zpat"/>
    <w:uiPriority w:val="99"/>
    <w:rsid w:val="00C07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78A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078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78A6"/>
  </w:style>
  <w:style w:type="paragraph" w:styleId="Zpat">
    <w:name w:val="footer"/>
    <w:basedOn w:val="Normln"/>
    <w:link w:val="ZpatChar"/>
    <w:uiPriority w:val="99"/>
    <w:unhideWhenUsed/>
    <w:rsid w:val="00C078A6"/>
    <w:pPr>
      <w:tabs>
        <w:tab w:val="center" w:pos="4536"/>
        <w:tab w:val="right" w:pos="9072"/>
      </w:tabs>
      <w:spacing w:after="0" w:line="240" w:lineRule="auto"/>
    </w:pPr>
  </w:style>
  <w:style w:type="character" w:customStyle="1" w:styleId="ZpatChar">
    <w:name w:val="Zápatí Char"/>
    <w:basedOn w:val="Standardnpsmoodstavce"/>
    <w:link w:val="Zpat"/>
    <w:uiPriority w:val="99"/>
    <w:rsid w:val="00C0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11340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Šůstková Alžběta Mgr. (MPSV)</dc:creator>
  <cp:lastModifiedBy>Šůstková Alžběta Mgr. (MPSV)</cp:lastModifiedBy>
  <cp:revision>2</cp:revision>
  <dcterms:created xsi:type="dcterms:W3CDTF">2017-08-11T06:34:00Z</dcterms:created>
  <dcterms:modified xsi:type="dcterms:W3CDTF">2017-08-11T07:07:00Z</dcterms:modified>
</cp:coreProperties>
</file>