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Default="00455E7A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</w:p>
    <w:p w14:paraId="2B7ADB75" w14:textId="03B9A7A2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F84F3F">
      <w:pPr>
        <w:spacing w:after="0"/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592C56D7" w14:textId="77777777" w:rsidR="00F84F3F" w:rsidRPr="00F84F3F" w:rsidRDefault="00F84F3F" w:rsidP="00F84F3F">
      <w:pPr>
        <w:spacing w:before="96"/>
        <w:ind w:left="118"/>
        <w:rPr>
          <w:rFonts w:cstheme="minorHAnsi"/>
          <w:sz w:val="40"/>
          <w:szCs w:val="40"/>
        </w:rPr>
      </w:pPr>
      <w:r w:rsidRPr="00F84F3F">
        <w:rPr>
          <w:rFonts w:cstheme="minorHAnsi"/>
          <w:sz w:val="40"/>
          <w:szCs w:val="40"/>
        </w:rPr>
        <w:t>ROZVOJ A MODERNIZACE INFRASTRUKTURY SOCIÁLNÍ PÉČE</w:t>
      </w:r>
    </w:p>
    <w:p w14:paraId="6CDE0C56" w14:textId="77777777" w:rsidR="00CC02A7" w:rsidRPr="00CC02A7" w:rsidRDefault="00CC02A7" w:rsidP="00F84F3F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5E99A84E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</w:t>
      </w:r>
      <w:r w:rsidR="00B77FA2">
        <w:rPr>
          <w:rFonts w:cstheme="minorHAnsi"/>
          <w:color w:val="A6A6A6"/>
          <w:sz w:val="40"/>
        </w:rPr>
        <w:t>4</w:t>
      </w:r>
      <w:r w:rsidRPr="00CC02A7">
        <w:rPr>
          <w:rFonts w:cstheme="minorHAnsi"/>
          <w:color w:val="A6A6A6"/>
          <w:sz w:val="40"/>
        </w:rPr>
        <w:t>_</w:t>
      </w:r>
      <w:r w:rsidR="00B77FA2">
        <w:rPr>
          <w:rFonts w:cstheme="minorHAnsi"/>
          <w:color w:val="A6A6A6"/>
          <w:sz w:val="40"/>
        </w:rPr>
        <w:t>108</w:t>
      </w:r>
    </w:p>
    <w:p w14:paraId="0AE25BD4" w14:textId="77777777" w:rsidR="00461931" w:rsidRDefault="00461931" w:rsidP="00624E35">
      <w:pPr>
        <w:ind w:left="118"/>
        <w:rPr>
          <w:rFonts w:eastAsia="Times New Roman" w:cstheme="minorHAnsi"/>
          <w:sz w:val="40"/>
          <w:szCs w:val="40"/>
          <w:lang w:eastAsia="cs-CZ"/>
        </w:rPr>
      </w:pPr>
      <w:r w:rsidRPr="00461931">
        <w:rPr>
          <w:rFonts w:eastAsia="Times New Roman" w:cstheme="minorHAnsi"/>
          <w:sz w:val="40"/>
          <w:szCs w:val="40"/>
          <w:lang w:eastAsia="cs-CZ"/>
        </w:rPr>
        <w:t xml:space="preserve">Zvyšování kapacit služeb sociálního poradenství a služeb sociální prevence </w:t>
      </w:r>
    </w:p>
    <w:p w14:paraId="69B0541F" w14:textId="6E31E31A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1041BDF7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</w:t>
      </w:r>
      <w:r w:rsidR="0028499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057F6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621BD4AC" w14:textId="61F48801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806D2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21</w:t>
      </w:r>
      <w:r w:rsidR="008E147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.6.2024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28FDEFB9" w14:textId="1F1D2FB9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bookmarkStart w:id="1" w:name="_Toc169252158"/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lastRenderedPageBreak/>
        <w:t>Přehled změn dokumentu</w:t>
      </w:r>
      <w:bookmarkEnd w:id="1"/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455E7A" w14:paraId="5E0DAC89" w14:textId="77777777" w:rsidTr="008F38C0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B87153" w14:paraId="35A9F60F" w14:textId="77777777" w:rsidTr="008F38C0">
        <w:trPr>
          <w:trHeight w:val="699"/>
        </w:trPr>
        <w:tc>
          <w:tcPr>
            <w:tcW w:w="541" w:type="pct"/>
            <w:vMerge w:val="restart"/>
          </w:tcPr>
          <w:p w14:paraId="4DA0E241" w14:textId="05EC5F78" w:rsidR="00B87153" w:rsidRPr="00C142EE" w:rsidRDefault="00B87153" w:rsidP="008E1478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9" w:type="pct"/>
          </w:tcPr>
          <w:p w14:paraId="3014B354" w14:textId="6A4F046B" w:rsidR="00B87153" w:rsidRPr="002168BD" w:rsidRDefault="00B87153" w:rsidP="008E1478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</w:t>
            </w:r>
          </w:p>
        </w:tc>
        <w:tc>
          <w:tcPr>
            <w:tcW w:w="773" w:type="pct"/>
          </w:tcPr>
          <w:p w14:paraId="25305D95" w14:textId="29E3334C" w:rsidR="00B87153" w:rsidRDefault="00B87153" w:rsidP="008E1478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31" w:type="pct"/>
          </w:tcPr>
          <w:p w14:paraId="4B82DC38" w14:textId="0E1851C4" w:rsidR="00B87153" w:rsidRPr="002168BD" w:rsidRDefault="00B87153" w:rsidP="008E1478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proofErr w:type="spellStart"/>
            <w:r>
              <w:rPr>
                <w:rFonts w:asciiTheme="minorHAnsi" w:hAnsiTheme="minorHAnsi" w:cstheme="minorHAnsi"/>
              </w:rPr>
              <w:t>Úprava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  <w:r>
              <w:rPr>
                <w:rFonts w:asciiTheme="minorHAnsi" w:hAnsiTheme="minorHAnsi" w:cstheme="minorHAnsi"/>
              </w:rPr>
              <w:t xml:space="preserve"> č. 8</w:t>
            </w:r>
          </w:p>
        </w:tc>
        <w:tc>
          <w:tcPr>
            <w:tcW w:w="1111" w:type="pct"/>
          </w:tcPr>
          <w:p w14:paraId="764727EF" w14:textId="56059243" w:rsidR="00B87153" w:rsidRPr="0028499A" w:rsidRDefault="00B87153" w:rsidP="008E1478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</w:rPr>
              <w:t xml:space="preserve">Do </w:t>
            </w:r>
            <w:proofErr w:type="spellStart"/>
            <w:r>
              <w:rPr>
                <w:rFonts w:asciiTheme="minorHAnsi" w:hAnsiTheme="minorHAnsi" w:cstheme="minorHAnsi"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  <w:r>
              <w:rPr>
                <w:rFonts w:asciiTheme="minorHAnsi" w:hAnsiTheme="minorHAnsi" w:cstheme="minorHAnsi"/>
              </w:rPr>
              <w:t xml:space="preserve"> č. 8 </w:t>
            </w:r>
            <w:proofErr w:type="spellStart"/>
            <w:r>
              <w:rPr>
                <w:rFonts w:asciiTheme="minorHAnsi" w:hAnsiTheme="minorHAnsi" w:cstheme="minorHAnsi"/>
              </w:rPr>
              <w:t>doplněn</w:t>
            </w:r>
            <w:proofErr w:type="spellEnd"/>
            <w:r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</w:rPr>
              <w:t>stavební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zákon</w:t>
            </w:r>
            <w:proofErr w:type="spellEnd"/>
            <w:r>
              <w:rPr>
                <w:rFonts w:asciiTheme="minorHAnsi" w:hAnsiTheme="minorHAnsi" w:cstheme="minorHAnsi"/>
              </w:rPr>
              <w:t xml:space="preserve"> č. 283/2021 Sb., </w:t>
            </w:r>
            <w:proofErr w:type="spellStart"/>
            <w:r>
              <w:rPr>
                <w:rFonts w:asciiTheme="minorHAnsi" w:hAnsiTheme="minorHAnsi" w:cstheme="minorHAnsi"/>
              </w:rPr>
              <w:t>ve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znění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pozdějších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předpisů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14" w:type="pct"/>
            <w:vMerge w:val="restart"/>
          </w:tcPr>
          <w:p w14:paraId="22D3E2A1" w14:textId="4EE7B155" w:rsidR="00B87153" w:rsidRPr="003441EA" w:rsidRDefault="00806D2A" w:rsidP="008E1478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  <w:r w:rsidR="00B87153">
              <w:rPr>
                <w:rFonts w:asciiTheme="minorHAnsi" w:hAnsiTheme="minorHAnsi" w:cstheme="minorHAnsi"/>
              </w:rPr>
              <w:t>.6.2024</w:t>
            </w:r>
          </w:p>
        </w:tc>
      </w:tr>
      <w:tr w:rsidR="00B87153" w14:paraId="3C3B66F7" w14:textId="77777777" w:rsidTr="008F38C0">
        <w:trPr>
          <w:trHeight w:val="699"/>
        </w:trPr>
        <w:tc>
          <w:tcPr>
            <w:tcW w:w="541" w:type="pct"/>
            <w:vMerge/>
          </w:tcPr>
          <w:p w14:paraId="740E7AD9" w14:textId="77777777" w:rsidR="00B87153" w:rsidRDefault="00B87153" w:rsidP="008E1478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6A8BDA1B" w14:textId="2EC8E7D0" w:rsidR="00B87153" w:rsidRPr="0028499A" w:rsidRDefault="00B87153" w:rsidP="008E1478">
            <w:r>
              <w:rPr>
                <w:rFonts w:cstheme="minorHAnsi"/>
                <w:bCs/>
              </w:rPr>
              <w:t>5</w:t>
            </w:r>
          </w:p>
        </w:tc>
        <w:tc>
          <w:tcPr>
            <w:tcW w:w="773" w:type="pct"/>
          </w:tcPr>
          <w:p w14:paraId="123B20A4" w14:textId="7564B51B" w:rsidR="00B87153" w:rsidRDefault="00B87153" w:rsidP="008E1478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31" w:type="pct"/>
          </w:tcPr>
          <w:p w14:paraId="015FFD76" w14:textId="66605C48" w:rsidR="00B87153" w:rsidRPr="009B51AB" w:rsidRDefault="00B87153" w:rsidP="008E1478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proofErr w:type="spellStart"/>
            <w:r>
              <w:rPr>
                <w:rFonts w:asciiTheme="minorHAnsi" w:hAnsiTheme="minorHAnsi" w:cstheme="minorHAnsi"/>
              </w:rPr>
              <w:t>Doplnění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textace</w:t>
            </w:r>
            <w:proofErr w:type="spellEnd"/>
            <w:r>
              <w:rPr>
                <w:rFonts w:asciiTheme="minorHAnsi" w:hAnsiTheme="minorHAnsi" w:cstheme="minorHAnsi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</w:rPr>
              <w:t>poznámce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</w:p>
        </w:tc>
        <w:tc>
          <w:tcPr>
            <w:tcW w:w="1111" w:type="pct"/>
          </w:tcPr>
          <w:p w14:paraId="5A8B4F17" w14:textId="19C13144" w:rsidR="00B87153" w:rsidRPr="0028499A" w:rsidRDefault="00B87153" w:rsidP="008E1478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 </w:t>
            </w:r>
            <w:proofErr w:type="spellStart"/>
            <w:r>
              <w:rPr>
                <w:rFonts w:asciiTheme="minorHAnsi" w:hAnsiTheme="minorHAnsi" w:cstheme="minorHAnsi"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doplněná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informace</w:t>
            </w:r>
            <w:proofErr w:type="spellEnd"/>
            <w:r>
              <w:rPr>
                <w:rFonts w:asciiTheme="minorHAnsi" w:hAnsiTheme="minorHAnsi" w:cstheme="minorHAnsi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</w:rPr>
              <w:t>ohledem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budoucí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vstoupení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</w:rPr>
              <w:t>platnost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nové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vyhlášky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14" w:type="pct"/>
            <w:vMerge/>
          </w:tcPr>
          <w:p w14:paraId="2D65FA2D" w14:textId="77777777" w:rsidR="00B87153" w:rsidRDefault="00B87153" w:rsidP="008E1478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B87153" w14:paraId="199FD018" w14:textId="77777777" w:rsidTr="008F38C0">
        <w:trPr>
          <w:trHeight w:val="699"/>
        </w:trPr>
        <w:tc>
          <w:tcPr>
            <w:tcW w:w="541" w:type="pct"/>
            <w:vMerge/>
          </w:tcPr>
          <w:p w14:paraId="3C7BD26F" w14:textId="12B810DD" w:rsidR="00B87153" w:rsidRDefault="00B87153" w:rsidP="008E1478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7544CD47" w14:textId="238BC1E4" w:rsidR="00B87153" w:rsidRPr="008F38C0" w:rsidRDefault="00B87153" w:rsidP="008E1478">
            <w:pPr>
              <w:rPr>
                <w:lang w:val="cs-CZ"/>
              </w:rPr>
            </w:pPr>
            <w:r>
              <w:rPr>
                <w:rFonts w:cstheme="minorHAnsi"/>
                <w:bCs/>
              </w:rPr>
              <w:t>7</w:t>
            </w:r>
          </w:p>
        </w:tc>
        <w:tc>
          <w:tcPr>
            <w:tcW w:w="773" w:type="pct"/>
          </w:tcPr>
          <w:p w14:paraId="6B841EA4" w14:textId="074F8E23" w:rsidR="00B87153" w:rsidRDefault="00B87153" w:rsidP="008E1478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831" w:type="pct"/>
          </w:tcPr>
          <w:p w14:paraId="4698718A" w14:textId="423D7477" w:rsidR="00B87153" w:rsidRPr="008F38C0" w:rsidRDefault="00B87153" w:rsidP="008E1478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proofErr w:type="spellStart"/>
            <w:r>
              <w:rPr>
                <w:rFonts w:asciiTheme="minorHAnsi" w:hAnsiTheme="minorHAnsi" w:cstheme="minorHAnsi"/>
              </w:rPr>
              <w:t>Úprava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11" w:type="pct"/>
          </w:tcPr>
          <w:p w14:paraId="61488DA1" w14:textId="086D97B4" w:rsidR="00B87153" w:rsidRPr="00D361B7" w:rsidRDefault="00B87153" w:rsidP="008E1478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D361B7">
              <w:rPr>
                <w:rFonts w:asciiTheme="minorHAnsi" w:hAnsiTheme="minorHAnsi" w:cstheme="minorHAnsi"/>
                <w:lang w:val="cs-CZ"/>
              </w:rPr>
              <w:t xml:space="preserve">Do poznámky doplněna informace: </w:t>
            </w:r>
            <w:r w:rsidR="00D361B7">
              <w:rPr>
                <w:rFonts w:asciiTheme="minorHAnsi" w:hAnsiTheme="minorHAnsi" w:cstheme="minorHAnsi"/>
                <w:lang w:val="cs-CZ"/>
              </w:rPr>
              <w:t>„</w:t>
            </w:r>
            <w:r w:rsidRPr="00D361B7">
              <w:rPr>
                <w:rFonts w:asciiTheme="minorHAnsi" w:hAnsiTheme="minorHAnsi" w:cstheme="minorHAnsi"/>
                <w:i/>
                <w:iCs/>
                <w:lang w:val="cs-CZ"/>
              </w:rPr>
              <w:t>případně projektová dokumentace odpovídající výše uvedenému vypracovaná dle prováděcí vyhlášky k zákonu č. 283/2021 Sb., ve znění pozdějších předpisů</w:t>
            </w:r>
            <w:r w:rsidR="00D361B7">
              <w:rPr>
                <w:rFonts w:asciiTheme="minorHAnsi" w:hAnsiTheme="minorHAnsi" w:cstheme="minorHAnsi"/>
                <w:i/>
                <w:iCs/>
                <w:lang w:val="cs-CZ"/>
              </w:rPr>
              <w:t>“</w:t>
            </w:r>
            <w:r w:rsidRPr="00D361B7">
              <w:rPr>
                <w:rFonts w:asciiTheme="minorHAnsi" w:hAnsiTheme="minorHAnsi" w:cstheme="minorHAnsi"/>
                <w:i/>
                <w:iCs/>
                <w:lang w:val="cs-CZ"/>
              </w:rPr>
              <w:t>.</w:t>
            </w:r>
          </w:p>
        </w:tc>
        <w:tc>
          <w:tcPr>
            <w:tcW w:w="914" w:type="pct"/>
            <w:vMerge/>
          </w:tcPr>
          <w:p w14:paraId="376E32CE" w14:textId="2A58E9EA" w:rsidR="00B87153" w:rsidRDefault="00B87153" w:rsidP="008E1478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B87153" w14:paraId="7DABAD80" w14:textId="77777777" w:rsidTr="008F38C0">
        <w:trPr>
          <w:trHeight w:val="699"/>
        </w:trPr>
        <w:tc>
          <w:tcPr>
            <w:tcW w:w="541" w:type="pct"/>
            <w:vMerge/>
          </w:tcPr>
          <w:p w14:paraId="4CFED20A" w14:textId="77777777" w:rsidR="00B87153" w:rsidRDefault="00B87153" w:rsidP="008E1478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66CCA964" w14:textId="0A4E2F46" w:rsidR="00B87153" w:rsidRPr="008F38C0" w:rsidRDefault="00B87153" w:rsidP="008E1478">
            <w:r>
              <w:rPr>
                <w:rFonts w:cstheme="minorHAnsi"/>
                <w:bCs/>
              </w:rPr>
              <w:t>8</w:t>
            </w:r>
          </w:p>
        </w:tc>
        <w:tc>
          <w:tcPr>
            <w:tcW w:w="773" w:type="pct"/>
          </w:tcPr>
          <w:p w14:paraId="548B4069" w14:textId="11977D0D" w:rsidR="00B87153" w:rsidRDefault="00B87153" w:rsidP="008E1478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831" w:type="pct"/>
          </w:tcPr>
          <w:p w14:paraId="7D32E93D" w14:textId="16820BED" w:rsidR="00B87153" w:rsidRPr="008F38C0" w:rsidRDefault="00B87153" w:rsidP="008E1478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Odstranění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</w:p>
        </w:tc>
        <w:tc>
          <w:tcPr>
            <w:tcW w:w="1111" w:type="pct"/>
          </w:tcPr>
          <w:p w14:paraId="252AB4FC" w14:textId="7B3A1E0E" w:rsidR="00B87153" w:rsidRPr="009B51AB" w:rsidRDefault="00B87153" w:rsidP="008E1478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 </w:t>
            </w:r>
            <w:proofErr w:type="spellStart"/>
            <w:r>
              <w:rPr>
                <w:rFonts w:asciiTheme="minorHAnsi" w:hAnsiTheme="minorHAnsi" w:cstheme="minorHAnsi"/>
              </w:rPr>
              <w:t>rámci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revize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dokumentu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dochází</w:t>
            </w:r>
            <w:proofErr w:type="spellEnd"/>
            <w:r>
              <w:rPr>
                <w:rFonts w:asciiTheme="minorHAnsi" w:hAnsiTheme="minorHAnsi" w:cstheme="minorHAnsi"/>
              </w:rPr>
              <w:t xml:space="preserve"> k </w:t>
            </w:r>
            <w:proofErr w:type="spellStart"/>
            <w:r>
              <w:rPr>
                <w:rFonts w:asciiTheme="minorHAnsi" w:hAnsiTheme="minorHAnsi" w:cstheme="minorHAnsi"/>
              </w:rPr>
              <w:t>odstranění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poznámky</w:t>
            </w:r>
            <w:proofErr w:type="spellEnd"/>
            <w:r>
              <w:rPr>
                <w:rFonts w:asciiTheme="minorHAnsi" w:hAnsiTheme="minorHAnsi" w:cstheme="minorHAnsi"/>
              </w:rPr>
              <w:t xml:space="preserve"> pod </w:t>
            </w:r>
            <w:proofErr w:type="spellStart"/>
            <w:r>
              <w:rPr>
                <w:rFonts w:asciiTheme="minorHAnsi" w:hAnsiTheme="minorHAnsi" w:cstheme="minorHAnsi"/>
              </w:rPr>
              <w:t>čarou</w:t>
            </w:r>
            <w:proofErr w:type="spellEnd"/>
            <w:r>
              <w:rPr>
                <w:rFonts w:asciiTheme="minorHAnsi" w:hAnsiTheme="minorHAnsi" w:cstheme="minorHAnsi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</w:rPr>
              <w:t>části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Způsob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stanovení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rozpočtovaných</w:t>
            </w:r>
            <w:proofErr w:type="spellEnd"/>
            <w:r>
              <w:rPr>
                <w:rFonts w:asciiTheme="minorHAnsi" w:hAnsiTheme="minorHAnsi" w:cstheme="minorHAnsi"/>
              </w:rPr>
              <w:t xml:space="preserve"> cen. </w:t>
            </w:r>
          </w:p>
        </w:tc>
        <w:tc>
          <w:tcPr>
            <w:tcW w:w="914" w:type="pct"/>
            <w:vMerge/>
          </w:tcPr>
          <w:p w14:paraId="726DE9B5" w14:textId="77777777" w:rsidR="00B87153" w:rsidRDefault="00B87153" w:rsidP="008E1478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B87153" w14:paraId="4C3C5812" w14:textId="77777777" w:rsidTr="008F38C0">
        <w:trPr>
          <w:trHeight w:val="699"/>
        </w:trPr>
        <w:tc>
          <w:tcPr>
            <w:tcW w:w="541" w:type="pct"/>
            <w:vMerge/>
          </w:tcPr>
          <w:p w14:paraId="5AB446DC" w14:textId="77777777" w:rsidR="00B87153" w:rsidRDefault="00B87153" w:rsidP="008E1478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510F5DA8" w14:textId="4CBD3537" w:rsidR="00B87153" w:rsidRPr="008F38C0" w:rsidRDefault="00B87153" w:rsidP="008E1478">
            <w:r>
              <w:rPr>
                <w:rFonts w:cstheme="minorHAnsi"/>
                <w:bCs/>
              </w:rPr>
              <w:t>12</w:t>
            </w:r>
          </w:p>
        </w:tc>
        <w:tc>
          <w:tcPr>
            <w:tcW w:w="773" w:type="pct"/>
          </w:tcPr>
          <w:p w14:paraId="5588D9E9" w14:textId="35BBA688" w:rsidR="00B87153" w:rsidRDefault="00B87153" w:rsidP="008E1478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831" w:type="pct"/>
          </w:tcPr>
          <w:p w14:paraId="7E1C9E5A" w14:textId="0E3D09FC" w:rsidR="00B87153" w:rsidRPr="008F38C0" w:rsidRDefault="00B87153" w:rsidP="008E1478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Technická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připravenost</w:t>
            </w:r>
            <w:proofErr w:type="spellEnd"/>
          </w:p>
        </w:tc>
        <w:tc>
          <w:tcPr>
            <w:tcW w:w="1111" w:type="pct"/>
          </w:tcPr>
          <w:p w14:paraId="2AF3D350" w14:textId="56B4AE89" w:rsidR="00B87153" w:rsidRPr="009B51AB" w:rsidRDefault="00B87153" w:rsidP="008E1478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 </w:t>
            </w:r>
            <w:proofErr w:type="spellStart"/>
            <w:r>
              <w:rPr>
                <w:rFonts w:asciiTheme="minorHAnsi" w:hAnsiTheme="minorHAnsi" w:cstheme="minorHAnsi"/>
              </w:rPr>
              <w:t>rámci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podkap</w:t>
            </w:r>
            <w:proofErr w:type="spellEnd"/>
            <w:r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</w:rPr>
              <w:t>technické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připravenosti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projektu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dochází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ke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zobecnění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odkazu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na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stavební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zákon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14" w:type="pct"/>
            <w:vMerge/>
          </w:tcPr>
          <w:p w14:paraId="66FE7E33" w14:textId="77777777" w:rsidR="00B87153" w:rsidRDefault="00B87153" w:rsidP="008E1478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Default="004D6B92">
          <w:pPr>
            <w:pStyle w:val="Nadpisobsahu"/>
          </w:pPr>
        </w:p>
        <w:p w14:paraId="5737CE85" w14:textId="30B04D50" w:rsidR="008C17E7" w:rsidRDefault="004D6B92">
          <w:pPr>
            <w:pStyle w:val="Obsah1"/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455E7A">
            <w:rPr>
              <w:color w:val="FF0000"/>
            </w:rPr>
            <w:fldChar w:fldCharType="begin"/>
          </w:r>
          <w:r w:rsidRPr="00455E7A">
            <w:rPr>
              <w:color w:val="FF0000"/>
            </w:rPr>
            <w:instrText xml:space="preserve"> TOC \o "1-3" \h \z \u </w:instrText>
          </w:r>
          <w:r w:rsidRPr="00455E7A">
            <w:rPr>
              <w:color w:val="FF0000"/>
            </w:rPr>
            <w:fldChar w:fldCharType="separate"/>
          </w:r>
          <w:hyperlink w:anchor="_Toc169252158" w:history="1">
            <w:r w:rsidR="008C17E7" w:rsidRPr="007F4421">
              <w:rPr>
                <w:rStyle w:val="Hypertextovodkaz"/>
                <w:rFonts w:eastAsia="MS Mincho" w:cstheme="minorHAnsi"/>
                <w:noProof/>
                <w:lang w:eastAsia="ja-JP"/>
              </w:rPr>
              <w:t>Přehled změn dokumentu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_Toc169252158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 w:rsidR="001032D0">
              <w:rPr>
                <w:noProof/>
                <w:webHidden/>
              </w:rPr>
              <w:t>2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12FAB34A" w14:textId="19108D9F" w:rsidR="008C17E7" w:rsidRDefault="001032D0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59" w:history="1">
            <w:r w:rsidR="008C17E7" w:rsidRPr="007F4421">
              <w:rPr>
                <w:rStyle w:val="Hypertextovodkaz"/>
                <w:caps/>
                <w:noProof/>
              </w:rPr>
              <w:t>1.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IDENTIFIKACE DOKUMENTU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_Toc169252159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36BCD1BC" w14:textId="7FAA313B" w:rsidR="008C17E7" w:rsidRDefault="001032D0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60" w:history="1">
            <w:r w:rsidR="008C17E7" w:rsidRPr="007F4421">
              <w:rPr>
                <w:rStyle w:val="Hypertextovodkaz"/>
                <w:caps/>
                <w:noProof/>
              </w:rPr>
              <w:t>2.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_Toc169252160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04C6E773" w14:textId="1F6D4E2D" w:rsidR="008C17E7" w:rsidRDefault="001032D0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61" w:history="1">
            <w:r w:rsidR="008C17E7" w:rsidRPr="007F4421">
              <w:rPr>
                <w:rStyle w:val="Hypertextovodkaz"/>
                <w:caps/>
                <w:noProof/>
              </w:rPr>
              <w:t>3.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Charakteristika projektu a jeho soulad s VÝZVOU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_Toc169252161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5DA9EB8F" w14:textId="692DAFFF" w:rsidR="008C17E7" w:rsidRDefault="001032D0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62" w:history="1">
            <w:r w:rsidR="008C17E7" w:rsidRPr="007F4421">
              <w:rPr>
                <w:rStyle w:val="Hypertextovodkaz"/>
                <w:caps/>
                <w:noProof/>
              </w:rPr>
              <w:t>4.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ZDŮVODNĚNÍ POTŘEBNOSTI REALIZACE PROJEKTU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_Toc169252162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5ABEC369" w14:textId="76DFEEA5" w:rsidR="008C17E7" w:rsidRDefault="001032D0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63" w:history="1">
            <w:r w:rsidR="008C17E7" w:rsidRPr="007F4421">
              <w:rPr>
                <w:rStyle w:val="Hypertextovodkaz"/>
                <w:caps/>
                <w:noProof/>
              </w:rPr>
              <w:t>5.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Podrobný popis projektu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_Toc169252163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635B73A6" w14:textId="4B3B7527" w:rsidR="008C17E7" w:rsidRDefault="001032D0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64" w:history="1">
            <w:r w:rsidR="008C17E7" w:rsidRPr="007F4421">
              <w:rPr>
                <w:rStyle w:val="Hypertextovodkaz"/>
                <w:caps/>
                <w:noProof/>
              </w:rPr>
              <w:t>6.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Management projektu a řízení lidských zdrojů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_Toc169252164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4670A5B5" w14:textId="78C6CBBB" w:rsidR="008C17E7" w:rsidRDefault="001032D0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65" w:history="1">
            <w:r w:rsidR="008C17E7" w:rsidRPr="007F4421">
              <w:rPr>
                <w:rStyle w:val="Hypertextovodkaz"/>
                <w:caps/>
                <w:noProof/>
              </w:rPr>
              <w:t>7.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Technické a technologické řešení projektu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_Toc169252165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6A91FB00" w14:textId="1E4470B5" w:rsidR="008C17E7" w:rsidRDefault="001032D0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66" w:history="1">
            <w:r w:rsidR="008C17E7" w:rsidRPr="007F4421">
              <w:rPr>
                <w:rStyle w:val="Hypertextovodkaz"/>
                <w:caps/>
                <w:noProof/>
              </w:rPr>
              <w:t>8.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FINANČNÍ ANALÝZA PROJEKTU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_Toc169252166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7D571E91" w14:textId="3D0EB750" w:rsidR="008C17E7" w:rsidRDefault="001032D0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67" w:history="1">
            <w:r w:rsidR="008C17E7" w:rsidRPr="007F4421">
              <w:rPr>
                <w:rStyle w:val="Hypertextovodkaz"/>
                <w:caps/>
                <w:noProof/>
              </w:rPr>
              <w:t>9.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Analýza a řízení rizik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_Toc169252167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123C8C47" w14:textId="77D0318A" w:rsidR="008C17E7" w:rsidRDefault="001032D0">
          <w:pPr>
            <w:pStyle w:val="Obsah1"/>
            <w:tabs>
              <w:tab w:val="left" w:pos="6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68" w:history="1">
            <w:r w:rsidR="008C17E7" w:rsidRPr="007F4421">
              <w:rPr>
                <w:rStyle w:val="Hypertextovodkaz"/>
                <w:noProof/>
              </w:rPr>
              <w:t>10.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udržitelnost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_Toc169252168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37DE2CFA" w14:textId="484C8C57" w:rsidR="008C17E7" w:rsidRDefault="001032D0">
          <w:pPr>
            <w:pStyle w:val="Obsah1"/>
            <w:tabs>
              <w:tab w:val="left" w:pos="6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69" w:history="1">
            <w:r w:rsidR="008C17E7" w:rsidRPr="007F4421">
              <w:rPr>
                <w:rStyle w:val="Hypertextovodkaz"/>
                <w:caps/>
                <w:noProof/>
              </w:rPr>
              <w:t>11.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Výstupy projektu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_Toc169252169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61703A9A" w14:textId="04DE7EE9" w:rsidR="008C17E7" w:rsidRDefault="001032D0">
          <w:pPr>
            <w:pStyle w:val="Obsah1"/>
            <w:tabs>
              <w:tab w:val="left" w:pos="6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70" w:history="1">
            <w:r w:rsidR="008C17E7" w:rsidRPr="007F4421">
              <w:rPr>
                <w:rStyle w:val="Hypertextovodkaz"/>
                <w:caps/>
                <w:noProof/>
              </w:rPr>
              <w:t>12.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caps/>
                <w:noProof/>
              </w:rPr>
              <w:t>Připravenost projektu k realizaci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_Toc169252170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2985003C" w14:textId="2629982F" w:rsidR="008C17E7" w:rsidRDefault="001032D0">
          <w:pPr>
            <w:pStyle w:val="Obsah1"/>
            <w:tabs>
              <w:tab w:val="left" w:pos="6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71" w:history="1">
            <w:r w:rsidR="008C17E7" w:rsidRPr="007F4421">
              <w:rPr>
                <w:rStyle w:val="Hypertextovodkaz"/>
                <w:noProof/>
              </w:rPr>
              <w:t>13.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noProof/>
              </w:rPr>
              <w:t>ANALÝZA ROZVOJE SOCIÁLNÍ SLUŽEB V MÍSTĚ REALIZACE PROJEKTU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_Toc169252171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6E66D2EA" w14:textId="75C0D59B" w:rsidR="008C17E7" w:rsidRDefault="001032D0">
          <w:pPr>
            <w:pStyle w:val="Obsah1"/>
            <w:tabs>
              <w:tab w:val="left" w:pos="66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69252172" w:history="1">
            <w:r w:rsidR="008C17E7" w:rsidRPr="007F4421">
              <w:rPr>
                <w:rStyle w:val="Hypertextovodkaz"/>
                <w:noProof/>
              </w:rPr>
              <w:t>14.</w:t>
            </w:r>
            <w:r w:rsidR="008C17E7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8C17E7" w:rsidRPr="007F4421">
              <w:rPr>
                <w:rStyle w:val="Hypertextovodkaz"/>
                <w:noProof/>
              </w:rPr>
              <w:t>PŘÍLOHY OSNOVY – vzory</w:t>
            </w:r>
            <w:r w:rsidR="008C17E7">
              <w:rPr>
                <w:noProof/>
                <w:webHidden/>
              </w:rPr>
              <w:tab/>
            </w:r>
            <w:r w:rsidR="008C17E7">
              <w:rPr>
                <w:noProof/>
                <w:webHidden/>
              </w:rPr>
              <w:fldChar w:fldCharType="begin"/>
            </w:r>
            <w:r w:rsidR="008C17E7">
              <w:rPr>
                <w:noProof/>
                <w:webHidden/>
              </w:rPr>
              <w:instrText xml:space="preserve"> PAGEREF _Toc169252172 \h </w:instrText>
            </w:r>
            <w:r w:rsidR="008C17E7">
              <w:rPr>
                <w:noProof/>
                <w:webHidden/>
              </w:rPr>
            </w:r>
            <w:r w:rsidR="008C17E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8C17E7">
              <w:rPr>
                <w:noProof/>
                <w:webHidden/>
              </w:rPr>
              <w:fldChar w:fldCharType="end"/>
            </w:r>
          </w:hyperlink>
        </w:p>
        <w:p w14:paraId="29624554" w14:textId="79B64208" w:rsidR="004D6B92" w:rsidRPr="001F2F4A" w:rsidRDefault="004D6B92">
          <w:pPr>
            <w:rPr>
              <w:b/>
              <w:bCs/>
            </w:rPr>
          </w:pPr>
          <w:r w:rsidRPr="00455E7A">
            <w:rPr>
              <w:b/>
              <w:bCs/>
              <w:color w:val="FF0000"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A874402" w:rsidR="001F2F4A" w:rsidRDefault="00455E7A" w:rsidP="00455E7A">
      <w:pPr>
        <w:tabs>
          <w:tab w:val="left" w:pos="8220"/>
        </w:tabs>
      </w:pPr>
      <w:r>
        <w:tab/>
      </w:r>
    </w:p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24E28">
      <w:pPr>
        <w:pStyle w:val="Nadpis1"/>
        <w:pageBreakBefore/>
        <w:numPr>
          <w:ilvl w:val="0"/>
          <w:numId w:val="4"/>
        </w:numPr>
        <w:ind w:left="641" w:hanging="357"/>
        <w:jc w:val="both"/>
        <w:rPr>
          <w:caps/>
        </w:rPr>
      </w:pPr>
      <w:bookmarkStart w:id="2" w:name="_Toc169252159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24E28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24E28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4A8E63D7" w:rsidR="0094653E" w:rsidRPr="00CF35EF" w:rsidRDefault="000506AC" w:rsidP="00124E28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 xml:space="preserve">Plán </w:t>
            </w:r>
            <w:r w:rsidR="0073069D" w:rsidRPr="00CF35EF">
              <w:t>cash</w:t>
            </w:r>
            <w:r w:rsidR="0073069D">
              <w:t xml:space="preserve"> – </w:t>
            </w:r>
            <w:proofErr w:type="spellStart"/>
            <w:r w:rsidR="0073069D">
              <w:t>flow</w:t>
            </w:r>
            <w:proofErr w:type="spellEnd"/>
            <w:r w:rsidRPr="00CF35EF">
              <w:t xml:space="preserve"> (v grafickém provedení)</w:t>
            </w:r>
            <w:r w:rsidR="0093414C">
              <w:t xml:space="preserve"> v realizaci projektu a plán </w:t>
            </w:r>
            <w:r w:rsidR="008673AC">
              <w:t xml:space="preserve">cash – </w:t>
            </w:r>
            <w:proofErr w:type="spellStart"/>
            <w:r w:rsidR="008673AC">
              <w:t>flow</w:t>
            </w:r>
            <w:proofErr w:type="spellEnd"/>
            <w:r w:rsidR="0093414C">
              <w:t xml:space="preserve"> pro celou dobu udržitelnosti projektu</w:t>
            </w:r>
          </w:p>
          <w:p w14:paraId="1CE94E13" w14:textId="6B427452" w:rsidR="00CF35EF" w:rsidRDefault="00CF35EF" w:rsidP="00124E28">
            <w:pPr>
              <w:pStyle w:val="Odstavecseseznamem"/>
              <w:numPr>
                <w:ilvl w:val="0"/>
                <w:numId w:val="2"/>
              </w:numPr>
              <w:ind w:left="427"/>
            </w:pPr>
            <w:r w:rsidRPr="00CF35EF">
              <w:t>Podrobný rozpočet projektu</w:t>
            </w:r>
          </w:p>
          <w:p w14:paraId="6F7563F3" w14:textId="59CBA0DF" w:rsidR="00DA1BA9" w:rsidRDefault="00DA1BA9" w:rsidP="00124E28">
            <w:pPr>
              <w:pStyle w:val="Odstavecseseznamem"/>
              <w:numPr>
                <w:ilvl w:val="0"/>
                <w:numId w:val="2"/>
              </w:numPr>
              <w:ind w:left="427"/>
            </w:pPr>
            <w:r>
              <w:t>Finanční rozvaha provozu sociální služby</w:t>
            </w:r>
            <w:r w:rsidR="00D2667A">
              <w:t xml:space="preserve"> pro jeden modelový rok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124E28">
      <w:pPr>
        <w:pStyle w:val="Nadpis1"/>
        <w:numPr>
          <w:ilvl w:val="0"/>
          <w:numId w:val="4"/>
        </w:numPr>
        <w:jc w:val="both"/>
        <w:rPr>
          <w:caps/>
        </w:rPr>
        <w:sectPr w:rsidR="006579AA" w:rsidSect="0014068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3" w:name="_Toc169252160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3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4" w:name="_Hlk83242594"/>
            <w:bookmarkStart w:id="5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Pr="00B2028E" w:rsidRDefault="001436D9" w:rsidP="002B36F6">
            <w:pPr>
              <w:tabs>
                <w:tab w:val="left" w:pos="0"/>
              </w:tabs>
            </w:pPr>
            <w:r w:rsidRPr="00B2028E"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tr w:rsidR="00DF55F2" w14:paraId="2846989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3010A2" w14:textId="72BB0AD4" w:rsidR="00DF55F2" w:rsidRPr="00B2028E" w:rsidRDefault="00DF55F2" w:rsidP="002B36F6">
            <w:pPr>
              <w:tabs>
                <w:tab w:val="left" w:pos="0"/>
              </w:tabs>
            </w:pPr>
            <w:r w:rsidRPr="00B2028E">
              <w:t>Kategorie podniku podle velikosti (malý, střední, velký)</w:t>
            </w:r>
            <w:r w:rsidR="00AD471F" w:rsidRPr="00B2028E">
              <w:rPr>
                <w:rStyle w:val="Znakapoznpodarou"/>
              </w:rPr>
              <w:footnoteReference w:id="2"/>
            </w:r>
            <w:r w:rsidRPr="00B2028E">
              <w:t xml:space="preserve"> </w:t>
            </w:r>
          </w:p>
        </w:tc>
        <w:tc>
          <w:tcPr>
            <w:tcW w:w="9384" w:type="dxa"/>
            <w:vAlign w:val="center"/>
          </w:tcPr>
          <w:p w14:paraId="25FAF99C" w14:textId="04EE931C" w:rsidR="00DF55F2" w:rsidRPr="000A1CB9" w:rsidRDefault="00DF55F2" w:rsidP="002B36F6">
            <w:pPr>
              <w:rPr>
                <w:i/>
                <w:iCs/>
              </w:rPr>
            </w:pPr>
            <w:r w:rsidRPr="000A1CB9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bookmarkEnd w:id="4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3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F9C6769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 xml:space="preserve">akcemi podobného rozsahu a jejich </w:t>
            </w:r>
            <w:r w:rsidRPr="00AB649D">
              <w:rPr>
                <w:i/>
                <w:sz w:val="20"/>
              </w:rPr>
              <w:lastRenderedPageBreak/>
              <w:t>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 xml:space="preserve">. Žadatel </w:t>
            </w:r>
            <w:proofErr w:type="gramStart"/>
            <w:r w:rsidR="002E1C41">
              <w:rPr>
                <w:i/>
                <w:sz w:val="20"/>
              </w:rPr>
              <w:t>doloží</w:t>
            </w:r>
            <w:proofErr w:type="gramEnd"/>
            <w:r w:rsidR="003A7FCE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>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projektů,</w:t>
            </w:r>
            <w:r w:rsidR="002E1C41">
              <w:rPr>
                <w:i/>
                <w:sz w:val="20"/>
              </w:rPr>
              <w:t xml:space="preserve"> příp.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t>o provedené stavbě</w:t>
            </w:r>
            <w:r w:rsidR="00D8393B"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 w:rsidR="00D8393B"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 w:rsidR="002E1C41"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</w:t>
            </w:r>
            <w:r w:rsidR="00D8393B">
              <w:rPr>
                <w:i/>
                <w:sz w:val="20"/>
              </w:rPr>
              <w:t>ž</w:t>
            </w:r>
            <w:r w:rsidR="002E1C41">
              <w:rPr>
                <w:i/>
                <w:sz w:val="20"/>
              </w:rPr>
              <w:t>í</w:t>
            </w:r>
            <w:r>
              <w:rPr>
                <w:i/>
                <w:sz w:val="20"/>
              </w:rPr>
              <w:t xml:space="preserve"> sml</w:t>
            </w:r>
            <w:r w:rsidR="002E1C41">
              <w:rPr>
                <w:i/>
                <w:sz w:val="20"/>
              </w:rPr>
              <w:t>ouvy</w:t>
            </w:r>
            <w:r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  <w:tr w:rsidR="0028499A" w14:paraId="42884293" w14:textId="77777777" w:rsidTr="001F0415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BB31E1" w14:textId="77777777" w:rsidR="0028499A" w:rsidRPr="00877C7F" w:rsidRDefault="0028499A" w:rsidP="001F0415">
            <w:pPr>
              <w:tabs>
                <w:tab w:val="left" w:pos="0"/>
              </w:tabs>
            </w:pPr>
            <w:r>
              <w:t>Režim financování (ex-post/kombinované ex-post) projektu</w:t>
            </w:r>
          </w:p>
        </w:tc>
        <w:tc>
          <w:tcPr>
            <w:tcW w:w="9384" w:type="dxa"/>
            <w:vAlign w:val="center"/>
          </w:tcPr>
          <w:p w14:paraId="07758552" w14:textId="1B6F771A" w:rsidR="0028499A" w:rsidRPr="00505099" w:rsidRDefault="0028499A" w:rsidP="001F0415">
            <w:pPr>
              <w:rPr>
                <w:i/>
                <w:iCs/>
              </w:rPr>
            </w:pPr>
            <w:r w:rsidRPr="00505099">
              <w:rPr>
                <w:i/>
                <w:iCs/>
              </w:rPr>
              <w:t xml:space="preserve">Žadatel </w:t>
            </w:r>
            <w:r>
              <w:rPr>
                <w:i/>
                <w:iCs/>
              </w:rPr>
              <w:t xml:space="preserve">spadající do tzv. neziskového sektoru </w:t>
            </w:r>
            <w:r w:rsidRPr="00505099">
              <w:rPr>
                <w:i/>
                <w:iCs/>
              </w:rPr>
              <w:t>uvádí zvolený režim financování. Žadatel spadající do tzv. veřejného sektoru vždy uvádí režim financování ex post.</w:t>
            </w:r>
          </w:p>
        </w:tc>
      </w:tr>
    </w:tbl>
    <w:p w14:paraId="27F9B620" w14:textId="5EF6B9A7" w:rsidR="009125DD" w:rsidRPr="009125DD" w:rsidRDefault="009125DD" w:rsidP="00877C7F">
      <w:bookmarkStart w:id="6" w:name="_Hlk83305628"/>
    </w:p>
    <w:p w14:paraId="26FAA70D" w14:textId="31A5F15E" w:rsidR="00B8276E" w:rsidRPr="004A323F" w:rsidRDefault="00B8276E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7" w:name="_Toc169252161"/>
      <w:bookmarkEnd w:id="5"/>
      <w:bookmarkEnd w:id="6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60B817CC" w:rsidR="002E7D07" w:rsidRDefault="00461931" w:rsidP="00F94C0C">
            <w:pPr>
              <w:tabs>
                <w:tab w:val="left" w:pos="0"/>
              </w:tabs>
            </w:pPr>
            <w:r>
              <w:t>Počet klientů, kterým je službou sociální prevence a odborného sociálního poradenství poskytována péče v době podání žádosti o podporu</w:t>
            </w:r>
            <w:r>
              <w:rPr>
                <w:rStyle w:val="Znakapoznpodarou"/>
              </w:rPr>
              <w:footnoteReference w:id="4"/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600F96" w:rsidRDefault="00600F96" w:rsidP="0093617D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28932C26" w:rsidR="00E6141E" w:rsidRDefault="00461931" w:rsidP="00F94C0C">
            <w:pPr>
              <w:tabs>
                <w:tab w:val="left" w:pos="0"/>
              </w:tabs>
            </w:pPr>
            <w:r>
              <w:t xml:space="preserve">Počet nově podpořených klientů díky rozšíření zázemí či výstavbě </w:t>
            </w:r>
            <w:r>
              <w:lastRenderedPageBreak/>
              <w:t>nového zázemí služeb sociální prevence a odborného sociálního poradenství</w:t>
            </w:r>
            <w:r>
              <w:rPr>
                <w:rStyle w:val="Znakapoznpodarou"/>
              </w:rPr>
              <w:footnoteReference w:id="5"/>
            </w:r>
          </w:p>
        </w:tc>
        <w:tc>
          <w:tcPr>
            <w:tcW w:w="9384" w:type="dxa"/>
            <w:vAlign w:val="center"/>
          </w:tcPr>
          <w:p w14:paraId="0863FE84" w14:textId="62B45ED1" w:rsidR="00E6141E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lastRenderedPageBreak/>
              <w:t>Je-li projektem řešeno více služeb, vyplňuje žadatel za každou službu zvlášť.</w:t>
            </w:r>
          </w:p>
        </w:tc>
      </w:tr>
      <w:tr w:rsidR="00A308D0" w14:paraId="490CBFF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31A76D" w14:textId="17B2AB57" w:rsidR="00A308D0" w:rsidRDefault="00A308D0" w:rsidP="00F94C0C">
            <w:pPr>
              <w:tabs>
                <w:tab w:val="left" w:pos="0"/>
              </w:tabs>
            </w:pPr>
            <w:r>
              <w:t>Celkový počet klientů po ukončení realizace projektu</w:t>
            </w:r>
          </w:p>
        </w:tc>
        <w:tc>
          <w:tcPr>
            <w:tcW w:w="9384" w:type="dxa"/>
            <w:vAlign w:val="center"/>
          </w:tcPr>
          <w:p w14:paraId="19F0E1A2" w14:textId="3CA651FE" w:rsidR="00A308D0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2536D33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ED419A3" w14:textId="4B2F3770" w:rsidR="00600F96" w:rsidRDefault="00600F96" w:rsidP="00F94C0C">
            <w:pPr>
              <w:tabs>
                <w:tab w:val="left" w:pos="0"/>
              </w:tabs>
            </w:pPr>
            <w:r>
              <w:t>Okamžitá kapacita podpořené služby v době podání žádosti o podporu.</w:t>
            </w:r>
          </w:p>
        </w:tc>
        <w:tc>
          <w:tcPr>
            <w:tcW w:w="9384" w:type="dxa"/>
            <w:vAlign w:val="center"/>
          </w:tcPr>
          <w:p w14:paraId="39E870A9" w14:textId="6D6E98A7" w:rsidR="00600F96" w:rsidRPr="00DE6DBB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600F96" w14:paraId="628A424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4F49EE" w14:textId="6F5BE8BC" w:rsidR="00600F96" w:rsidRDefault="00600F96" w:rsidP="00F94C0C">
            <w:pPr>
              <w:tabs>
                <w:tab w:val="left" w:pos="0"/>
              </w:tabs>
            </w:pPr>
            <w:r>
              <w:t>Okamžitá kapacita podpořené služby po realizaci projektu.</w:t>
            </w:r>
          </w:p>
        </w:tc>
        <w:tc>
          <w:tcPr>
            <w:tcW w:w="9384" w:type="dxa"/>
            <w:vAlign w:val="center"/>
          </w:tcPr>
          <w:p w14:paraId="54D3F5D1" w14:textId="37532892" w:rsidR="00600F96" w:rsidRPr="00600F96" w:rsidRDefault="00600F96" w:rsidP="00F94C0C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3BDAE6D4" w:rsidR="00BE42FC" w:rsidRPr="002E7D07" w:rsidRDefault="00461931" w:rsidP="00F94C0C">
            <w:pPr>
              <w:tabs>
                <w:tab w:val="left" w:pos="0"/>
              </w:tabs>
            </w:pPr>
            <w:r w:rsidRPr="002E7D07">
              <w:t>Projekt je v souladu s Národní strategií rozvoje sociálních služeb 2016–2025</w:t>
            </w:r>
            <w:r>
              <w:t>,</w:t>
            </w:r>
            <w:r w:rsidR="002D5318">
              <w:t xml:space="preserve"> případně</w:t>
            </w:r>
            <w:r>
              <w:t xml:space="preserve"> </w:t>
            </w:r>
            <w:r w:rsidRPr="00720A1E">
              <w:t>Střednědobý</w:t>
            </w:r>
            <w:r>
              <w:t>m</w:t>
            </w:r>
            <w:r w:rsidRPr="00720A1E">
              <w:t xml:space="preserve"> plán</w:t>
            </w:r>
            <w:r>
              <w:t>em</w:t>
            </w:r>
            <w:r w:rsidRPr="00720A1E">
              <w:t xml:space="preserve"> rozvoje sociálních služeb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F5C2A76" w:rsidR="00BE42FC" w:rsidRPr="00CC02A7" w:rsidRDefault="00461931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Uveďte ustanovení Národní strategie rozvoje sociálních služeb 2016–2025</w:t>
            </w:r>
            <w:r w:rsidRPr="00CC02A7">
              <w:rPr>
                <w:rFonts w:cstheme="minorHAnsi"/>
                <w:i/>
                <w:iCs/>
              </w:rPr>
              <w:t>,</w:t>
            </w:r>
            <w:r>
              <w:rPr>
                <w:rFonts w:cstheme="minorHAnsi"/>
                <w:i/>
                <w:iCs/>
              </w:rPr>
              <w:t xml:space="preserve"> případně ustanovení </w:t>
            </w:r>
            <w:r w:rsidRPr="004D03B1">
              <w:rPr>
                <w:rFonts w:cstheme="minorHAnsi"/>
                <w:i/>
                <w:iCs/>
              </w:rPr>
              <w:t>Střednědob</w:t>
            </w:r>
            <w:r>
              <w:rPr>
                <w:rFonts w:cstheme="minorHAnsi"/>
                <w:i/>
                <w:iCs/>
              </w:rPr>
              <w:t>ého</w:t>
            </w:r>
            <w:r w:rsidRPr="004D03B1">
              <w:rPr>
                <w:rFonts w:cstheme="minorHAnsi"/>
                <w:i/>
                <w:iCs/>
              </w:rPr>
              <w:t xml:space="preserve"> plán</w:t>
            </w:r>
            <w:r>
              <w:rPr>
                <w:rFonts w:cstheme="minorHAnsi"/>
                <w:i/>
                <w:iCs/>
              </w:rPr>
              <w:t>u</w:t>
            </w:r>
            <w:r w:rsidRPr="004D03B1">
              <w:rPr>
                <w:rFonts w:cstheme="minorHAnsi"/>
                <w:i/>
                <w:iCs/>
              </w:rPr>
              <w:t xml:space="preserve"> rozvoje sociálních služeb</w:t>
            </w:r>
            <w:r>
              <w:rPr>
                <w:rFonts w:cstheme="minorHAnsi"/>
                <w:i/>
                <w:iCs/>
              </w:rPr>
              <w:t>,</w:t>
            </w:r>
            <w:r w:rsidRPr="00CC02A7">
              <w:rPr>
                <w:rFonts w:cstheme="minorHAnsi"/>
                <w:i/>
                <w:iCs/>
              </w:rPr>
              <w:t xml:space="preserve"> na které je projekt, navázán.</w:t>
            </w:r>
          </w:p>
        </w:tc>
      </w:tr>
      <w:tr w:rsidR="002D5318" w14:paraId="0EFC221F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F8F74B" w14:textId="326A82B5" w:rsidR="002D5318" w:rsidRPr="002E7D07" w:rsidRDefault="002D5318" w:rsidP="00F94C0C">
            <w:pPr>
              <w:tabs>
                <w:tab w:val="left" w:pos="0"/>
              </w:tabs>
            </w:pPr>
            <w:r>
              <w:lastRenderedPageBreak/>
              <w:t xml:space="preserve">Projekt je v souladu se </w:t>
            </w:r>
            <w:r w:rsidRPr="002D5318">
              <w:t>Strategi</w:t>
            </w:r>
            <w:r w:rsidR="004E1A16">
              <w:t>í</w:t>
            </w:r>
            <w:r w:rsidRPr="002D5318">
              <w:t xml:space="preserve"> sociálního začleňování, </w:t>
            </w:r>
            <w:r>
              <w:t xml:space="preserve">případně </w:t>
            </w:r>
            <w:r w:rsidRPr="002D5318">
              <w:t>Plán</w:t>
            </w:r>
            <w:r>
              <w:t>em</w:t>
            </w:r>
            <w:r w:rsidRPr="002D5318">
              <w:t xml:space="preserve"> sociálního začleňování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933B038" w14:textId="6339E3F2" w:rsidR="002D5318" w:rsidRPr="00CC02A7" w:rsidRDefault="002D5318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</w:t>
            </w:r>
            <w:r w:rsidRPr="002D5318">
              <w:rPr>
                <w:i/>
                <w:iCs/>
              </w:rPr>
              <w:t>Strategick</w:t>
            </w:r>
            <w:r>
              <w:rPr>
                <w:i/>
                <w:iCs/>
              </w:rPr>
              <w:t>ého</w:t>
            </w:r>
            <w:r w:rsidRPr="002D5318">
              <w:rPr>
                <w:i/>
                <w:iCs/>
              </w:rPr>
              <w:t xml:space="preserve"> </w:t>
            </w:r>
            <w:r w:rsidRPr="00D022AB">
              <w:rPr>
                <w:i/>
                <w:iCs/>
              </w:rPr>
              <w:t>plánu sociálního začleňování,</w:t>
            </w:r>
            <w:r w:rsidR="004E1A16" w:rsidRPr="00D022AB">
              <w:rPr>
                <w:i/>
                <w:iCs/>
              </w:rPr>
              <w:t xml:space="preserve"> případně příslušného</w:t>
            </w:r>
            <w:r w:rsidRPr="00D022AB">
              <w:rPr>
                <w:i/>
                <w:iCs/>
              </w:rPr>
              <w:t xml:space="preserve"> Plánu sociálního začleňování</w:t>
            </w:r>
            <w:r w:rsidRPr="00D022AB">
              <w:rPr>
                <w:rFonts w:cstheme="minorHAnsi"/>
                <w:i/>
                <w:iCs/>
              </w:rPr>
              <w:t>, na které je projekt, navázán</w:t>
            </w:r>
            <w:r w:rsidR="00A36800" w:rsidRPr="00D022AB">
              <w:rPr>
                <w:rFonts w:cstheme="minorHAnsi"/>
                <w:i/>
                <w:iCs/>
              </w:rPr>
              <w:t>, jestliže se ho předmětné sociální služby týkají</w:t>
            </w:r>
            <w:r w:rsidRPr="00D022AB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3BC48430" w:rsidR="00BE42FC" w:rsidRPr="00CC02A7" w:rsidRDefault="00461931" w:rsidP="00F94C0C">
            <w:pPr>
              <w:rPr>
                <w:i/>
                <w:iCs/>
              </w:rPr>
            </w:pPr>
            <w:r>
              <w:rPr>
                <w:rFonts w:cstheme="minorHAnsi"/>
                <w:i/>
                <w:iCs/>
              </w:rPr>
              <w:t>P</w:t>
            </w:r>
            <w:r w:rsidRPr="00CC02A7">
              <w:rPr>
                <w:rFonts w:cstheme="minorHAnsi"/>
                <w:i/>
                <w:iCs/>
              </w:rPr>
              <w:t>opište detailně poskytov</w:t>
            </w:r>
            <w:r>
              <w:rPr>
                <w:rFonts w:cstheme="minorHAnsi"/>
                <w:i/>
                <w:iCs/>
              </w:rPr>
              <w:t>ání předmětné</w:t>
            </w:r>
            <w:r w:rsidRPr="00CC02A7">
              <w:rPr>
                <w:rFonts w:cstheme="minorHAnsi"/>
                <w:i/>
                <w:iCs/>
              </w:rPr>
              <w:t xml:space="preserve"> služby</w:t>
            </w:r>
            <w:r>
              <w:rPr>
                <w:rFonts w:cstheme="minorHAnsi"/>
                <w:i/>
                <w:iCs/>
              </w:rPr>
              <w:t>/předmětných služeb</w:t>
            </w:r>
            <w:r w:rsidRPr="00CC02A7">
              <w:rPr>
                <w:rFonts w:cstheme="minorHAnsi"/>
                <w:i/>
                <w:iCs/>
              </w:rPr>
              <w:t xml:space="preserve"> dle </w:t>
            </w:r>
            <w:r w:rsidRPr="00CC02A7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1646CED8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Uveďte, zda přikládáte souhlasné stanovisko subjektu, který</w:t>
            </w:r>
            <w:r w:rsidR="002D7D79">
              <w:rPr>
                <w:i/>
                <w:iCs/>
              </w:rPr>
              <w:t xml:space="preserve"> vydal</w:t>
            </w:r>
            <w:r w:rsidRPr="00CC02A7">
              <w:rPr>
                <w:i/>
                <w:iCs/>
              </w:rPr>
              <w:t xml:space="preserve">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2B13D45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Seznam poskytovatelů SOHZ</w:t>
            </w:r>
            <w:r w:rsidRPr="002E7D07">
              <w:t>, na které bude převedena výhoda z poskytnuté dotace</w:t>
            </w:r>
            <w:r w:rsidR="00461931">
              <w:rPr>
                <w:rStyle w:val="Znakapoznpodarou"/>
              </w:rPr>
              <w:footnoteReference w:id="6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68C71561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7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E7D07">
              <w:rPr>
                <w:rFonts w:cstheme="minorHAnsi"/>
              </w:rPr>
              <w:t>Popis způsobu zajištění vydání následného Pověření k výkonu SOHZ</w:t>
            </w:r>
            <w:r w:rsidRPr="002E7D07">
              <w:rPr>
                <w:rStyle w:val="Znakapoznpodarou"/>
                <w:rFonts w:cstheme="minorHAnsi"/>
              </w:rPr>
              <w:footnoteReference w:id="8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lastRenderedPageBreak/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8" w:name="_Toc169252162"/>
      <w:r w:rsidRPr="005B64B6">
        <w:rPr>
          <w:caps/>
        </w:rPr>
        <w:t>ZDŮVODNĚNÍ POTŘEBNOSTI REALIZACE PROJEKTU</w:t>
      </w:r>
      <w:bookmarkEnd w:id="8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596C2" w14:textId="77777777" w:rsidR="00096CF6" w:rsidRDefault="00096CF6" w:rsidP="001D0367">
            <w:pPr>
              <w:jc w:val="both"/>
            </w:pPr>
            <w:r>
              <w:t>Zdůvodnění, proč je potřeba realizovat projektové aktivity pro zvolenou cílovou skupinu projektu.</w:t>
            </w:r>
          </w:p>
          <w:p w14:paraId="4180805E" w14:textId="54A2E7F5" w:rsidR="0093617D" w:rsidRDefault="0093617D" w:rsidP="0093617D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0C06D7C2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1952B8AF" w:rsidR="0093617D" w:rsidRPr="002D7D79" w:rsidRDefault="002221C5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Žadatel popíše, že projekt a jeho cíle jsou v souladu se strategickými záměry/dokumenty obce</w:t>
            </w:r>
            <w:r w:rsidR="002D7D79">
              <w:rPr>
                <w:i/>
                <w:iCs/>
              </w:rPr>
              <w:t>, kde je projekt realizován</w:t>
            </w:r>
            <w:r>
              <w:rPr>
                <w:i/>
                <w:iCs/>
              </w:rPr>
              <w:t>.</w:t>
            </w:r>
          </w:p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lastRenderedPageBreak/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9" w:name="_Toc169252163"/>
      <w:r w:rsidRPr="004A323F">
        <w:rPr>
          <w:caps/>
        </w:rPr>
        <w:t>Podrobný popis projektu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9"/>
            </w:r>
            <w:r w:rsidR="00963DB7" w:rsidRPr="00963DB7">
              <w:t xml:space="preserve">, kterou má projekt řešit, </w:t>
            </w:r>
            <w:r w:rsidR="00963DB7">
              <w:t xml:space="preserve">identifikace a 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10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lastRenderedPageBreak/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2D7D79">
        <w:trPr>
          <w:trHeight w:val="410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04209C90" w:rsidR="00C54E3E" w:rsidRDefault="001600DB" w:rsidP="002267C4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124E28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124E28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124E28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124E28">
            <w:pPr>
              <w:pStyle w:val="Odstavecseseznamem"/>
              <w:numPr>
                <w:ilvl w:val="0"/>
                <w:numId w:val="3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6A4B77F3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</w:t>
            </w:r>
            <w:r w:rsidR="004227BF">
              <w:rPr>
                <w:i/>
                <w:iCs/>
              </w:rPr>
              <w:t>pozitivní</w:t>
            </w:r>
            <w:r w:rsidRPr="00CC02A7">
              <w:rPr>
                <w:i/>
                <w:iCs/>
              </w:rPr>
              <w:t xml:space="preserve"> vliv projektu na </w:t>
            </w:r>
            <w:r w:rsidR="004227BF">
              <w:rPr>
                <w:i/>
                <w:iCs/>
              </w:rPr>
              <w:t>udržitelný rozvoj</w:t>
            </w:r>
            <w:r w:rsidRPr="00CC02A7">
              <w:rPr>
                <w:i/>
                <w:iCs/>
              </w:rPr>
              <w:t xml:space="preserve"> a na rovné příležitosti a nediskriminace</w:t>
            </w:r>
            <w:r w:rsidR="002267C4">
              <w:rPr>
                <w:i/>
                <w:iCs/>
              </w:rPr>
              <w:t xml:space="preserve">. Dále popíše u horizontálního principu </w:t>
            </w:r>
            <w:r w:rsidR="002267C4" w:rsidRPr="00CC02A7">
              <w:rPr>
                <w:i/>
                <w:iCs/>
              </w:rPr>
              <w:t>rovnost mezi muži a ženami</w:t>
            </w:r>
            <w:r w:rsidR="002267C4">
              <w:rPr>
                <w:i/>
                <w:iCs/>
              </w:rPr>
              <w:t>, že vliv projektu je neutrální.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2D7D79">
        <w:trPr>
          <w:trHeight w:val="156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0D4F8853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22A78E9F" w14:textId="2D1D7ED8" w:rsidR="00B65188" w:rsidRDefault="002267C4" w:rsidP="002D7D7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Žadatel popíše, ja</w:t>
            </w:r>
            <w:r w:rsidR="00A45B2C">
              <w:rPr>
                <w:i/>
                <w:iCs/>
              </w:rPr>
              <w:t>ká opatření budou provedena ve vztahu k jednotlivým cílům zásady DNSH („významně nepoškozovat“)</w:t>
            </w:r>
            <w:r w:rsidR="00B65188">
              <w:rPr>
                <w:i/>
                <w:iCs/>
              </w:rPr>
              <w:t xml:space="preserve">. </w:t>
            </w:r>
          </w:p>
          <w:p w14:paraId="33FB9F63" w14:textId="2CC41194" w:rsidR="00E80145" w:rsidRDefault="00E80145" w:rsidP="002D7D79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Ž</w:t>
            </w:r>
            <w:r w:rsidR="00B65188">
              <w:rPr>
                <w:i/>
                <w:iCs/>
              </w:rPr>
              <w:t xml:space="preserve">adatel popíše, </w:t>
            </w:r>
            <w:r>
              <w:rPr>
                <w:i/>
                <w:iCs/>
              </w:rPr>
              <w:t xml:space="preserve">že předkládaný projekt a jeho aktivity nepovedou k porušení žádného z cílů zásady DNSH. </w:t>
            </w:r>
            <w:r w:rsidR="00AB34EE">
              <w:rPr>
                <w:i/>
                <w:iCs/>
              </w:rPr>
              <w:t xml:space="preserve">Dále popíše i </w:t>
            </w:r>
            <w:r w:rsidR="00DA4951">
              <w:rPr>
                <w:i/>
                <w:iCs/>
              </w:rPr>
              <w:t>konkrétní opatření, kterými budou dodrženy s ohledem na požadavky stanovené Výzvou a jejími pravidly.</w:t>
            </w:r>
          </w:p>
          <w:p w14:paraId="2E04573A" w14:textId="236997EF" w:rsidR="00E80145" w:rsidRPr="002D7D79" w:rsidRDefault="00E80145" w:rsidP="002D7D79">
            <w:pPr>
              <w:spacing w:after="120"/>
              <w:rPr>
                <w:i/>
                <w:iCs/>
              </w:rPr>
            </w:pPr>
            <w:r w:rsidRPr="00D022AB">
              <w:rPr>
                <w:i/>
                <w:iCs/>
              </w:rPr>
              <w:t>Podrobnější informace k</w:t>
            </w:r>
            <w:r w:rsidR="00DA4951" w:rsidRPr="00D022AB">
              <w:rPr>
                <w:i/>
                <w:iCs/>
              </w:rPr>
              <w:t> naplňování</w:t>
            </w:r>
            <w:r w:rsidRPr="00D022AB">
              <w:rPr>
                <w:i/>
                <w:iCs/>
              </w:rPr>
              <w:t xml:space="preserve"> jednotlivým cílům zásady DNSH </w:t>
            </w:r>
            <w:r w:rsidR="00DA4951" w:rsidRPr="00D022AB">
              <w:rPr>
                <w:i/>
                <w:iCs/>
              </w:rPr>
              <w:t xml:space="preserve">lze nalézt </w:t>
            </w:r>
            <w:r w:rsidRPr="00D022AB">
              <w:rPr>
                <w:i/>
                <w:iCs/>
              </w:rPr>
              <w:t>v</w:t>
            </w:r>
            <w:r w:rsidR="00DA4951" w:rsidRPr="00D022AB">
              <w:rPr>
                <w:i/>
                <w:iCs/>
              </w:rPr>
              <w:t> kap. 2.4 Specifických pravidel a v</w:t>
            </w:r>
            <w:r w:rsidRPr="00D022AB">
              <w:rPr>
                <w:i/>
                <w:iCs/>
              </w:rPr>
              <w:t> příloze č. 18 Obecných pravidel.</w:t>
            </w:r>
          </w:p>
        </w:tc>
      </w:tr>
      <w:tr w:rsidR="002267C4" w14:paraId="1655146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2B6C96" w14:textId="12ABC45E" w:rsidR="002267C4" w:rsidRPr="00551DFC" w:rsidRDefault="002267C4" w:rsidP="002267C4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DNSH do zadávací dokumentace k VZ</w:t>
            </w:r>
          </w:p>
        </w:tc>
        <w:tc>
          <w:tcPr>
            <w:tcW w:w="9384" w:type="dxa"/>
            <w:vAlign w:val="center"/>
          </w:tcPr>
          <w:p w14:paraId="52F183AB" w14:textId="629903D7" w:rsidR="002267C4" w:rsidRPr="00500FB2" w:rsidRDefault="002267C4" w:rsidP="002267C4">
            <w:r w:rsidRPr="00E96CC3">
              <w:rPr>
                <w:i/>
                <w:iCs/>
              </w:rPr>
              <w:t>Popište, jak bude princip DNSH promítnut do zadávací dokumentace k</w:t>
            </w:r>
            <w:r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>
              <w:rPr>
                <w:i/>
                <w:iCs/>
              </w:rPr>
              <w:t>.</w:t>
            </w:r>
          </w:p>
        </w:tc>
      </w:tr>
      <w:tr w:rsidR="002267C4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1337DEE9" w:rsidR="002267C4" w:rsidRDefault="002267C4" w:rsidP="002267C4">
            <w:r w:rsidRPr="00715FE0">
              <w:rPr>
                <w:b/>
                <w:bCs/>
              </w:rPr>
              <w:t>Popis nezbytných povolovacích a schvalovacích řízení</w:t>
            </w:r>
            <w:r>
              <w:t xml:space="preserve">, které vyplývají z navrženého řešení (např. schvalování statutárním </w:t>
            </w:r>
            <w:r>
              <w:lastRenderedPageBreak/>
              <w:t>orgánem žadatele, vyřešení majetkoprávních vztahů, stavební řízení</w:t>
            </w:r>
            <w:r w:rsidR="000408E3">
              <w:rPr>
                <w:rStyle w:val="Znakapoznpodarou"/>
              </w:rPr>
              <w:footnoteReference w:id="11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2267C4" w:rsidRPr="00500FB2" w:rsidRDefault="002267C4" w:rsidP="002267C4"/>
        </w:tc>
      </w:tr>
      <w:tr w:rsidR="002267C4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2267C4" w:rsidRPr="00715FE0" w:rsidRDefault="002267C4" w:rsidP="002267C4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1B8BF143" w:rsidR="002267C4" w:rsidRDefault="002267C4" w:rsidP="002267C4">
            <w:r>
              <w:t>(např. stav řešení majetkoprávních vztahů, připravenost stavební dokumentace, dokumentace k ostatním aktivitám, dokumentace k zadávacím</w:t>
            </w:r>
            <w:r>
              <w:br/>
              <w:t xml:space="preserve"> a výběrovým řízením, fáze realizace výběrového řízení a výběru dodavatele, stav povolovacích řízení, zahájení prací atp.)</w:t>
            </w:r>
          </w:p>
        </w:tc>
        <w:tc>
          <w:tcPr>
            <w:tcW w:w="9384" w:type="dxa"/>
            <w:vAlign w:val="center"/>
          </w:tcPr>
          <w:p w14:paraId="70FF7AAC" w14:textId="77777777" w:rsidR="002267C4" w:rsidRPr="00500FB2" w:rsidRDefault="002267C4" w:rsidP="002267C4"/>
        </w:tc>
      </w:tr>
      <w:tr w:rsidR="002267C4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2267C4" w:rsidRPr="00551DFC" w:rsidRDefault="002267C4" w:rsidP="002267C4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2267C4" w:rsidRPr="00551DFC" w:rsidRDefault="002267C4" w:rsidP="002267C4">
            <w:r w:rsidRPr="00551DFC">
              <w:t>Pro každou jednotlivou</w:t>
            </w:r>
            <w:r>
              <w:t xml:space="preserve"> zakázku</w:t>
            </w:r>
            <w:r w:rsidRPr="00551DFC">
              <w:t xml:space="preserve"> uvést:</w:t>
            </w:r>
          </w:p>
          <w:p w14:paraId="6A6F92FA" w14:textId="77777777" w:rsidR="002267C4" w:rsidRPr="00551DFC" w:rsidRDefault="002267C4" w:rsidP="002267C4">
            <w:r w:rsidRPr="00551DFC">
              <w:t xml:space="preserve">- předmět, druh VZ, - předpokládanou hodnotu, </w:t>
            </w:r>
          </w:p>
          <w:p w14:paraId="0700CC1A" w14:textId="55666479" w:rsidR="002267C4" w:rsidRPr="00715FE0" w:rsidRDefault="002267C4" w:rsidP="002267C4">
            <w:pPr>
              <w:rPr>
                <w:b/>
                <w:bCs/>
              </w:rPr>
            </w:pPr>
            <w:r w:rsidRPr="00551DFC">
              <w:t xml:space="preserve">- pokud je smlouva již uzavřena, pak název dodavatele, subdodavatele, adresu sídla, IČ, </w:t>
            </w:r>
            <w:r w:rsidRPr="00551DFC">
              <w:lastRenderedPageBreak/>
              <w:t>vlastnickou strukturu,</w:t>
            </w:r>
            <w:r w:rsidRPr="00551DFC">
              <w:rPr>
                <w:rStyle w:val="Znakapoznpodarou"/>
              </w:rPr>
              <w:footnoteReference w:id="12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2267C4" w:rsidRPr="00500FB2" w:rsidRDefault="002267C4" w:rsidP="002267C4"/>
        </w:tc>
      </w:tr>
      <w:tr w:rsidR="002267C4" w14:paraId="4EEDB2A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25BD00" w14:textId="191B8232" w:rsidR="002267C4" w:rsidRPr="00551DFC" w:rsidRDefault="002267C4" w:rsidP="002267C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Popis </w:t>
            </w:r>
            <w:bookmarkStart w:id="11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 propagačních nástroj</w:t>
            </w:r>
            <w:bookmarkEnd w:id="11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9384" w:type="dxa"/>
            <w:vAlign w:val="center"/>
          </w:tcPr>
          <w:p w14:paraId="6ED07A38" w14:textId="39A28291" w:rsidR="002267C4" w:rsidRPr="00BB0D26" w:rsidRDefault="002267C4" w:rsidP="002267C4">
            <w:pPr>
              <w:rPr>
                <w:i/>
                <w:iCs/>
              </w:rPr>
            </w:pPr>
            <w:r w:rsidRPr="00BB0D26">
              <w:rPr>
                <w:i/>
                <w:iCs/>
              </w:rPr>
              <w:t>Žadatel popíše, jaké prvky publicity byly pro projekt zvoleny (</w:t>
            </w:r>
            <w:r w:rsidR="004A60E2">
              <w:rPr>
                <w:i/>
                <w:iCs/>
              </w:rPr>
              <w:t xml:space="preserve">blíže v </w:t>
            </w:r>
            <w:r w:rsidRPr="00BB0D26">
              <w:rPr>
                <w:i/>
                <w:iCs/>
              </w:rPr>
              <w:t>kap. 10 Obecných pravidel pro žadatele a příjemce)</w:t>
            </w:r>
            <w:r w:rsidR="004A60E2">
              <w:rPr>
                <w:i/>
                <w:iCs/>
              </w:rPr>
              <w:t>.</w:t>
            </w:r>
          </w:p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616F3954" w:rsidR="003E5259" w:rsidRDefault="00B75D6F" w:rsidP="00884655">
            <w:pPr>
              <w:tabs>
                <w:tab w:val="left" w:pos="0"/>
              </w:tabs>
            </w:pPr>
            <w:bookmarkStart w:id="12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roční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0408E3">
              <w:rPr>
                <w:rStyle w:val="Znakapoznpodarou"/>
              </w:rPr>
              <w:footnoteReference w:id="13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3" w:name="_Hlk83289182"/>
            <w:bookmarkEnd w:id="12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3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4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</w:t>
            </w:r>
            <w:r w:rsidR="00884655">
              <w:rPr>
                <w:bCs/>
              </w:rPr>
              <w:lastRenderedPageBreak/>
              <w:t>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lastRenderedPageBreak/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4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4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5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6E76511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  <w:r w:rsidR="005C19FC">
              <w:rPr>
                <w:rFonts w:cstheme="minorHAnsi"/>
                <w:bCs/>
              </w:rPr>
              <w:t>/povolení záměru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8328AF2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  <w:r w:rsidR="005C19FC">
              <w:rPr>
                <w:rFonts w:cstheme="minorHAnsi"/>
                <w:bCs/>
              </w:rPr>
              <w:t>/povolení stavebního záměru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15" w:name="_Toc169252164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lidských zdrojů</w:t>
      </w:r>
      <w:bookmarkEnd w:id="15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2F73D8F" w:rsidR="005E5868" w:rsidRDefault="005E5868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16" w:name="_Toc169252165"/>
      <w:r w:rsidRPr="004A323F">
        <w:rPr>
          <w:caps/>
        </w:rPr>
        <w:t>Technické a technologické řešení projektu</w:t>
      </w:r>
      <w:r w:rsidR="000408E3">
        <w:rPr>
          <w:rStyle w:val="Znakapoznpodarou"/>
          <w:caps/>
        </w:rPr>
        <w:footnoteReference w:id="16"/>
      </w:r>
      <w:bookmarkEnd w:id="16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lastRenderedPageBreak/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18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18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lastRenderedPageBreak/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7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8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9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646ED5">
              <w:rPr>
                <w:rStyle w:val="Znakapoznpodarou"/>
              </w:rPr>
              <w:footnoteReference w:id="20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lastRenderedPageBreak/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21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19" w:name="_Toc169252166"/>
      <w:r>
        <w:rPr>
          <w:caps/>
        </w:rPr>
        <w:t>FINANČNÍ ANALÝZA PROJEKTU</w:t>
      </w:r>
      <w:bookmarkEnd w:id="1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7B6D8" w14:textId="77777777" w:rsidR="006673A0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  <w:p w14:paraId="2E419B58" w14:textId="34676D72" w:rsidR="00917A54" w:rsidRPr="00C140AA" w:rsidRDefault="00917A54" w:rsidP="00DB0C68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Z toho: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917A54" w:rsidRPr="00884655" w14:paraId="493CE29E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618A837F" w14:textId="0BCD8809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22"/>
            </w:r>
          </w:p>
        </w:tc>
        <w:tc>
          <w:tcPr>
            <w:tcW w:w="9384" w:type="dxa"/>
          </w:tcPr>
          <w:p w14:paraId="19E38A49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647570FF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14A85D1E" w14:textId="7FD6496A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Neinvestiční prostředky připadající na výši podpory z RRF</w:t>
            </w:r>
          </w:p>
        </w:tc>
        <w:tc>
          <w:tcPr>
            <w:tcW w:w="9384" w:type="dxa"/>
          </w:tcPr>
          <w:p w14:paraId="1A08F396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36A7EC31" w14:textId="77777777" w:rsidTr="007461FB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3DC841B3" w14:textId="5ACB73FF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lastRenderedPageBreak/>
              <w:t>investiční prostředky připadající na výši podpory z RRF</w:t>
            </w:r>
          </w:p>
        </w:tc>
        <w:tc>
          <w:tcPr>
            <w:tcW w:w="9384" w:type="dxa"/>
          </w:tcPr>
          <w:p w14:paraId="468D52A2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7D4FB55B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5CA39" w14:textId="4A2DEDA7" w:rsidR="00917A54" w:rsidRPr="00C140AA" w:rsidRDefault="00917A54" w:rsidP="00917A54">
            <w:p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t>Výše podpory ze SR (způsobilá výše DPH)</w:t>
            </w:r>
          </w:p>
        </w:tc>
        <w:tc>
          <w:tcPr>
            <w:tcW w:w="9384" w:type="dxa"/>
            <w:vAlign w:val="center"/>
          </w:tcPr>
          <w:p w14:paraId="155BC98C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5CD67344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7F4DE9" w14:textId="4D1BB878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Neinvestiční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27DCCDF8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917A54" w:rsidRPr="00884655" w14:paraId="20508E1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8A772C1" w14:textId="6D1B779C" w:rsidR="00917A54" w:rsidRPr="007439B6" w:rsidRDefault="00917A54" w:rsidP="00917A54">
            <w:pPr>
              <w:spacing w:before="120" w:after="120"/>
              <w:rPr>
                <w:rFonts w:eastAsia="Arial" w:cstheme="minorHAnsi"/>
                <w:b/>
                <w:bCs/>
                <w:snapToGrid w:val="0"/>
              </w:rPr>
            </w:pPr>
            <w:r w:rsidRPr="00650AAD">
              <w:rPr>
                <w:rFonts w:eastAsia="Arial" w:cstheme="minorHAnsi"/>
                <w:snapToGrid w:val="0"/>
              </w:rPr>
              <w:t>Investiční prostředky</w:t>
            </w:r>
            <w:r>
              <w:rPr>
                <w:rFonts w:eastAsia="Arial" w:cstheme="minorHAnsi"/>
                <w:snapToGrid w:val="0"/>
              </w:rPr>
              <w:t xml:space="preserve"> připadající na výši podpory ze SR</w:t>
            </w:r>
          </w:p>
        </w:tc>
        <w:tc>
          <w:tcPr>
            <w:tcW w:w="9384" w:type="dxa"/>
            <w:vAlign w:val="center"/>
          </w:tcPr>
          <w:p w14:paraId="1AEA0F10" w14:textId="77777777" w:rsidR="00917A54" w:rsidRPr="00884655" w:rsidRDefault="00917A54" w:rsidP="00917A54">
            <w:pPr>
              <w:rPr>
                <w:sz w:val="24"/>
                <w:szCs w:val="24"/>
              </w:rPr>
            </w:pPr>
          </w:p>
        </w:tc>
      </w:tr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2015BF5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</w:p>
        </w:tc>
        <w:tc>
          <w:tcPr>
            <w:tcW w:w="9384" w:type="dxa"/>
            <w:vAlign w:val="center"/>
          </w:tcPr>
          <w:p w14:paraId="23857551" w14:textId="77777777" w:rsidR="004B689F" w:rsidRPr="00F31D3B" w:rsidRDefault="004B689F" w:rsidP="004B689F">
            <w:r w:rsidRPr="00F31D3B">
              <w:t xml:space="preserve">Stanovení </w:t>
            </w:r>
            <w:r>
              <w:t xml:space="preserve">rozpočtovaných </w:t>
            </w:r>
            <w:r w:rsidRPr="00F31D3B">
              <w:t>cen dodávek a služeb plánovaných v projektu:</w:t>
            </w:r>
          </w:p>
          <w:p w14:paraId="51F2640A" w14:textId="77777777" w:rsidR="004B689F" w:rsidRPr="00F31D3B" w:rsidRDefault="004B689F" w:rsidP="004B689F"/>
          <w:p w14:paraId="5AF4B5A3" w14:textId="77777777" w:rsidR="004B689F" w:rsidRDefault="004B689F" w:rsidP="00124E28">
            <w:pPr>
              <w:pStyle w:val="Odstavecseseznamem"/>
              <w:numPr>
                <w:ilvl w:val="0"/>
                <w:numId w:val="9"/>
              </w:numPr>
            </w:pPr>
            <w:r w:rsidRPr="00F31D3B">
              <w:t>Pokud ještě nebyla vysoutěžena VZ,</w:t>
            </w:r>
            <w:r>
              <w:t xml:space="preserve"> </w:t>
            </w:r>
            <w:r w:rsidRPr="00F31D3B">
              <w:t xml:space="preserve">vyplní žadatel </w:t>
            </w:r>
            <w:r w:rsidRPr="003545E1">
              <w:t xml:space="preserve">předpokládané ceny vybavení/majetku/služeb do </w:t>
            </w:r>
            <w:r w:rsidRPr="00F31D3B">
              <w:t>následující tabulk</w:t>
            </w:r>
            <w:r w:rsidRPr="003545E1">
              <w:t>y</w:t>
            </w:r>
            <w:r>
              <w:t xml:space="preserve"> na základě informací získaných:</w:t>
            </w:r>
          </w:p>
          <w:p w14:paraId="78E91E87" w14:textId="77777777" w:rsidR="004B689F" w:rsidRDefault="004B689F" w:rsidP="00124E28">
            <w:pPr>
              <w:pStyle w:val="Odstavecseseznamem"/>
              <w:numPr>
                <w:ilvl w:val="0"/>
                <w:numId w:val="10"/>
              </w:numPr>
            </w:pPr>
            <w:r>
              <w:t>průzkumem trhu, oslovením minimálně 2 dodavatelů,</w:t>
            </w:r>
          </w:p>
          <w:p w14:paraId="22452BF6" w14:textId="77777777" w:rsidR="004B689F" w:rsidRDefault="004B689F" w:rsidP="00124E28">
            <w:pPr>
              <w:pStyle w:val="Odstavecseseznamem"/>
              <w:numPr>
                <w:ilvl w:val="0"/>
                <w:numId w:val="10"/>
              </w:numPr>
            </w:pPr>
            <w:r>
              <w:t>z ceníků volně dostupných na internetu (min. 2),</w:t>
            </w:r>
          </w:p>
          <w:p w14:paraId="52B44D37" w14:textId="77777777" w:rsidR="004B689F" w:rsidRDefault="004B689F" w:rsidP="00124E28">
            <w:pPr>
              <w:pStyle w:val="Odstavecseseznamem"/>
              <w:numPr>
                <w:ilvl w:val="0"/>
                <w:numId w:val="10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6A031071" w14:textId="77777777" w:rsidR="004B689F" w:rsidRDefault="004B689F" w:rsidP="00124E28">
            <w:pPr>
              <w:pStyle w:val="Odstavecseseznamem"/>
              <w:numPr>
                <w:ilvl w:val="0"/>
                <w:numId w:val="10"/>
              </w:numPr>
            </w:pPr>
            <w:r>
              <w:t>jiným vhodným způsobem,</w:t>
            </w:r>
          </w:p>
          <w:p w14:paraId="129ABA9C" w14:textId="77777777" w:rsidR="004B689F" w:rsidRPr="00F31D3B" w:rsidRDefault="004B689F" w:rsidP="00124E28">
            <w:pPr>
              <w:pStyle w:val="Odstavecseseznamem"/>
              <w:numPr>
                <w:ilvl w:val="0"/>
                <w:numId w:val="10"/>
              </w:numPr>
            </w:pPr>
            <w:r>
              <w:t>doloženým znaleckým posudkem, který není starší šesti měsíců před datem registrace žádosti o podporu.</w:t>
            </w:r>
          </w:p>
          <w:p w14:paraId="54F5BA4D" w14:textId="77777777" w:rsidR="004B689F" w:rsidRPr="00F31D3B" w:rsidRDefault="004B689F" w:rsidP="004B689F">
            <w:pPr>
              <w:rPr>
                <w:b/>
                <w:bCs/>
              </w:rPr>
            </w:pPr>
          </w:p>
          <w:p w14:paraId="71F90EAF" w14:textId="77777777" w:rsidR="004B689F" w:rsidRPr="002D7D79" w:rsidRDefault="004B689F" w:rsidP="004B689F">
            <w:pPr>
              <w:rPr>
                <w:b/>
                <w:bCs/>
              </w:rPr>
            </w:pPr>
            <w:r w:rsidRPr="00F31D3B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F31D3B">
              <w:t xml:space="preserve"> </w:t>
            </w:r>
            <w:r w:rsidRPr="002D7D79">
              <w:rPr>
                <w:b/>
                <w:bCs/>
              </w:rPr>
              <w:t>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4B689F" w:rsidRPr="003545E1" w14:paraId="6665DD2B" w14:textId="77777777" w:rsidTr="0059494B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AB5534B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lastRenderedPageBreak/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1949710A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31824BCC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6EA2AFAB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723A15CD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39633BDB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2EFC0711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F31D3B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15A7EE18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4B689F" w:rsidRPr="003545E1" w14:paraId="20EE2265" w14:textId="77777777" w:rsidTr="0059494B">
              <w:trPr>
                <w:jc w:val="center"/>
              </w:trPr>
              <w:tc>
                <w:tcPr>
                  <w:tcW w:w="1126" w:type="dxa"/>
                </w:tcPr>
                <w:p w14:paraId="6CE29B47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4C6BD8C5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6067DFA5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BFBB43B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523DF581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E0026F0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56E28D31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4C4F7FFE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</w:tr>
            <w:tr w:rsidR="004B689F" w:rsidRPr="003545E1" w14:paraId="3CF9CAEE" w14:textId="77777777" w:rsidTr="0059494B">
              <w:trPr>
                <w:jc w:val="center"/>
              </w:trPr>
              <w:tc>
                <w:tcPr>
                  <w:tcW w:w="1126" w:type="dxa"/>
                </w:tcPr>
                <w:p w14:paraId="6AAA3E7A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202BBA98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48A21EC1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E829B2C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43879E48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44D00BF2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7C6709F1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17F56A40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540C7921" w14:textId="77777777" w:rsidR="004B689F" w:rsidRPr="00F31D3B" w:rsidRDefault="004B689F" w:rsidP="004B689F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7D8FB85B" w14:textId="77777777" w:rsidR="004B689F" w:rsidRPr="00F31D3B" w:rsidRDefault="004B689F" w:rsidP="004B689F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1) </w:t>
            </w:r>
            <w:r w:rsidRPr="00F31D3B">
              <w:rPr>
                <w:rFonts w:cstheme="minorHAnsi"/>
              </w:rPr>
              <w:t>název dodavatele, adresa ceníku, jméno experta, …</w:t>
            </w:r>
          </w:p>
          <w:p w14:paraId="0DA0854E" w14:textId="77777777" w:rsidR="004B689F" w:rsidRPr="00F31D3B" w:rsidRDefault="004B689F" w:rsidP="004B689F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>2)</w:t>
            </w:r>
            <w:r w:rsidRPr="00F31D3B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6226B9C1" w14:textId="77777777" w:rsidR="004B689F" w:rsidRPr="00F31D3B" w:rsidRDefault="004B689F" w:rsidP="004B689F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F31D3B">
              <w:rPr>
                <w:rFonts w:cstheme="minorHAnsi"/>
                <w:vertAlign w:val="superscript"/>
              </w:rPr>
              <w:t xml:space="preserve">3) </w:t>
            </w:r>
            <w:r w:rsidRPr="00F31D3B">
              <w:rPr>
                <w:rFonts w:cstheme="minorHAnsi"/>
              </w:rPr>
              <w:t>pokud je relevantní</w:t>
            </w:r>
          </w:p>
          <w:p w14:paraId="02B118B4" w14:textId="77777777" w:rsidR="004B689F" w:rsidRDefault="004B689F" w:rsidP="004B689F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5F0D60F8" w14:textId="77777777" w:rsidR="004B689F" w:rsidRPr="00F31D3B" w:rsidRDefault="004B689F" w:rsidP="004B689F"/>
          <w:p w14:paraId="1F4DF10D" w14:textId="77777777" w:rsidR="004B689F" w:rsidRPr="00C64DD0" w:rsidRDefault="004B689F" w:rsidP="004B689F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0C2539DF" w14:textId="77777777" w:rsidR="004B689F" w:rsidRPr="00C64DD0" w:rsidRDefault="004B689F" w:rsidP="004B689F">
            <w:pPr>
              <w:rPr>
                <w:rFonts w:cstheme="minorHAnsi"/>
              </w:rPr>
            </w:pPr>
          </w:p>
          <w:p w14:paraId="0B29D1B1" w14:textId="77777777" w:rsidR="004B689F" w:rsidRPr="00C64DD0" w:rsidRDefault="004B689F" w:rsidP="004B689F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5E5E372F" w14:textId="77777777" w:rsidR="004B689F" w:rsidRDefault="004B689F" w:rsidP="004B689F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5F77F5A4" w14:textId="77777777" w:rsidR="004B689F" w:rsidRDefault="004B689F" w:rsidP="004B689F">
            <w:pPr>
              <w:rPr>
                <w:rFonts w:cstheme="minorHAnsi"/>
              </w:rPr>
            </w:pPr>
          </w:p>
          <w:p w14:paraId="1817802E" w14:textId="77777777" w:rsidR="004B689F" w:rsidRDefault="004B689F" w:rsidP="00124E28">
            <w:pPr>
              <w:pStyle w:val="Odstavecseseznamem"/>
              <w:numPr>
                <w:ilvl w:val="0"/>
                <w:numId w:val="11"/>
              </w:numPr>
            </w:pPr>
            <w:r w:rsidRPr="00FE7E2E">
              <w:t>Pokud již byla vysoutěžena</w:t>
            </w:r>
            <w:r w:rsidRPr="00FE7E2E">
              <w:rPr>
                <w:rFonts w:cstheme="minorHAnsi"/>
              </w:rPr>
              <w:t xml:space="preserve"> VZ, vyplní žadatel</w:t>
            </w:r>
            <w:r w:rsidRPr="003545E1">
              <w:t xml:space="preserve"> ceny vybavení/majetku/služeb do </w:t>
            </w:r>
            <w:r w:rsidRPr="000F1773">
              <w:t>následující tabulk</w:t>
            </w:r>
            <w:r w:rsidRPr="003545E1">
              <w:t>y</w:t>
            </w:r>
            <w:r>
              <w:t xml:space="preserve"> na základě ukončené zakázky.</w:t>
            </w:r>
          </w:p>
          <w:p w14:paraId="589D11E4" w14:textId="77777777" w:rsidR="004B689F" w:rsidRDefault="004B689F" w:rsidP="004B689F">
            <w:pPr>
              <w:rPr>
                <w:rFonts w:cstheme="minorHAnsi"/>
              </w:rPr>
            </w:pPr>
          </w:p>
          <w:p w14:paraId="1CC445FA" w14:textId="77777777" w:rsidR="004B689F" w:rsidRPr="002D7D79" w:rsidRDefault="004B689F" w:rsidP="004B689F">
            <w:pPr>
              <w:rPr>
                <w:rFonts w:cstheme="minorHAnsi"/>
                <w:b/>
                <w:bCs/>
              </w:rPr>
            </w:pPr>
            <w:r w:rsidRPr="00124E28">
              <w:rPr>
                <w:rFonts w:cstheme="minorHAnsi"/>
                <w:b/>
                <w:bCs/>
              </w:rPr>
              <w:t>Tabulka 2</w:t>
            </w:r>
            <w:r w:rsidRPr="002D7D79">
              <w:rPr>
                <w:rFonts w:cstheme="minorHAnsi"/>
                <w:b/>
                <w:bCs/>
              </w:rPr>
              <w:t xml:space="preserve">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4B689F" w:rsidRPr="00FE7E2E" w14:paraId="53208C2E" w14:textId="77777777" w:rsidTr="0059494B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30BD3BBF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66A9E381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1E89B2E4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23A0A54E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64F257F5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40253BCE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6F741397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F31D3B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F31D3B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F31D3B">
                    <w:rPr>
                      <w:rFonts w:cstheme="minorHAnsi"/>
                      <w:b/>
                      <w:bCs/>
                    </w:rPr>
                    <w:t xml:space="preserve"> VZ č.</w:t>
                  </w:r>
                </w:p>
              </w:tc>
            </w:tr>
            <w:tr w:rsidR="004B689F" w:rsidRPr="00FE7E2E" w14:paraId="06DF207B" w14:textId="77777777" w:rsidTr="0059494B">
              <w:trPr>
                <w:jc w:val="center"/>
              </w:trPr>
              <w:tc>
                <w:tcPr>
                  <w:tcW w:w="1126" w:type="dxa"/>
                </w:tcPr>
                <w:p w14:paraId="22AE9229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1E29F362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4A6AAAD4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792851A4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1AD0FD7C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5E995018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3AA27E96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</w:tr>
            <w:tr w:rsidR="004B689F" w:rsidRPr="00FE7E2E" w14:paraId="3EE0A774" w14:textId="77777777" w:rsidTr="0059494B">
              <w:trPr>
                <w:jc w:val="center"/>
              </w:trPr>
              <w:tc>
                <w:tcPr>
                  <w:tcW w:w="1126" w:type="dxa"/>
                </w:tcPr>
                <w:p w14:paraId="38EDB5F2" w14:textId="77777777" w:rsidR="004B689F" w:rsidRPr="00F31D3B" w:rsidRDefault="004B689F" w:rsidP="004B689F">
                  <w:pPr>
                    <w:jc w:val="center"/>
                    <w:rPr>
                      <w:rFonts w:cstheme="minorHAnsi"/>
                    </w:rPr>
                  </w:pPr>
                  <w:r w:rsidRPr="00F31D3B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1269E5A6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39BD7E4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0CB5FD5A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3CC53006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73D03736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15E2F513" w14:textId="77777777" w:rsidR="004B689F" w:rsidRPr="00F31D3B" w:rsidRDefault="004B689F" w:rsidP="004B689F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2C35B9A" w14:textId="77777777" w:rsidR="00124E28" w:rsidRDefault="00124E28" w:rsidP="004B689F">
            <w:pPr>
              <w:rPr>
                <w:rFonts w:cstheme="minorHAnsi"/>
              </w:rPr>
            </w:pPr>
          </w:p>
          <w:p w14:paraId="2969EA7C" w14:textId="1030FF6B" w:rsidR="004B689F" w:rsidRDefault="004B689F" w:rsidP="004B689F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lastRenderedPageBreak/>
              <w:t>Žadatel připojí komentář ke stanovení ceny do rozpočtu projektu</w:t>
            </w:r>
            <w:r>
              <w:rPr>
                <w:rFonts w:cstheme="minorHAnsi"/>
              </w:rPr>
              <w:t xml:space="preserve"> (způsob hodnocení nabídek). Žadatel rovněž </w:t>
            </w:r>
            <w:proofErr w:type="gramStart"/>
            <w:r>
              <w:rPr>
                <w:rFonts w:cstheme="minorHAnsi"/>
              </w:rPr>
              <w:t>doloží</w:t>
            </w:r>
            <w:proofErr w:type="gramEnd"/>
            <w:r>
              <w:rPr>
                <w:rFonts w:cstheme="minorHAnsi"/>
              </w:rPr>
              <w:t xml:space="preserve"> uzavřenou smlouvu do modulu Veřejné zakázky v MS2014+ v souladu s Obecnými a Specifickými pravidly. </w:t>
            </w:r>
          </w:p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1164" w:type="dxa"/>
        <w:tblInd w:w="720" w:type="dxa"/>
        <w:tblLook w:val="04A0" w:firstRow="1" w:lastRow="0" w:firstColumn="1" w:lastColumn="0" w:noHBand="0" w:noVBand="1"/>
      </w:tblPr>
      <w:tblGrid>
        <w:gridCol w:w="2416"/>
        <w:gridCol w:w="2165"/>
        <w:gridCol w:w="2263"/>
        <w:gridCol w:w="2141"/>
        <w:gridCol w:w="2179"/>
      </w:tblGrid>
      <w:tr w:rsidR="009B51AB" w:rsidRPr="00740AA9" w14:paraId="7A32F4F1" w14:textId="6B9449F5" w:rsidTr="009B51AB">
        <w:trPr>
          <w:trHeight w:val="601"/>
        </w:trPr>
        <w:tc>
          <w:tcPr>
            <w:tcW w:w="2416" w:type="dxa"/>
            <w:shd w:val="clear" w:color="auto" w:fill="F2F2F2" w:themeFill="background1" w:themeFillShade="F2"/>
          </w:tcPr>
          <w:p w14:paraId="2A610D35" w14:textId="77777777" w:rsidR="009B51AB" w:rsidRPr="00DB55A5" w:rsidRDefault="009B51AB" w:rsidP="0005611E">
            <w:pPr>
              <w:ind w:right="-280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8" w:type="dxa"/>
            <w:gridSpan w:val="4"/>
            <w:shd w:val="clear" w:color="auto" w:fill="F2F2F2" w:themeFill="background1" w:themeFillShade="F2"/>
            <w:vAlign w:val="center"/>
          </w:tcPr>
          <w:p w14:paraId="1998138E" w14:textId="409B8C45" w:rsidR="009B51AB" w:rsidRPr="00DB55A5" w:rsidRDefault="009B51AB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9B51AB" w:rsidRPr="00F5381A" w14:paraId="35DBA17C" w14:textId="45A36ECC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9B51AB" w:rsidRPr="00DB55A5" w:rsidRDefault="009B51AB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2263" w:type="dxa"/>
            <w:vAlign w:val="center"/>
          </w:tcPr>
          <w:p w14:paraId="0C1F885C" w14:textId="77777777" w:rsidR="009B51AB" w:rsidRDefault="009B51AB" w:rsidP="002374F0">
            <w:pPr>
              <w:jc w:val="both"/>
            </w:pPr>
          </w:p>
          <w:p w14:paraId="2CE4BA85" w14:textId="24487E3C" w:rsidR="009B51AB" w:rsidRPr="00DB55A5" w:rsidRDefault="009B51AB" w:rsidP="002374F0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bez DPH</w:t>
            </w:r>
          </w:p>
        </w:tc>
        <w:tc>
          <w:tcPr>
            <w:tcW w:w="2141" w:type="dxa"/>
          </w:tcPr>
          <w:p w14:paraId="5D0B357F" w14:textId="77777777" w:rsidR="009B51AB" w:rsidRDefault="009B51AB" w:rsidP="00917A54">
            <w:pPr>
              <w:jc w:val="both"/>
            </w:pPr>
          </w:p>
          <w:p w14:paraId="24C09E98" w14:textId="54911624" w:rsidR="009B51AB" w:rsidRDefault="009B51AB" w:rsidP="00917A54">
            <w:pPr>
              <w:jc w:val="both"/>
            </w:pPr>
            <w:r w:rsidRPr="00917A54">
              <w:rPr>
                <w:rFonts w:ascii="Calibri" w:hAnsi="Calibri" w:cs="Calibri"/>
                <w:color w:val="000000"/>
              </w:rPr>
              <w:t>Kč DPH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49A7B14C" w14:textId="77777777" w:rsidR="009B51AB" w:rsidRDefault="009B51AB" w:rsidP="002374F0">
            <w:pPr>
              <w:jc w:val="both"/>
            </w:pPr>
          </w:p>
          <w:p w14:paraId="5DD4555C" w14:textId="3ED17205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  <w:r>
              <w:t>celkové částky</w:t>
            </w:r>
            <w:r>
              <w:rPr>
                <w:rStyle w:val="Znakapoznpodarou"/>
              </w:rPr>
              <w:footnoteReference w:id="23"/>
            </w:r>
          </w:p>
        </w:tc>
      </w:tr>
      <w:tr w:rsidR="009B51AB" w:rsidRPr="00F5381A" w14:paraId="2FF425DA" w14:textId="52B120D6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9B51AB" w:rsidRPr="00F5381A" w:rsidRDefault="009B51AB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2263" w:type="dxa"/>
            <w:vAlign w:val="center"/>
          </w:tcPr>
          <w:p w14:paraId="5A76F178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31448D9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201A6728" w14:textId="0C90FCF2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  <w:tr w:rsidR="009B51AB" w:rsidRPr="00F5381A" w14:paraId="5DAF10DF" w14:textId="3A24E0FA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9B51AB" w:rsidRPr="00F5381A" w:rsidRDefault="009B51AB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2263" w:type="dxa"/>
            <w:vAlign w:val="center"/>
          </w:tcPr>
          <w:p w14:paraId="38DC9C8B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2AA4CB85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26E5492" w14:textId="3D639F79" w:rsidR="009B51AB" w:rsidRPr="004D5F4B" w:rsidRDefault="009B51AB" w:rsidP="002374F0">
            <w:pPr>
              <w:jc w:val="both"/>
            </w:pPr>
          </w:p>
        </w:tc>
      </w:tr>
      <w:tr w:rsidR="009B51AB" w:rsidRPr="00F5381A" w14:paraId="5BFF9B42" w14:textId="75FA058B" w:rsidTr="009B51AB">
        <w:trPr>
          <w:trHeight w:val="601"/>
        </w:trPr>
        <w:tc>
          <w:tcPr>
            <w:tcW w:w="4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7D626AC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</w:tcPr>
          <w:p w14:paraId="6E133985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0D9659CC" w14:textId="0F208822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:rsidRPr="00F5381A" w14:paraId="7CA12F4B" w14:textId="6E784F4E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7F41CFF" w14:textId="31BB0004" w:rsidR="009B51AB" w:rsidRPr="00F5381A" w:rsidRDefault="009B51AB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963A9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41" w:type="dxa"/>
            <w:tcBorders>
              <w:left w:val="single" w:sz="4" w:space="0" w:color="auto"/>
            </w:tcBorders>
          </w:tcPr>
          <w:p w14:paraId="7C3F322A" w14:textId="77777777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62414281" w14:textId="729293DB" w:rsidR="009B51AB" w:rsidRPr="00F5381A" w:rsidRDefault="009B51AB" w:rsidP="002374F0">
            <w:pPr>
              <w:jc w:val="both"/>
              <w:rPr>
                <w:highlight w:val="yellow"/>
              </w:rPr>
            </w:pPr>
          </w:p>
        </w:tc>
      </w:tr>
      <w:tr w:rsidR="009B51AB" w14:paraId="2B9DD20E" w14:textId="1BDA6421" w:rsidTr="009B51AB">
        <w:trPr>
          <w:trHeight w:val="601"/>
        </w:trPr>
        <w:tc>
          <w:tcPr>
            <w:tcW w:w="4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9B51AB" w:rsidRPr="004D5F4B" w:rsidRDefault="009B51AB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75EACCBA" w14:textId="77777777" w:rsidR="009B51AB" w:rsidRPr="004D5F4B" w:rsidRDefault="009B51AB" w:rsidP="002374F0">
            <w:pPr>
              <w:jc w:val="both"/>
            </w:pPr>
          </w:p>
        </w:tc>
        <w:tc>
          <w:tcPr>
            <w:tcW w:w="2141" w:type="dxa"/>
          </w:tcPr>
          <w:p w14:paraId="50AB8E8C" w14:textId="77777777" w:rsidR="009B51AB" w:rsidRPr="004D5F4B" w:rsidRDefault="009B51AB" w:rsidP="002374F0">
            <w:pPr>
              <w:jc w:val="both"/>
            </w:pPr>
          </w:p>
        </w:tc>
        <w:tc>
          <w:tcPr>
            <w:tcW w:w="2179" w:type="dxa"/>
            <w:shd w:val="clear" w:color="auto" w:fill="auto"/>
            <w:vAlign w:val="center"/>
          </w:tcPr>
          <w:p w14:paraId="4BBCF8B3" w14:textId="1F746DF8" w:rsidR="009B51AB" w:rsidRPr="004D5F4B" w:rsidRDefault="009B51A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20" w:name="_Hlk83376716"/>
            <w:bookmarkStart w:id="21" w:name="_Hlk83376732"/>
            <w:bookmarkStart w:id="22" w:name="_Hlk85607561"/>
            <w:bookmarkStart w:id="23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20"/>
          </w:p>
        </w:tc>
      </w:tr>
      <w:bookmarkEnd w:id="21"/>
      <w:bookmarkEnd w:id="22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8AF7963" w14:textId="77777777" w:rsidR="008F0161" w:rsidRDefault="008F0161" w:rsidP="00925C50">
            <w:pPr>
              <w:pStyle w:val="Odstavecseseznamem"/>
              <w:ind w:left="0"/>
              <w:jc w:val="both"/>
            </w:pPr>
          </w:p>
          <w:p w14:paraId="7DB08C7E" w14:textId="6B9D9D7B" w:rsidR="0028499A" w:rsidRPr="0028499A" w:rsidRDefault="0028499A" w:rsidP="0028499A"/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3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79E3E0DA" w:rsidR="00B335BD" w:rsidRPr="00CC4010" w:rsidRDefault="00B335BD" w:rsidP="00451FAE">
            <w:pPr>
              <w:pStyle w:val="Odstavecseseznamem"/>
              <w:ind w:left="0"/>
            </w:pPr>
            <w:r>
              <w:lastRenderedPageBreak/>
              <w:t>Příspěvek unie</w:t>
            </w:r>
            <w:r w:rsidR="009B51AB">
              <w:rPr>
                <w:rStyle w:val="Znakapoznpodarou"/>
              </w:rPr>
              <w:footnoteReference w:id="24"/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0BA7555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rPr>
                <w:rStyle w:val="Znakapoznpodarou"/>
              </w:rPr>
              <w:footnoteReference w:id="25"/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lastRenderedPageBreak/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26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24" w:name="_Toc169252167"/>
      <w:r w:rsidRPr="004A323F">
        <w:rPr>
          <w:caps/>
        </w:rPr>
        <w:t>Analýza a řízení rizik</w:t>
      </w:r>
      <w:r w:rsidR="00AA6E68" w:rsidRPr="004A323F">
        <w:rPr>
          <w:rStyle w:val="Znakapoznpodarou"/>
          <w:b w:val="0"/>
          <w:caps/>
        </w:rPr>
        <w:footnoteReference w:id="27"/>
      </w:r>
      <w:bookmarkEnd w:id="24"/>
    </w:p>
    <w:tbl>
      <w:tblPr>
        <w:tblStyle w:val="Mkatabulky"/>
        <w:tblW w:w="13290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68"/>
        <w:gridCol w:w="1977"/>
        <w:gridCol w:w="1796"/>
        <w:gridCol w:w="2173"/>
        <w:gridCol w:w="4076"/>
      </w:tblGrid>
      <w:tr w:rsidR="00124E28" w:rsidRPr="00E20FDB" w14:paraId="1C1F4066" w14:textId="77777777" w:rsidTr="002D7D79">
        <w:trPr>
          <w:trHeight w:val="300"/>
        </w:trPr>
        <w:tc>
          <w:tcPr>
            <w:tcW w:w="3268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0AF3DDFD" w:rsidR="00124E28" w:rsidRPr="000506AC" w:rsidRDefault="00124E28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shd w:val="clear" w:color="auto" w:fill="F2F2F2" w:themeFill="background1" w:themeFillShade="F2"/>
          </w:tcPr>
          <w:p w14:paraId="0C49D503" w14:textId="4E525256" w:rsidR="00124E28" w:rsidRPr="002D7D79" w:rsidRDefault="00124E28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124E28">
              <w:rPr>
                <w:b/>
                <w:sz w:val="24"/>
                <w:szCs w:val="24"/>
              </w:rPr>
              <w:t>Fáze projektu, ve které je možné riziko očekávat</w:t>
            </w:r>
            <w:r w:rsidR="00502CA7">
              <w:rPr>
                <w:rStyle w:val="Znakapoznpodarou"/>
                <w:b/>
                <w:sz w:val="24"/>
                <w:szCs w:val="24"/>
              </w:rPr>
              <w:footnoteReference w:id="28"/>
            </w:r>
          </w:p>
        </w:tc>
        <w:tc>
          <w:tcPr>
            <w:tcW w:w="1796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13FDD7BB" w:rsidR="00124E28" w:rsidRPr="002D7D79" w:rsidRDefault="00124E28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2D7D79">
              <w:rPr>
                <w:b/>
                <w:sz w:val="24"/>
                <w:szCs w:val="24"/>
              </w:rPr>
              <w:t xml:space="preserve">Závažnost </w:t>
            </w:r>
          </w:p>
          <w:p w14:paraId="54883169" w14:textId="67786890" w:rsidR="00124E28" w:rsidRPr="002D7D79" w:rsidRDefault="00124E28" w:rsidP="00B7049E">
            <w:pPr>
              <w:ind w:left="181"/>
              <w:jc w:val="both"/>
              <w:rPr>
                <w:b/>
              </w:rPr>
            </w:pPr>
            <w:r w:rsidRPr="002D7D79">
              <w:rPr>
                <w:b/>
              </w:rPr>
              <w:t xml:space="preserve">(1 – nejnižší, </w:t>
            </w:r>
            <w:r w:rsidRPr="002D7D79">
              <w:rPr>
                <w:b/>
              </w:rPr>
              <w:br/>
              <w:t>až 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124E28" w:rsidRPr="002D7D79" w:rsidRDefault="00124E28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2D7D79">
              <w:rPr>
                <w:b/>
                <w:sz w:val="24"/>
                <w:szCs w:val="24"/>
              </w:rPr>
              <w:t xml:space="preserve">Pravděpodobnost /četnost výskytu </w:t>
            </w:r>
            <w:r w:rsidRPr="002D7D79">
              <w:rPr>
                <w:b/>
              </w:rPr>
              <w:t>(1 téměř vyloučená, až 5 – téměř jistá)</w:t>
            </w:r>
          </w:p>
        </w:tc>
        <w:tc>
          <w:tcPr>
            <w:tcW w:w="4076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124E28" w:rsidRPr="002D7D79" w:rsidRDefault="00124E28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2D7D79">
              <w:rPr>
                <w:b/>
                <w:sz w:val="24"/>
                <w:szCs w:val="24"/>
              </w:rPr>
              <w:t>Předcházení/eliminace rizika</w:t>
            </w:r>
          </w:p>
        </w:tc>
      </w:tr>
      <w:tr w:rsidR="00124E28" w:rsidRPr="00E20FDB" w14:paraId="0570FD12" w14:textId="77777777" w:rsidTr="00C37D01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</w:tcPr>
          <w:p w14:paraId="75F6503C" w14:textId="077D90C9" w:rsidR="00124E28" w:rsidRPr="00CC4010" w:rsidRDefault="00124E28" w:rsidP="002D7D79">
            <w:pPr>
              <w:spacing w:before="120"/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124E28" w:rsidRPr="00E20FDB" w14:paraId="0DA7B185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5AA944F9" w14:textId="65A8E065" w:rsidR="00124E28" w:rsidRPr="00CC4010" w:rsidRDefault="00124E28" w:rsidP="00B7049E">
            <w:pPr>
              <w:ind w:left="181"/>
            </w:pPr>
            <w:r w:rsidRPr="00CC4010">
              <w:t>Nedostatky v</w:t>
            </w:r>
            <w:r>
              <w:t> </w:t>
            </w:r>
            <w:r w:rsidRPr="00CC4010">
              <w:t>projektové dokumentaci</w:t>
            </w:r>
          </w:p>
        </w:tc>
        <w:tc>
          <w:tcPr>
            <w:tcW w:w="1977" w:type="dxa"/>
          </w:tcPr>
          <w:p w14:paraId="2BB7B260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2AC7EF75" w14:textId="5A7DEB46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7790EB81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4774194B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5520651" w14:textId="77777777" w:rsidR="00124E28" w:rsidRPr="00CC4010" w:rsidRDefault="00124E28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977" w:type="dxa"/>
          </w:tcPr>
          <w:p w14:paraId="3AD117BC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66C94ACF" w14:textId="4142CD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0440DD3D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268002D2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BFB2B8F" w14:textId="77777777" w:rsidR="00124E28" w:rsidRPr="00CC4010" w:rsidRDefault="00124E28" w:rsidP="00B7049E">
            <w:pPr>
              <w:ind w:left="181"/>
            </w:pPr>
            <w:r w:rsidRPr="00CC4010">
              <w:lastRenderedPageBreak/>
              <w:t>Nedostatečná koordinace stavebních prací</w:t>
            </w:r>
          </w:p>
        </w:tc>
        <w:tc>
          <w:tcPr>
            <w:tcW w:w="1977" w:type="dxa"/>
          </w:tcPr>
          <w:p w14:paraId="461A20D8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7DC2FA91" w14:textId="02886868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539216C2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4088D466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17F8ECD0" w14:textId="77777777" w:rsidR="00124E28" w:rsidRPr="00CC4010" w:rsidRDefault="00124E28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977" w:type="dxa"/>
          </w:tcPr>
          <w:p w14:paraId="627DF3F4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43A195B8" w14:textId="736AC7C0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081C4B7E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2C39B9E3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5C492CA9" w14:textId="77777777" w:rsidR="00124E28" w:rsidRPr="00CC4010" w:rsidRDefault="00124E28" w:rsidP="00B7049E">
            <w:pPr>
              <w:ind w:left="181"/>
            </w:pPr>
            <w:r w:rsidRPr="00CC4010">
              <w:t>Nedodržené termínu realizace</w:t>
            </w:r>
          </w:p>
        </w:tc>
        <w:tc>
          <w:tcPr>
            <w:tcW w:w="1977" w:type="dxa"/>
          </w:tcPr>
          <w:p w14:paraId="72EDECC3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7E4346E7" w14:textId="1504C45D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12B105D7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09318E51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3D9CF675" w14:textId="41F9EE26" w:rsidR="00124E28" w:rsidRPr="00CC4010" w:rsidRDefault="00124E28" w:rsidP="00B7049E">
            <w:pPr>
              <w:ind w:left="181"/>
            </w:pPr>
            <w:proofErr w:type="gramStart"/>
            <w:r w:rsidRPr="00CC4010">
              <w:t>Živeln</w:t>
            </w:r>
            <w:r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977" w:type="dxa"/>
          </w:tcPr>
          <w:p w14:paraId="356CBE2D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49A7BACC" w14:textId="2CA0F1E6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5CD8EE0F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46928EBB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D2D7D3C" w14:textId="77777777" w:rsidR="00124E28" w:rsidRPr="00CC4010" w:rsidRDefault="00124E28" w:rsidP="00B7049E">
            <w:pPr>
              <w:ind w:left="181"/>
            </w:pPr>
            <w:r w:rsidRPr="00CC4010">
              <w:t>Zvýšení cen vstupů</w:t>
            </w:r>
          </w:p>
        </w:tc>
        <w:tc>
          <w:tcPr>
            <w:tcW w:w="1977" w:type="dxa"/>
          </w:tcPr>
          <w:p w14:paraId="5494DE30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652A4F65" w14:textId="27C891FA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3A862051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17953300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F7A6476" w14:textId="77777777" w:rsidR="00124E28" w:rsidRPr="00CC4010" w:rsidRDefault="00124E28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977" w:type="dxa"/>
          </w:tcPr>
          <w:p w14:paraId="60A6C17C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156CFC7B" w14:textId="6E1CC461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5FECB97F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4C0C8DE2" w14:textId="77777777" w:rsidTr="002D7D79">
        <w:trPr>
          <w:trHeight w:val="601"/>
        </w:trPr>
        <w:tc>
          <w:tcPr>
            <w:tcW w:w="3268" w:type="dxa"/>
            <w:noWrap/>
            <w:vAlign w:val="center"/>
          </w:tcPr>
          <w:p w14:paraId="6808B412" w14:textId="6C84076B" w:rsidR="00124E28" w:rsidRPr="00CC4010" w:rsidRDefault="00124E28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977" w:type="dxa"/>
          </w:tcPr>
          <w:p w14:paraId="21C7ED91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30F10B21" w14:textId="7859A2D0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2A099101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0C939176" w14:textId="77777777" w:rsidTr="002D7D79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124E28" w:rsidRPr="00CC4010" w:rsidRDefault="00124E28" w:rsidP="00B7049E">
            <w:pPr>
              <w:ind w:left="181"/>
            </w:pPr>
          </w:p>
        </w:tc>
        <w:tc>
          <w:tcPr>
            <w:tcW w:w="1977" w:type="dxa"/>
            <w:tcBorders>
              <w:bottom w:val="single" w:sz="2" w:space="0" w:color="auto"/>
            </w:tcBorders>
          </w:tcPr>
          <w:p w14:paraId="06872D16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tcBorders>
              <w:bottom w:val="single" w:sz="2" w:space="0" w:color="auto"/>
            </w:tcBorders>
            <w:noWrap/>
            <w:vAlign w:val="center"/>
          </w:tcPr>
          <w:p w14:paraId="0D3EDC46" w14:textId="0DF18BA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7B28D727" w14:textId="77777777" w:rsidTr="00D253EC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</w:tcPr>
          <w:p w14:paraId="1440206E" w14:textId="0AD946F0" w:rsidR="00124E28" w:rsidRPr="00CC4010" w:rsidRDefault="00124E28" w:rsidP="002D7D79">
            <w:pPr>
              <w:spacing w:before="120"/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124E28" w:rsidRPr="00E20FDB" w14:paraId="6D0B7B42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8D2E009" w14:textId="77777777" w:rsidR="00124E28" w:rsidRPr="00CC4010" w:rsidRDefault="00124E28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977" w:type="dxa"/>
          </w:tcPr>
          <w:p w14:paraId="60B0667F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7CE9B69F" w14:textId="5DF6D0AD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5718CA08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27601F4D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C847175" w14:textId="28758C12" w:rsidR="00124E28" w:rsidRPr="00CC4010" w:rsidRDefault="00124E28" w:rsidP="00B7049E">
            <w:pPr>
              <w:ind w:left="181"/>
            </w:pPr>
            <w:r w:rsidRPr="00CC4010">
              <w:t>Nedostatek finančních prostředků na předfinancování a v</w:t>
            </w:r>
            <w:r>
              <w:t> </w:t>
            </w:r>
            <w:r w:rsidRPr="00CC4010">
              <w:t>průběhu realizace projektu</w:t>
            </w:r>
            <w:r>
              <w:t>, neočekávané zvýšení cen v průběhu realizace</w:t>
            </w:r>
          </w:p>
        </w:tc>
        <w:tc>
          <w:tcPr>
            <w:tcW w:w="1977" w:type="dxa"/>
          </w:tcPr>
          <w:p w14:paraId="71A1D3FD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300197A8" w14:textId="6A58F452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20CE5A04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30C6A700" w14:textId="77777777" w:rsidTr="002D7D79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124E28" w:rsidRPr="00CC4010" w:rsidRDefault="00124E28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977" w:type="dxa"/>
            <w:tcBorders>
              <w:bottom w:val="single" w:sz="2" w:space="0" w:color="auto"/>
            </w:tcBorders>
          </w:tcPr>
          <w:p w14:paraId="27BD6752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tcBorders>
              <w:bottom w:val="single" w:sz="2" w:space="0" w:color="auto"/>
            </w:tcBorders>
            <w:noWrap/>
            <w:vAlign w:val="center"/>
          </w:tcPr>
          <w:p w14:paraId="0FCE1C83" w14:textId="684E87D2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6235C199" w14:textId="77777777" w:rsidTr="00BD62C0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</w:tcPr>
          <w:p w14:paraId="50017015" w14:textId="28317B13" w:rsidR="00124E28" w:rsidRPr="00CC4010" w:rsidRDefault="00124E28" w:rsidP="002D7D79">
            <w:pPr>
              <w:spacing w:before="120"/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>
              <w:rPr>
                <w:b/>
              </w:rPr>
              <w:t xml:space="preserve"> a rizika nedodržení podmínek</w:t>
            </w:r>
          </w:p>
        </w:tc>
      </w:tr>
      <w:tr w:rsidR="00124E28" w:rsidRPr="00E20FDB" w14:paraId="6226C675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435100F8" w14:textId="77777777" w:rsidR="00124E28" w:rsidRPr="00CC4010" w:rsidRDefault="00124E28" w:rsidP="00B7049E">
            <w:pPr>
              <w:ind w:left="181"/>
            </w:pPr>
            <w:r w:rsidRPr="00CC4010">
              <w:lastRenderedPageBreak/>
              <w:t>Nedodržení pokynů pro zadávání VZ</w:t>
            </w:r>
          </w:p>
        </w:tc>
        <w:tc>
          <w:tcPr>
            <w:tcW w:w="1977" w:type="dxa"/>
          </w:tcPr>
          <w:p w14:paraId="147807D3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159F03A3" w14:textId="1C5F70D3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16CD6EF7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20014E8B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04985059" w14:textId="6AD364A9" w:rsidR="00124E28" w:rsidRPr="00CC4010" w:rsidRDefault="00124E28" w:rsidP="00B7049E">
            <w:pPr>
              <w:ind w:left="181"/>
            </w:pPr>
            <w:r w:rsidRPr="00CC4010">
              <w:t xml:space="preserve">Nedodržení podmínek </w:t>
            </w:r>
            <w:r>
              <w:t>právního aktu</w:t>
            </w:r>
          </w:p>
        </w:tc>
        <w:tc>
          <w:tcPr>
            <w:tcW w:w="1977" w:type="dxa"/>
          </w:tcPr>
          <w:p w14:paraId="7A270579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624F11A4" w14:textId="5BD0F3D4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44738D52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1840398A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6D2EF679" w14:textId="77777777" w:rsidR="00124E28" w:rsidRPr="00CC4010" w:rsidRDefault="00124E28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977" w:type="dxa"/>
          </w:tcPr>
          <w:p w14:paraId="038942B0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3DB260D7" w14:textId="4609DDA8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6C3A6BA3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433F16CA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2EC1735" w14:textId="77777777" w:rsidR="00124E28" w:rsidRPr="00CC4010" w:rsidRDefault="00124E28" w:rsidP="00B7049E">
            <w:pPr>
              <w:ind w:left="181"/>
            </w:pPr>
            <w:r w:rsidRPr="00CC4010">
              <w:t>Nevyřešené vlastnické vztahy</w:t>
            </w:r>
          </w:p>
        </w:tc>
        <w:tc>
          <w:tcPr>
            <w:tcW w:w="1977" w:type="dxa"/>
          </w:tcPr>
          <w:p w14:paraId="1E941936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66432F4F" w14:textId="43D00672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136FCE03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217E94A9" w14:textId="77777777" w:rsidTr="002D7D79">
        <w:trPr>
          <w:trHeight w:val="601"/>
        </w:trPr>
        <w:tc>
          <w:tcPr>
            <w:tcW w:w="3268" w:type="dxa"/>
            <w:noWrap/>
            <w:vAlign w:val="center"/>
          </w:tcPr>
          <w:p w14:paraId="09377008" w14:textId="7252E7DE" w:rsidR="00124E28" w:rsidRPr="00CC4010" w:rsidRDefault="00124E28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977" w:type="dxa"/>
          </w:tcPr>
          <w:p w14:paraId="075D2BD1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2ED19FAD" w14:textId="3297DF45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5BA34443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73E82D83" w14:textId="77777777" w:rsidTr="002D7D79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124E28" w:rsidRPr="00CC4010" w:rsidRDefault="00124E28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977" w:type="dxa"/>
            <w:tcBorders>
              <w:bottom w:val="single" w:sz="2" w:space="0" w:color="auto"/>
            </w:tcBorders>
          </w:tcPr>
          <w:p w14:paraId="29B7E9D7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tcBorders>
              <w:bottom w:val="single" w:sz="2" w:space="0" w:color="auto"/>
            </w:tcBorders>
            <w:noWrap/>
            <w:vAlign w:val="center"/>
          </w:tcPr>
          <w:p w14:paraId="05A593C0" w14:textId="1C66AAEC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5783BC7F" w14:textId="77777777" w:rsidTr="002D7D79">
        <w:trPr>
          <w:trHeight w:val="601"/>
        </w:trPr>
        <w:tc>
          <w:tcPr>
            <w:tcW w:w="3268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124E28" w:rsidRPr="00CC4010" w:rsidRDefault="00124E28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977" w:type="dxa"/>
            <w:tcBorders>
              <w:bottom w:val="single" w:sz="2" w:space="0" w:color="auto"/>
            </w:tcBorders>
          </w:tcPr>
          <w:p w14:paraId="08732B42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tcBorders>
              <w:bottom w:val="single" w:sz="2" w:space="0" w:color="auto"/>
            </w:tcBorders>
            <w:noWrap/>
            <w:vAlign w:val="center"/>
          </w:tcPr>
          <w:p w14:paraId="2C33AD75" w14:textId="0F92A93C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6EFA0F62" w14:textId="77777777" w:rsidTr="00FB49CB">
        <w:trPr>
          <w:trHeight w:val="601"/>
        </w:trPr>
        <w:tc>
          <w:tcPr>
            <w:tcW w:w="13290" w:type="dxa"/>
            <w:gridSpan w:val="5"/>
            <w:shd w:val="clear" w:color="auto" w:fill="F2F2F2" w:themeFill="background1" w:themeFillShade="F2"/>
          </w:tcPr>
          <w:p w14:paraId="73E33876" w14:textId="454F28E4" w:rsidR="00124E28" w:rsidRPr="00CC4010" w:rsidRDefault="00124E28" w:rsidP="002D7D79">
            <w:pPr>
              <w:spacing w:before="120"/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124E28" w:rsidRPr="00E20FDB" w14:paraId="0D26C89D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0A2D2102" w14:textId="77777777" w:rsidR="00124E28" w:rsidRPr="00CC4010" w:rsidRDefault="00124E28" w:rsidP="00B7049E">
            <w:pPr>
              <w:ind w:left="181"/>
            </w:pPr>
            <w:r w:rsidRPr="00CC4010">
              <w:t>Nedostatek poptávky po službách nebo výrobcích</w:t>
            </w:r>
          </w:p>
        </w:tc>
        <w:tc>
          <w:tcPr>
            <w:tcW w:w="1977" w:type="dxa"/>
          </w:tcPr>
          <w:p w14:paraId="0FEB372B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00580DB1" w14:textId="28FD13BE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4328BEA6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72A08BAF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23EAEE80" w14:textId="1DDA9F70" w:rsidR="00124E28" w:rsidRPr="00CC4010" w:rsidRDefault="00124E28" w:rsidP="00B7049E">
            <w:pPr>
              <w:ind w:left="181"/>
            </w:pPr>
            <w:r w:rsidRPr="00CC4010">
              <w:t>Nedostupná kvalitní pracovní síla v</w:t>
            </w:r>
            <w:r>
              <w:t> </w:t>
            </w:r>
            <w:r w:rsidRPr="00CC4010">
              <w:t>době udržitelnosti</w:t>
            </w:r>
          </w:p>
        </w:tc>
        <w:tc>
          <w:tcPr>
            <w:tcW w:w="1977" w:type="dxa"/>
          </w:tcPr>
          <w:p w14:paraId="7A394054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06CC7893" w14:textId="4DB0299D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70652099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6A7AAA47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141BAD64" w14:textId="77777777" w:rsidR="00124E28" w:rsidRPr="00CC4010" w:rsidRDefault="00124E28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977" w:type="dxa"/>
          </w:tcPr>
          <w:p w14:paraId="37282DD7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04D78FB4" w14:textId="0165BD9F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7C0F1A8E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7495E707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7EE346D2" w14:textId="77777777" w:rsidR="00124E28" w:rsidRPr="00CC4010" w:rsidRDefault="00124E28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977" w:type="dxa"/>
          </w:tcPr>
          <w:p w14:paraId="35B544BB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7020EF1B" w14:textId="1B7369F9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217DDD0C" w14:textId="77777777" w:rsidR="00124E28" w:rsidRPr="00E20FDB" w:rsidRDefault="00124E28" w:rsidP="00B7049E">
            <w:pPr>
              <w:ind w:left="181"/>
              <w:jc w:val="both"/>
            </w:pPr>
          </w:p>
        </w:tc>
      </w:tr>
      <w:tr w:rsidR="00124E28" w:rsidRPr="00E20FDB" w14:paraId="1F3FAE9F" w14:textId="77777777" w:rsidTr="002D7D79">
        <w:trPr>
          <w:trHeight w:val="601"/>
        </w:trPr>
        <w:tc>
          <w:tcPr>
            <w:tcW w:w="3268" w:type="dxa"/>
            <w:noWrap/>
            <w:vAlign w:val="center"/>
            <w:hideMark/>
          </w:tcPr>
          <w:p w14:paraId="35CCF74C" w14:textId="52FAE939" w:rsidR="00124E28" w:rsidRPr="00CC4010" w:rsidRDefault="00124E28" w:rsidP="00B7049E">
            <w:pPr>
              <w:ind w:left="181"/>
            </w:pPr>
            <w:r w:rsidRPr="00CC4010">
              <w:t>Nedostatek finančních prostředků v</w:t>
            </w:r>
            <w:r>
              <w:t> </w:t>
            </w:r>
            <w:r w:rsidRPr="00CC4010">
              <w:t>provozní fázi projektu</w:t>
            </w:r>
          </w:p>
        </w:tc>
        <w:tc>
          <w:tcPr>
            <w:tcW w:w="1977" w:type="dxa"/>
          </w:tcPr>
          <w:p w14:paraId="45A698F6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1796" w:type="dxa"/>
            <w:noWrap/>
            <w:vAlign w:val="center"/>
          </w:tcPr>
          <w:p w14:paraId="1337ECEA" w14:textId="061A9A85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124E28" w:rsidRPr="00E20FDB" w:rsidRDefault="00124E28" w:rsidP="00B7049E">
            <w:pPr>
              <w:ind w:left="181"/>
              <w:jc w:val="both"/>
            </w:pPr>
          </w:p>
        </w:tc>
        <w:tc>
          <w:tcPr>
            <w:tcW w:w="4076" w:type="dxa"/>
            <w:noWrap/>
            <w:vAlign w:val="center"/>
          </w:tcPr>
          <w:p w14:paraId="05A4D302" w14:textId="77777777" w:rsidR="00124E28" w:rsidRPr="00E20FDB" w:rsidRDefault="00124E28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124E28">
      <w:pPr>
        <w:pStyle w:val="Nadpis1"/>
        <w:numPr>
          <w:ilvl w:val="0"/>
          <w:numId w:val="4"/>
        </w:numPr>
        <w:jc w:val="both"/>
      </w:pPr>
      <w:bookmarkStart w:id="25" w:name="_Toc169252168"/>
      <w:r w:rsidRPr="00D74DEE">
        <w:rPr>
          <w:caps/>
        </w:rPr>
        <w:lastRenderedPageBreak/>
        <w:t>udržitelnost</w:t>
      </w:r>
      <w:bookmarkEnd w:id="2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31E9C577" w:rsidR="00613950" w:rsidRPr="00CC02A7" w:rsidRDefault="00B031A2" w:rsidP="00A74A3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P</w:t>
            </w:r>
            <w:r w:rsidR="00796478" w:rsidRPr="00CC02A7">
              <w:rPr>
                <w:i/>
                <w:iCs/>
              </w:rPr>
              <w:t>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="00796478"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70493E45" w:rsidR="00613950" w:rsidRPr="00CC02A7" w:rsidRDefault="00B031A2" w:rsidP="00A74A3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P</w:t>
            </w:r>
            <w:r w:rsidR="00796478" w:rsidRPr="00CC02A7">
              <w:rPr>
                <w:i/>
                <w:iCs/>
              </w:rPr>
              <w:t>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884655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5E3493A9" w:rsidR="00E61F4F" w:rsidRDefault="00E61F4F" w:rsidP="00A74A3A">
            <w:r w:rsidRPr="00E61F4F">
              <w:t xml:space="preserve">Doložení předběžné poptávky klientů po sociální službě poskytované v rámci infrastruktury realizované </w:t>
            </w:r>
            <w:r w:rsidRPr="00E61F4F">
              <w:lastRenderedPageBreak/>
              <w:t>projektem, která naplní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884655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124E28">
      <w:pPr>
        <w:pStyle w:val="Nadpis1"/>
        <w:numPr>
          <w:ilvl w:val="0"/>
          <w:numId w:val="4"/>
        </w:numPr>
        <w:jc w:val="both"/>
        <w:rPr>
          <w:rFonts w:eastAsiaTheme="minorHAnsi"/>
          <w:caps/>
        </w:rPr>
      </w:pPr>
      <w:bookmarkStart w:id="26" w:name="_Toc73346730"/>
      <w:bookmarkStart w:id="27" w:name="_Toc169252169"/>
      <w:r>
        <w:rPr>
          <w:rFonts w:eastAsiaTheme="minorHAnsi"/>
          <w:caps/>
        </w:rPr>
        <w:t>Výstupy projektu</w:t>
      </w:r>
      <w:bookmarkEnd w:id="26"/>
      <w:bookmarkEnd w:id="2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D06AC7" w14:paraId="30C20B3E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1262" w14:textId="745812A5" w:rsidR="00D06AC7" w:rsidRPr="002D7D79" w:rsidRDefault="002D7D79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 w:rsidRPr="002D7D79">
              <w:rPr>
                <w:rFonts w:eastAsia="Times New Roman"/>
                <w:color w:val="000000"/>
              </w:rPr>
              <w:lastRenderedPageBreak/>
              <w:t>Kapacita nově vytvořených zázemí sociálních služeb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EF41" w14:textId="5A472CED" w:rsidR="00D06AC7" w:rsidRPr="002D7D79" w:rsidRDefault="00D06AC7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 w:rsidRPr="002D7D79">
              <w:rPr>
                <w:rFonts w:cstheme="minorHAnsi"/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4630" w14:textId="77777777" w:rsidR="00D06AC7" w:rsidRPr="002D7D79" w:rsidRDefault="00D06AC7">
            <w:pPr>
              <w:pStyle w:val="Odstavecseseznamem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8B69" w14:textId="4804D41C" w:rsidR="00D06AC7" w:rsidRPr="002D7D79" w:rsidRDefault="00D06AC7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cílové hodnotě a musí být ověřitelný.</w:t>
            </w:r>
          </w:p>
        </w:tc>
      </w:tr>
      <w:tr w:rsidR="00D06AC7" w14:paraId="2EC61726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EC4" w14:textId="37568D28" w:rsidR="00D06AC7" w:rsidRPr="002D7D79" w:rsidRDefault="002D7D79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 w:rsidRPr="002D7D79">
              <w:rPr>
                <w:rFonts w:eastAsia="Times New Roman"/>
                <w:color w:val="000000"/>
              </w:rPr>
              <w:t>Kapacita vytvořená rozšířením stávajících zázemí sociálních služeb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F809" w14:textId="575FAD09" w:rsidR="00D06AC7" w:rsidRPr="002D7D79" w:rsidRDefault="00D06AC7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3B26" w14:textId="77777777" w:rsidR="00D06AC7" w:rsidRPr="002D7D79" w:rsidRDefault="00D06AC7">
            <w:pPr>
              <w:pStyle w:val="Odstavecseseznamem"/>
              <w:ind w:left="0"/>
              <w:jc w:val="center"/>
              <w:rPr>
                <w:rFonts w:cstheme="minorHAnsi"/>
                <w:bCs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E64" w14:textId="268FFFA7" w:rsidR="00D06AC7" w:rsidRPr="002D7D79" w:rsidRDefault="00D06AC7" w:rsidP="002D7D79">
            <w:pPr>
              <w:pStyle w:val="Odstavecseseznamem"/>
              <w:ind w:left="0"/>
              <w:rPr>
                <w:rFonts w:cstheme="minorHAnsi"/>
                <w:bCs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cílové hodnotě a musí být ověřitelný.</w:t>
            </w:r>
          </w:p>
        </w:tc>
      </w:tr>
      <w:tr w:rsidR="003941A7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28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28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29A7CD2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ení stanovena, žadatel vyplňuje údaj dle předpokládaného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>dosaženého snížení konečné spotřeby energie. Údaje čerpá z energetického posudku.</w:t>
            </w:r>
          </w:p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1F2FAE52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78C78A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dosažené úspory primární energie. Údaje čerpá z energetického posudku. </w:t>
            </w:r>
          </w:p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 w:rsidP="00124E28">
      <w:pPr>
        <w:pStyle w:val="Nadpis1"/>
        <w:numPr>
          <w:ilvl w:val="0"/>
          <w:numId w:val="4"/>
        </w:numPr>
        <w:jc w:val="both"/>
        <w:rPr>
          <w:caps/>
        </w:rPr>
      </w:pPr>
      <w:bookmarkStart w:id="29" w:name="_Toc73346731"/>
      <w:bookmarkStart w:id="30" w:name="_Toc169252170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9"/>
      <w:bookmarkEnd w:id="3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124E28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124E28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124E28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lastRenderedPageBreak/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124E28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647937C7" w:rsidR="000B1D27" w:rsidRDefault="000B1D27" w:rsidP="00124E28">
            <w:pPr>
              <w:pStyle w:val="Odstavecseseznamem"/>
              <w:numPr>
                <w:ilvl w:val="0"/>
                <w:numId w:val="6"/>
              </w:numPr>
              <w:jc w:val="both"/>
            </w:pPr>
            <w:r>
              <w:t>informace o procesu vydání dokladů prokazujících povolení o umístění stavby a dokladů prokazujících povolení k realizaci stavby dle</w:t>
            </w:r>
            <w:r w:rsidR="00B031A2">
              <w:t xml:space="preserve"> stavebního</w:t>
            </w:r>
            <w:r>
              <w:t xml:space="preserve"> zákona,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124E28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124E28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124E28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provozovatel projektu, pokud se </w:t>
            </w:r>
            <w:proofErr w:type="gramStart"/>
            <w:r>
              <w:t>liší</w:t>
            </w:r>
            <w:proofErr w:type="gramEnd"/>
            <w:r>
              <w:t xml:space="preserve">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124E28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lastRenderedPageBreak/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8647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124E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124E28">
      <w:pPr>
        <w:pStyle w:val="Nadpis1"/>
        <w:numPr>
          <w:ilvl w:val="0"/>
          <w:numId w:val="4"/>
        </w:numPr>
      </w:pPr>
      <w:bookmarkStart w:id="31" w:name="_Toc73346732"/>
      <w:bookmarkStart w:id="32" w:name="_Toc169252171"/>
      <w:r>
        <w:t>ANALÝZA ROZVOJE SOCIÁLNÍ SLUŽEB V MÍSTĚ REALIZACE PROJEKTU</w:t>
      </w:r>
      <w:bookmarkEnd w:id="31"/>
      <w:bookmarkEnd w:id="32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</w:pPr>
            <w:r>
              <w:lastRenderedPageBreak/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124E28">
            <w:pPr>
              <w:pStyle w:val="Odstavecseseznamem"/>
              <w:numPr>
                <w:ilvl w:val="0"/>
                <w:numId w:val="8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124E28">
      <w:pPr>
        <w:pStyle w:val="Nadpis1"/>
        <w:numPr>
          <w:ilvl w:val="0"/>
          <w:numId w:val="4"/>
        </w:numPr>
      </w:pPr>
      <w:bookmarkStart w:id="33" w:name="_Toc98161691"/>
      <w:bookmarkStart w:id="34" w:name="_Toc169252172"/>
      <w:r w:rsidRPr="00551DFC">
        <w:lastRenderedPageBreak/>
        <w:t>PŘÍLOHY OSNOVY – vzory</w:t>
      </w:r>
      <w:bookmarkStart w:id="35" w:name="_Hlk93505345"/>
      <w:bookmarkEnd w:id="33"/>
      <w:bookmarkEnd w:id="34"/>
    </w:p>
    <w:bookmarkEnd w:id="35"/>
    <w:p w14:paraId="070A45F7" w14:textId="0274B854" w:rsidR="00E9263E" w:rsidRDefault="006C7A60" w:rsidP="00124E28">
      <w:pPr>
        <w:pStyle w:val="Odstavecseseznamem"/>
        <w:numPr>
          <w:ilvl w:val="0"/>
          <w:numId w:val="5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p w14:paraId="52D023DD" w14:textId="0AB302FD" w:rsidR="00DA1BA9" w:rsidRDefault="00DA1BA9" w:rsidP="00124E28">
      <w:pPr>
        <w:pStyle w:val="Odstavecseseznamem"/>
        <w:numPr>
          <w:ilvl w:val="0"/>
          <w:numId w:val="5"/>
        </w:numPr>
      </w:pPr>
      <w:r>
        <w:t xml:space="preserve">Nezávazný vzor finanční rozvahy provozu </w:t>
      </w:r>
      <w:r w:rsidR="00435923">
        <w:t>sociální služby (Příloha č. 5)</w:t>
      </w:r>
    </w:p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77FDE5CA" w:rsidR="002168BD" w:rsidRDefault="002168BD">
    <w:pPr>
      <w:pStyle w:val="Zpat"/>
    </w:pPr>
    <w:r>
      <w:t>Verze: 1.</w:t>
    </w:r>
    <w:r w:rsidR="00057F67">
      <w:t>1</w:t>
    </w:r>
  </w:p>
  <w:p w14:paraId="163A9DD0" w14:textId="332DA6C9" w:rsidR="002168BD" w:rsidRDefault="002168BD">
    <w:pPr>
      <w:pStyle w:val="Zpat"/>
    </w:pPr>
    <w:r>
      <w:t xml:space="preserve">Platnost od: </w:t>
    </w:r>
    <w:r w:rsidR="00806D2A">
      <w:t>21</w:t>
    </w:r>
    <w:r w:rsidR="008E1478">
      <w:t>.6.2024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7B6A177D" w14:textId="7CFEABAA" w:rsidR="00AD471F" w:rsidRPr="000A1CB9" w:rsidRDefault="00AD471F" w:rsidP="000A1CB9">
      <w:pPr>
        <w:spacing w:after="0"/>
        <w:jc w:val="both"/>
        <w:rPr>
          <w:rFonts w:cstheme="minorHAnsi"/>
          <w:sz w:val="16"/>
          <w:szCs w:val="16"/>
        </w:rPr>
      </w:pPr>
      <w:r>
        <w:t xml:space="preserve"> </w:t>
      </w:r>
      <w:r w:rsidRPr="000C045E">
        <w:rPr>
          <w:rStyle w:val="Znakapoznpodarou"/>
          <w:rFonts w:cstheme="minorHAnsi"/>
        </w:rPr>
        <w:footnoteRef/>
      </w:r>
      <w:r w:rsidRPr="004827C4">
        <w:rPr>
          <w:rFonts w:cstheme="minorHAnsi"/>
          <w:sz w:val="16"/>
          <w:szCs w:val="16"/>
        </w:rPr>
        <w:t>Malé a střední podniky (MSP) jsou definovány v </w:t>
      </w:r>
      <w:hyperlink r:id="rId1" w:history="1">
        <w:r w:rsidRPr="004827C4">
          <w:rPr>
            <w:rStyle w:val="Hypertextovodkaz"/>
            <w:rFonts w:cstheme="minorHAnsi"/>
            <w:color w:val="0070C0"/>
            <w:sz w:val="16"/>
            <w:szCs w:val="16"/>
          </w:rPr>
          <w:t>doporučení EU 2003/361</w:t>
        </w:r>
      </w:hyperlink>
      <w:r w:rsidR="004827C4" w:rsidRPr="004827C4">
        <w:rPr>
          <w:rStyle w:val="Hypertextovodkaz"/>
          <w:rFonts w:cstheme="minorHAnsi"/>
          <w:color w:val="auto"/>
          <w:sz w:val="16"/>
          <w:szCs w:val="16"/>
        </w:rPr>
        <w:t>.</w:t>
      </w:r>
      <w:r w:rsidRPr="004827C4">
        <w:rPr>
          <w:rFonts w:cstheme="minorHAnsi"/>
          <w:sz w:val="16"/>
          <w:szCs w:val="16"/>
        </w:rPr>
        <w:t xml:space="preserve"> </w:t>
      </w:r>
      <w:r w:rsidRPr="004827C4">
        <w:rPr>
          <w:rFonts w:eastAsia="Times New Roman" w:cstheme="minorHAnsi"/>
          <w:spacing w:val="6"/>
          <w:sz w:val="16"/>
          <w:szCs w:val="16"/>
          <w:lang w:eastAsia="cs-CZ"/>
        </w:rPr>
        <w:t xml:space="preserve">V rámci kategorie malých a středních podniků jsou vymezeny mikropodniky jako podniky, které zaměstnávají méně než 10 osob a jejichž roční obrat nebo bilanční suma roční rozvahy nepřesahuje 2 milionů EUR, malé podniky zaměstnávají méně než 50 osob a jejichž roční obrat nebo bilanční suma roční rozvahy nepřesahuje 10 milionů EUR. Velký podnik zaměstnává více jak 250 osob a roční obrat nebo bilanční suma roční rozvahy přesahuje50 milionů EUR. </w:t>
      </w:r>
      <w:r w:rsidRPr="004827C4">
        <w:rPr>
          <w:rFonts w:cstheme="minorHAnsi"/>
          <w:sz w:val="16"/>
          <w:szCs w:val="16"/>
        </w:rPr>
        <w:t>Územně samosprávné celky a státní podniky jsou považovány za „Velký podnik“.</w:t>
      </w:r>
    </w:p>
  </w:footnote>
  <w:footnote w:id="3">
    <w:p w14:paraId="025AA3F2" w14:textId="6B0A0B9C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Jedná se o prokázání zkušeností s provozováním sociální služby, jíž žadatel </w:t>
      </w:r>
      <w:proofErr w:type="gramStart"/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doloží</w:t>
      </w:r>
      <w:proofErr w:type="gramEnd"/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odkazem na příslušnou stránku Registru poskytovatelů sociálních služeb (</w:t>
      </w:r>
      <w:r w:rsidR="009D7055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funkční </w:t>
      </w:r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přím</w:t>
      </w:r>
      <w:r w:rsidR="009D7055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ý</w:t>
      </w:r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odkaz na jím registrovanou službu – z n</w:t>
      </w:r>
      <w:r w:rsidR="00025FA6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ějž</w:t>
      </w:r>
      <w:r w:rsidR="000273FE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bude zřetelné, že je žadatel poskytovatelem konkrétní soc. služby).  </w:t>
      </w:r>
      <w:r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V případě žadatelů, jimiž jsou ÚSC, jež nejsou poskytovateli SOHZ a jež </w:t>
      </w:r>
      <w:proofErr w:type="gramStart"/>
      <w:r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svěří</w:t>
      </w:r>
      <w:proofErr w:type="gramEnd"/>
      <w:r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výhodu z poskytnuté dotace jinému poskytovateli SOHZ (viz kap. 7.2 Specifických pravidel), se jedná o prokázání zkušenosti poskytovatelů (resp. potenciálních poskytovatelů</w:t>
      </w:r>
      <w:r w:rsidR="00252770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)</w:t>
      </w:r>
      <w:r w:rsidR="002168BD" w:rsidRPr="000A1CB9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.</w:t>
      </w:r>
    </w:p>
  </w:footnote>
  <w:footnote w:id="4">
    <w:p w14:paraId="12731628" w14:textId="77777777" w:rsidR="00461931" w:rsidRDefault="00461931" w:rsidP="00461931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5">
    <w:p w14:paraId="61EF3D8D" w14:textId="77777777" w:rsidR="00461931" w:rsidRDefault="00461931" w:rsidP="00461931">
      <w:pPr>
        <w:pStyle w:val="Textpoznpodarou"/>
      </w:pPr>
      <w:r>
        <w:rPr>
          <w:rStyle w:val="Znakapoznpodarou"/>
        </w:rPr>
        <w:footnoteRef/>
      </w:r>
      <w:r>
        <w:t xml:space="preserve"> Ve smyslu celkové roční kapacity dané služby.</w:t>
      </w:r>
    </w:p>
  </w:footnote>
  <w:footnote w:id="6">
    <w:p w14:paraId="32C6AD08" w14:textId="74145EAC" w:rsidR="00461931" w:rsidRDefault="00461931">
      <w:pPr>
        <w:pStyle w:val="Textpoznpodarou"/>
      </w:pPr>
      <w:r>
        <w:rPr>
          <w:rStyle w:val="Znakapoznpodarou"/>
        </w:rPr>
        <w:footnoteRef/>
      </w:r>
      <w:r>
        <w:t xml:space="preserve"> Toto pole vyplňuje pouze žadatel, typu ÚSC, který převádí výhodu z poskytnuté dotace na vybraného poskytovatele</w:t>
      </w:r>
      <w:r w:rsidR="00844F46">
        <w:t xml:space="preserve"> SOHZ</w:t>
      </w:r>
      <w:r>
        <w:t>.</w:t>
      </w:r>
      <w:r w:rsidR="00844F46">
        <w:t xml:space="preserve"> V opačných případech, je toto pole nerelevantní.</w:t>
      </w:r>
    </w:p>
  </w:footnote>
  <w:footnote w:id="7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8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9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10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11">
    <w:p w14:paraId="05EF7168" w14:textId="77777777" w:rsidR="000408E3" w:rsidRDefault="000408E3" w:rsidP="0076202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</w:t>
      </w:r>
      <w:r>
        <w:t>em</w:t>
      </w:r>
      <w:r w:rsidRPr="00C821EB">
        <w:t xml:space="preserve"> 183/2006 Sb., o územním plánování a stavebním řádu, ve znění pozdějších předpisů</w:t>
      </w:r>
      <w:r>
        <w:t xml:space="preserve"> </w:t>
      </w:r>
      <w:bookmarkStart w:id="10" w:name="_Hlk166512955"/>
      <w:r>
        <w:t>nebo dle zákona 283/2021 Sb., stavební zákon, ve znění pozdějších předpisů</w:t>
      </w:r>
      <w:bookmarkEnd w:id="10"/>
      <w:r w:rsidRPr="00C821EB">
        <w:t>, případně uveďte, že projekt v žádném z popsaných postupů nepodléhá územní rozhodnutí atp.</w:t>
      </w:r>
    </w:p>
  </w:footnote>
  <w:footnote w:id="12">
    <w:p w14:paraId="54296620" w14:textId="77777777" w:rsidR="002267C4" w:rsidRDefault="002267C4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3">
    <w:p w14:paraId="1F37205B" w14:textId="34F53616" w:rsidR="000408E3" w:rsidRDefault="000408E3" w:rsidP="000408E3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</w:t>
      </w:r>
      <w:r>
        <w:t>, případně nad rámec požadavků prováděcí vyhlášky, která tuto vyhlášku nahradí</w:t>
      </w:r>
      <w:r w:rsidR="0076202D">
        <w:t>,</w:t>
      </w:r>
      <w:r w:rsidRPr="004F2BF9">
        <w:t xml:space="preserve"> </w:t>
      </w:r>
      <w:r>
        <w:t>nebo potřeba pořízení specifických pomůcek a vybavení z důvodu zjištěné a doložené potřeby zařazení většího počtu osob se specifickými požadavky.</w:t>
      </w:r>
    </w:p>
  </w:footnote>
  <w:footnote w:id="14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5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</w:t>
      </w:r>
      <w:proofErr w:type="spellStart"/>
      <w:r>
        <w:t>Ganttova</w:t>
      </w:r>
      <w:proofErr w:type="spellEnd"/>
      <w:r>
        <w:t xml:space="preserve">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6">
    <w:p w14:paraId="33450671" w14:textId="29B63DEF" w:rsidR="000408E3" w:rsidRDefault="000408E3" w:rsidP="000408E3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</w:t>
      </w:r>
      <w:r>
        <w:t>žádosti</w:t>
      </w:r>
      <w:r w:rsidRPr="0095426C">
        <w:t xml:space="preserve">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č. </w:t>
      </w:r>
      <w:r w:rsidRPr="00041467">
        <w:t>499/2006</w:t>
      </w:r>
      <w:r>
        <w:t xml:space="preserve"> Sb</w:t>
      </w:r>
      <w:bookmarkStart w:id="17" w:name="_Hlk166512860"/>
      <w:r>
        <w:t>., případně projektová dokumentace odpovídající výše uvedenému vypracovaná dle prováděcí vyhlášky k zákonu č. 283/2021 Sb., ve znění pozdějších předpisů</w:t>
      </w:r>
      <w:bookmarkEnd w:id="17"/>
      <w:r>
        <w:t>.</w:t>
      </w:r>
    </w:p>
  </w:footnote>
  <w:footnote w:id="17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8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9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20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21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22">
    <w:p w14:paraId="66E87B7D" w14:textId="30E35EAC" w:rsidR="00917A54" w:rsidRPr="009D5028" w:rsidRDefault="00917A54" w:rsidP="00793DA5">
      <w:pPr>
        <w:pStyle w:val="Textpoznpodarou"/>
        <w:jc w:val="both"/>
        <w:rPr>
          <w:rFonts w:ascii="Calibri" w:hAnsi="Calibri" w:cs="Calibri"/>
          <w:sz w:val="18"/>
          <w:szCs w:val="18"/>
          <w:highlight w:val="lightGray"/>
        </w:rPr>
      </w:pPr>
      <w:r w:rsidRPr="00180249">
        <w:rPr>
          <w:rStyle w:val="Znakapoznpodarou"/>
          <w:rFonts w:ascii="Calibri" w:hAnsi="Calibri" w:cs="Calibri"/>
          <w:sz w:val="18"/>
          <w:szCs w:val="18"/>
        </w:rPr>
        <w:footnoteRef/>
      </w:r>
      <w:r w:rsidRPr="00180249">
        <w:rPr>
          <w:rFonts w:ascii="Calibri" w:hAnsi="Calibri" w:cs="Calibri"/>
          <w:sz w:val="18"/>
          <w:szCs w:val="18"/>
        </w:rPr>
        <w:t xml:space="preserve"> Výše podpory z RRF představuje výši celkových způsobilých výdajů projektu bez DPH.</w:t>
      </w:r>
    </w:p>
  </w:footnote>
  <w:footnote w:id="23">
    <w:p w14:paraId="040FEE3B" w14:textId="2494C204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Z celkové částky vč. DPH.</w:t>
      </w:r>
    </w:p>
  </w:footnote>
  <w:footnote w:id="24">
    <w:p w14:paraId="3635FD63" w14:textId="7406826C" w:rsidR="009B51AB" w:rsidRDefault="009B51AB">
      <w:pPr>
        <w:pStyle w:val="Textpoznpodarou"/>
      </w:pPr>
      <w:r>
        <w:rPr>
          <w:rStyle w:val="Znakapoznpodarou"/>
        </w:rPr>
        <w:footnoteRef/>
      </w:r>
      <w:r>
        <w:t xml:space="preserve"> Celkové způsobilé výdaje projektu bez DPH.</w:t>
      </w:r>
    </w:p>
  </w:footnote>
  <w:footnote w:id="25">
    <w:p w14:paraId="70EB316A" w14:textId="782EA69B" w:rsidR="00E61F4F" w:rsidRDefault="00E61F4F">
      <w:pPr>
        <w:pStyle w:val="Textpoznpodarou"/>
      </w:pPr>
      <w:r>
        <w:rPr>
          <w:rStyle w:val="Znakapoznpodarou"/>
        </w:rPr>
        <w:footnoteRef/>
      </w:r>
      <w:r>
        <w:t xml:space="preserve"> V případě NNO část podpory připadající na DPH.</w:t>
      </w:r>
    </w:p>
  </w:footnote>
  <w:footnote w:id="26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7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  <w:footnote w:id="28">
    <w:p w14:paraId="472D93E5" w14:textId="53A9CAA6" w:rsidR="00502CA7" w:rsidRDefault="00502C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B65188">
        <w:t>Jedná se o fázi přípravnou, fázi realizační a fázi udržitelnosti.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5A1A27A8" w:rsidR="00AC4402" w:rsidRDefault="0028499A" w:rsidP="0028499A">
    <w:pPr>
      <w:pStyle w:val="Zhlav"/>
      <w:tabs>
        <w:tab w:val="clear" w:pos="4536"/>
        <w:tab w:val="clear" w:pos="9072"/>
        <w:tab w:val="left" w:pos="63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0640D330" w:rsidR="00AC4402" w:rsidRDefault="0047414D">
    <w:pPr>
      <w:pStyle w:val="Zhlav"/>
    </w:pPr>
    <w:r>
      <w:rPr>
        <w:noProof/>
      </w:rPr>
      <w:drawing>
        <wp:inline distT="0" distB="0" distL="0" distR="0" wp14:anchorId="7FF28192" wp14:editId="5254CFED">
          <wp:extent cx="5759450" cy="5588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1D93"/>
    <w:multiLevelType w:val="hybridMultilevel"/>
    <w:tmpl w:val="C1B864A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91003">
    <w:abstractNumId w:val="1"/>
  </w:num>
  <w:num w:numId="2" w16cid:durableId="1386101757">
    <w:abstractNumId w:val="10"/>
  </w:num>
  <w:num w:numId="3" w16cid:durableId="506135716">
    <w:abstractNumId w:val="6"/>
  </w:num>
  <w:num w:numId="4" w16cid:durableId="1405493495">
    <w:abstractNumId w:val="3"/>
  </w:num>
  <w:num w:numId="5" w16cid:durableId="41026274">
    <w:abstractNumId w:val="0"/>
  </w:num>
  <w:num w:numId="6" w16cid:durableId="581181722">
    <w:abstractNumId w:val="8"/>
  </w:num>
  <w:num w:numId="7" w16cid:durableId="681202103">
    <w:abstractNumId w:val="4"/>
  </w:num>
  <w:num w:numId="8" w16cid:durableId="643390392">
    <w:abstractNumId w:val="5"/>
  </w:num>
  <w:num w:numId="9" w16cid:durableId="1593664546">
    <w:abstractNumId w:val="2"/>
  </w:num>
  <w:num w:numId="10" w16cid:durableId="954556366">
    <w:abstractNumId w:val="7"/>
  </w:num>
  <w:num w:numId="11" w16cid:durableId="100127548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613"/>
    <w:rsid w:val="000408E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57F67"/>
    <w:rsid w:val="00064B38"/>
    <w:rsid w:val="00064D07"/>
    <w:rsid w:val="00070FE9"/>
    <w:rsid w:val="000732B1"/>
    <w:rsid w:val="0007706A"/>
    <w:rsid w:val="00077E83"/>
    <w:rsid w:val="0008318B"/>
    <w:rsid w:val="000855EE"/>
    <w:rsid w:val="000959F6"/>
    <w:rsid w:val="00096838"/>
    <w:rsid w:val="00096CF6"/>
    <w:rsid w:val="000A00E0"/>
    <w:rsid w:val="000A1CB9"/>
    <w:rsid w:val="000B0815"/>
    <w:rsid w:val="000B1D27"/>
    <w:rsid w:val="000B5AC9"/>
    <w:rsid w:val="000B5C1F"/>
    <w:rsid w:val="000B5F15"/>
    <w:rsid w:val="000B6673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32D0"/>
    <w:rsid w:val="00103EBB"/>
    <w:rsid w:val="0010473A"/>
    <w:rsid w:val="00105248"/>
    <w:rsid w:val="0010622E"/>
    <w:rsid w:val="00106FBD"/>
    <w:rsid w:val="00116EFF"/>
    <w:rsid w:val="00122F9F"/>
    <w:rsid w:val="00124E28"/>
    <w:rsid w:val="00126884"/>
    <w:rsid w:val="00127189"/>
    <w:rsid w:val="00136BFF"/>
    <w:rsid w:val="0013788D"/>
    <w:rsid w:val="001379B5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249"/>
    <w:rsid w:val="001807D9"/>
    <w:rsid w:val="00180D5F"/>
    <w:rsid w:val="00181627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21C5"/>
    <w:rsid w:val="002231FA"/>
    <w:rsid w:val="002265AB"/>
    <w:rsid w:val="002267C4"/>
    <w:rsid w:val="00230128"/>
    <w:rsid w:val="00231F50"/>
    <w:rsid w:val="002351FF"/>
    <w:rsid w:val="002374F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70DF0"/>
    <w:rsid w:val="002748BB"/>
    <w:rsid w:val="0027681B"/>
    <w:rsid w:val="002774D5"/>
    <w:rsid w:val="0028499A"/>
    <w:rsid w:val="002856AA"/>
    <w:rsid w:val="00286C01"/>
    <w:rsid w:val="002928DB"/>
    <w:rsid w:val="00292D21"/>
    <w:rsid w:val="002A4DEE"/>
    <w:rsid w:val="002A5036"/>
    <w:rsid w:val="002B1288"/>
    <w:rsid w:val="002B2264"/>
    <w:rsid w:val="002B36F6"/>
    <w:rsid w:val="002B37F9"/>
    <w:rsid w:val="002B5CFC"/>
    <w:rsid w:val="002B6820"/>
    <w:rsid w:val="002C177C"/>
    <w:rsid w:val="002C182E"/>
    <w:rsid w:val="002C48D4"/>
    <w:rsid w:val="002C73DA"/>
    <w:rsid w:val="002D33DC"/>
    <w:rsid w:val="002D5318"/>
    <w:rsid w:val="002D5D22"/>
    <w:rsid w:val="002D7D79"/>
    <w:rsid w:val="002E1C41"/>
    <w:rsid w:val="002E2641"/>
    <w:rsid w:val="002E2659"/>
    <w:rsid w:val="002E2706"/>
    <w:rsid w:val="002E4323"/>
    <w:rsid w:val="002E5A45"/>
    <w:rsid w:val="002E7D07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0E43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62C59"/>
    <w:rsid w:val="003630DC"/>
    <w:rsid w:val="00364C12"/>
    <w:rsid w:val="00381AE7"/>
    <w:rsid w:val="003869C2"/>
    <w:rsid w:val="003900DA"/>
    <w:rsid w:val="003934F6"/>
    <w:rsid w:val="003941A7"/>
    <w:rsid w:val="003A16AB"/>
    <w:rsid w:val="003A1961"/>
    <w:rsid w:val="003A442E"/>
    <w:rsid w:val="003A7FCE"/>
    <w:rsid w:val="003B1000"/>
    <w:rsid w:val="003B1464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27BF"/>
    <w:rsid w:val="004241BD"/>
    <w:rsid w:val="00426B84"/>
    <w:rsid w:val="00426D84"/>
    <w:rsid w:val="00427346"/>
    <w:rsid w:val="00435923"/>
    <w:rsid w:val="004433A8"/>
    <w:rsid w:val="00446225"/>
    <w:rsid w:val="00450732"/>
    <w:rsid w:val="00451FAE"/>
    <w:rsid w:val="0045388B"/>
    <w:rsid w:val="00455E7A"/>
    <w:rsid w:val="0046137B"/>
    <w:rsid w:val="00461931"/>
    <w:rsid w:val="00462729"/>
    <w:rsid w:val="00463C40"/>
    <w:rsid w:val="00467ED7"/>
    <w:rsid w:val="004730D4"/>
    <w:rsid w:val="0047414D"/>
    <w:rsid w:val="004765E0"/>
    <w:rsid w:val="004770A6"/>
    <w:rsid w:val="0048147C"/>
    <w:rsid w:val="00481BF2"/>
    <w:rsid w:val="004827C4"/>
    <w:rsid w:val="00482EA1"/>
    <w:rsid w:val="004849AE"/>
    <w:rsid w:val="00485C1D"/>
    <w:rsid w:val="00486968"/>
    <w:rsid w:val="00486A98"/>
    <w:rsid w:val="00487362"/>
    <w:rsid w:val="00492636"/>
    <w:rsid w:val="00495F85"/>
    <w:rsid w:val="0049642C"/>
    <w:rsid w:val="00497E2C"/>
    <w:rsid w:val="004A0682"/>
    <w:rsid w:val="004A323F"/>
    <w:rsid w:val="004A4BD7"/>
    <w:rsid w:val="004A55CA"/>
    <w:rsid w:val="004A5DEC"/>
    <w:rsid w:val="004A60E2"/>
    <w:rsid w:val="004B1E38"/>
    <w:rsid w:val="004B2365"/>
    <w:rsid w:val="004B689F"/>
    <w:rsid w:val="004C1280"/>
    <w:rsid w:val="004C1F92"/>
    <w:rsid w:val="004C6137"/>
    <w:rsid w:val="004D0699"/>
    <w:rsid w:val="004D5710"/>
    <w:rsid w:val="004D5F4B"/>
    <w:rsid w:val="004D6B92"/>
    <w:rsid w:val="004E0113"/>
    <w:rsid w:val="004E0B47"/>
    <w:rsid w:val="004E13C3"/>
    <w:rsid w:val="004E16F6"/>
    <w:rsid w:val="004E1A16"/>
    <w:rsid w:val="004E26F7"/>
    <w:rsid w:val="004E40EF"/>
    <w:rsid w:val="004F039D"/>
    <w:rsid w:val="004F2AFD"/>
    <w:rsid w:val="004F2BF9"/>
    <w:rsid w:val="004F3D4D"/>
    <w:rsid w:val="0050050C"/>
    <w:rsid w:val="00500FB2"/>
    <w:rsid w:val="00502641"/>
    <w:rsid w:val="00502883"/>
    <w:rsid w:val="00502CA7"/>
    <w:rsid w:val="00504321"/>
    <w:rsid w:val="00505FB6"/>
    <w:rsid w:val="00513EC9"/>
    <w:rsid w:val="00517042"/>
    <w:rsid w:val="00520431"/>
    <w:rsid w:val="005211DB"/>
    <w:rsid w:val="00521E95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F25"/>
    <w:rsid w:val="005B2A3E"/>
    <w:rsid w:val="005B2F27"/>
    <w:rsid w:val="005B322B"/>
    <w:rsid w:val="005B3237"/>
    <w:rsid w:val="005B64B6"/>
    <w:rsid w:val="005B7065"/>
    <w:rsid w:val="005C107D"/>
    <w:rsid w:val="005C19FC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36D"/>
    <w:rsid w:val="006803CD"/>
    <w:rsid w:val="00682152"/>
    <w:rsid w:val="00683855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2201"/>
    <w:rsid w:val="00723357"/>
    <w:rsid w:val="00724B2F"/>
    <w:rsid w:val="0073069D"/>
    <w:rsid w:val="00730F31"/>
    <w:rsid w:val="00731AC6"/>
    <w:rsid w:val="00734ABD"/>
    <w:rsid w:val="00740AA9"/>
    <w:rsid w:val="00745FA5"/>
    <w:rsid w:val="007517DF"/>
    <w:rsid w:val="00752664"/>
    <w:rsid w:val="007564DB"/>
    <w:rsid w:val="00756FC2"/>
    <w:rsid w:val="0075715C"/>
    <w:rsid w:val="0076202D"/>
    <w:rsid w:val="007631AA"/>
    <w:rsid w:val="007633F7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2D7A"/>
    <w:rsid w:val="00804166"/>
    <w:rsid w:val="008049D6"/>
    <w:rsid w:val="00806D2A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4F3C"/>
    <w:rsid w:val="00844F46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1996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17E7"/>
    <w:rsid w:val="008C41CC"/>
    <w:rsid w:val="008C5A6B"/>
    <w:rsid w:val="008D3088"/>
    <w:rsid w:val="008D59EE"/>
    <w:rsid w:val="008D5DB2"/>
    <w:rsid w:val="008D6002"/>
    <w:rsid w:val="008E1273"/>
    <w:rsid w:val="008E1478"/>
    <w:rsid w:val="008E20CB"/>
    <w:rsid w:val="008E5C9C"/>
    <w:rsid w:val="008E64AE"/>
    <w:rsid w:val="008F0161"/>
    <w:rsid w:val="008F20B7"/>
    <w:rsid w:val="008F38C0"/>
    <w:rsid w:val="00900F86"/>
    <w:rsid w:val="00902F5B"/>
    <w:rsid w:val="00911137"/>
    <w:rsid w:val="00911A40"/>
    <w:rsid w:val="009125DD"/>
    <w:rsid w:val="00912E38"/>
    <w:rsid w:val="00917A54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64ED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1AB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F44"/>
    <w:rsid w:val="00A24831"/>
    <w:rsid w:val="00A308D0"/>
    <w:rsid w:val="00A311A0"/>
    <w:rsid w:val="00A33F6A"/>
    <w:rsid w:val="00A34D11"/>
    <w:rsid w:val="00A36800"/>
    <w:rsid w:val="00A36BC0"/>
    <w:rsid w:val="00A4364E"/>
    <w:rsid w:val="00A437B9"/>
    <w:rsid w:val="00A4478F"/>
    <w:rsid w:val="00A45B2C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34EE"/>
    <w:rsid w:val="00AB577F"/>
    <w:rsid w:val="00AB58A9"/>
    <w:rsid w:val="00AB7BA1"/>
    <w:rsid w:val="00AC4402"/>
    <w:rsid w:val="00AC782D"/>
    <w:rsid w:val="00AD0021"/>
    <w:rsid w:val="00AD07A4"/>
    <w:rsid w:val="00AD3ACE"/>
    <w:rsid w:val="00AD471F"/>
    <w:rsid w:val="00AD7089"/>
    <w:rsid w:val="00AD7DB2"/>
    <w:rsid w:val="00AE3A0C"/>
    <w:rsid w:val="00AE49FB"/>
    <w:rsid w:val="00AE63D2"/>
    <w:rsid w:val="00AE7A0B"/>
    <w:rsid w:val="00AF4367"/>
    <w:rsid w:val="00B0097D"/>
    <w:rsid w:val="00B011E7"/>
    <w:rsid w:val="00B031A2"/>
    <w:rsid w:val="00B07AF7"/>
    <w:rsid w:val="00B10365"/>
    <w:rsid w:val="00B12230"/>
    <w:rsid w:val="00B15579"/>
    <w:rsid w:val="00B20288"/>
    <w:rsid w:val="00B2028E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120"/>
    <w:rsid w:val="00B65188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77FA2"/>
    <w:rsid w:val="00B8276E"/>
    <w:rsid w:val="00B83E2D"/>
    <w:rsid w:val="00B847EC"/>
    <w:rsid w:val="00B853C0"/>
    <w:rsid w:val="00B87153"/>
    <w:rsid w:val="00B92155"/>
    <w:rsid w:val="00BA098A"/>
    <w:rsid w:val="00BA54FC"/>
    <w:rsid w:val="00BA5EDE"/>
    <w:rsid w:val="00BA678E"/>
    <w:rsid w:val="00BA6AE3"/>
    <w:rsid w:val="00BB0D26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66C41"/>
    <w:rsid w:val="00C71701"/>
    <w:rsid w:val="00C73BF2"/>
    <w:rsid w:val="00C7421C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22AB"/>
    <w:rsid w:val="00D03FB8"/>
    <w:rsid w:val="00D06468"/>
    <w:rsid w:val="00D06AC7"/>
    <w:rsid w:val="00D104DB"/>
    <w:rsid w:val="00D1689A"/>
    <w:rsid w:val="00D178A6"/>
    <w:rsid w:val="00D17CF4"/>
    <w:rsid w:val="00D22F31"/>
    <w:rsid w:val="00D2667A"/>
    <w:rsid w:val="00D26BB0"/>
    <w:rsid w:val="00D274DD"/>
    <w:rsid w:val="00D27A31"/>
    <w:rsid w:val="00D31095"/>
    <w:rsid w:val="00D33570"/>
    <w:rsid w:val="00D361B7"/>
    <w:rsid w:val="00D366B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41"/>
    <w:rsid w:val="00D75BD2"/>
    <w:rsid w:val="00D77E91"/>
    <w:rsid w:val="00D82772"/>
    <w:rsid w:val="00D8393B"/>
    <w:rsid w:val="00D862FB"/>
    <w:rsid w:val="00D87C4A"/>
    <w:rsid w:val="00D948A7"/>
    <w:rsid w:val="00DA16A0"/>
    <w:rsid w:val="00DA1BA9"/>
    <w:rsid w:val="00DA4909"/>
    <w:rsid w:val="00DA4951"/>
    <w:rsid w:val="00DA5275"/>
    <w:rsid w:val="00DA67EE"/>
    <w:rsid w:val="00DA7674"/>
    <w:rsid w:val="00DB0C68"/>
    <w:rsid w:val="00DB2BD5"/>
    <w:rsid w:val="00DB55A5"/>
    <w:rsid w:val="00DB68B6"/>
    <w:rsid w:val="00DC2F30"/>
    <w:rsid w:val="00DC6CA1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55F2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6C6F"/>
    <w:rsid w:val="00E67E8F"/>
    <w:rsid w:val="00E72B02"/>
    <w:rsid w:val="00E80145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31455"/>
    <w:rsid w:val="00F33CAB"/>
    <w:rsid w:val="00F37560"/>
    <w:rsid w:val="00F401AB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0E0"/>
    <w:rsid w:val="00F70BB4"/>
    <w:rsid w:val="00F714A4"/>
    <w:rsid w:val="00F728D3"/>
    <w:rsid w:val="00F72ADC"/>
    <w:rsid w:val="00F76D75"/>
    <w:rsid w:val="00F7792B"/>
    <w:rsid w:val="00F84F3F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714A4"/>
    <w:pPr>
      <w:tabs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37</Pages>
  <Words>4150</Words>
  <Characters>24489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Vostrčil Jan Mgr. (MPSV)</cp:lastModifiedBy>
  <cp:revision>8</cp:revision>
  <cp:lastPrinted>2024-06-21T08:01:00Z</cp:lastPrinted>
  <dcterms:created xsi:type="dcterms:W3CDTF">2024-06-14T07:34:00Z</dcterms:created>
  <dcterms:modified xsi:type="dcterms:W3CDTF">2024-06-21T08:01:00Z</dcterms:modified>
</cp:coreProperties>
</file>