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E72B2" w14:textId="229E0BB1" w:rsidR="008C6E0C" w:rsidRPr="00E539FD" w:rsidRDefault="008C6E0C" w:rsidP="00813E0C">
      <w:pPr>
        <w:spacing w:after="0" w:line="276" w:lineRule="auto"/>
        <w:jc w:val="center"/>
        <w:rPr>
          <w:sz w:val="32"/>
          <w:szCs w:val="32"/>
          <w:lang w:val="en-GB"/>
        </w:rPr>
      </w:pPr>
      <w:r w:rsidRPr="00E539FD">
        <w:rPr>
          <w:sz w:val="32"/>
          <w:szCs w:val="32"/>
          <w:lang w:val="en-GB"/>
        </w:rPr>
        <w:t>Panel information</w:t>
      </w:r>
    </w:p>
    <w:p w14:paraId="3312FF6A" w14:textId="77777777" w:rsidR="008C6E0C" w:rsidRPr="00E539FD" w:rsidRDefault="008C6E0C" w:rsidP="00813E0C">
      <w:pPr>
        <w:spacing w:line="276" w:lineRule="auto"/>
        <w:jc w:val="center"/>
        <w:rPr>
          <w:b/>
          <w:bCs/>
          <w:sz w:val="32"/>
          <w:szCs w:val="32"/>
          <w:lang w:val="en-GB"/>
        </w:rPr>
      </w:pPr>
      <w:r w:rsidRPr="00E539FD">
        <w:rPr>
          <w:b/>
          <w:bCs/>
          <w:sz w:val="32"/>
          <w:szCs w:val="32"/>
          <w:lang w:val="en-GB"/>
        </w:rPr>
        <w:t xml:space="preserve">The Presidency Conference on Integration of People with Disabilities into the Labour Market </w:t>
      </w:r>
    </w:p>
    <w:p w14:paraId="7ADD5CCC" w14:textId="77777777" w:rsidR="008C6E0C" w:rsidRPr="00E539FD" w:rsidRDefault="008C6E0C" w:rsidP="00813E0C">
      <w:pPr>
        <w:spacing w:line="276" w:lineRule="auto"/>
        <w:jc w:val="center"/>
        <w:rPr>
          <w:b/>
          <w:bCs/>
          <w:sz w:val="32"/>
          <w:szCs w:val="32"/>
          <w:lang w:val="en-GB"/>
        </w:rPr>
      </w:pPr>
      <w:r w:rsidRPr="00E539FD">
        <w:rPr>
          <w:b/>
          <w:bCs/>
          <w:sz w:val="32"/>
          <w:szCs w:val="32"/>
          <w:lang w:val="en-GB"/>
        </w:rPr>
        <w:t>20 - 21 September 2022, Prague</w:t>
      </w:r>
    </w:p>
    <w:p w14:paraId="355B3479" w14:textId="06F8D5C2" w:rsidR="008C6E0C" w:rsidRPr="00E539FD" w:rsidRDefault="008C6E0C" w:rsidP="00813E0C">
      <w:pPr>
        <w:spacing w:line="276" w:lineRule="auto"/>
        <w:jc w:val="both"/>
        <w:rPr>
          <w:sz w:val="24"/>
          <w:szCs w:val="24"/>
          <w:lang w:val="en-GB"/>
        </w:rPr>
      </w:pPr>
    </w:p>
    <w:p w14:paraId="45712FBF" w14:textId="77777777" w:rsidR="008C6E0C" w:rsidRPr="00E539FD" w:rsidRDefault="008C6E0C" w:rsidP="00813E0C">
      <w:pPr>
        <w:spacing w:after="0" w:line="276" w:lineRule="auto"/>
        <w:jc w:val="both"/>
        <w:rPr>
          <w:b/>
          <w:bCs/>
          <w:sz w:val="24"/>
          <w:szCs w:val="24"/>
          <w:lang w:val="en-GB"/>
        </w:rPr>
      </w:pPr>
      <w:r w:rsidRPr="00E539FD">
        <w:rPr>
          <w:b/>
          <w:bCs/>
          <w:sz w:val="24"/>
          <w:szCs w:val="24"/>
          <w:lang w:val="en-GB"/>
        </w:rPr>
        <w:t>Tuesday 20 September 2022</w:t>
      </w:r>
    </w:p>
    <w:p w14:paraId="23B4944C" w14:textId="77777777" w:rsidR="008C6E0C" w:rsidRPr="00E539FD" w:rsidRDefault="008C6E0C" w:rsidP="00813E0C">
      <w:pPr>
        <w:spacing w:after="0" w:line="276" w:lineRule="auto"/>
        <w:jc w:val="both"/>
        <w:rPr>
          <w:b/>
          <w:bCs/>
          <w:color w:val="4472C4" w:themeColor="accent1"/>
          <w:sz w:val="24"/>
          <w:szCs w:val="24"/>
          <w:lang w:val="en-GB"/>
        </w:rPr>
      </w:pPr>
      <w:r w:rsidRPr="00E539FD">
        <w:rPr>
          <w:b/>
          <w:bCs/>
          <w:color w:val="4472C4" w:themeColor="accent1"/>
          <w:sz w:val="24"/>
          <w:szCs w:val="24"/>
          <w:lang w:val="en-GB"/>
        </w:rPr>
        <w:t>Panel 1</w:t>
      </w:r>
    </w:p>
    <w:p w14:paraId="61A9EE0A" w14:textId="77777777" w:rsidR="008C6E0C" w:rsidRPr="00E539FD" w:rsidRDefault="008C6E0C" w:rsidP="00813E0C">
      <w:pPr>
        <w:spacing w:after="0" w:line="276" w:lineRule="auto"/>
        <w:jc w:val="both"/>
        <w:rPr>
          <w:b/>
          <w:bCs/>
          <w:color w:val="4472C4" w:themeColor="accent1"/>
          <w:sz w:val="24"/>
          <w:szCs w:val="24"/>
          <w:lang w:val="en-GB"/>
        </w:rPr>
      </w:pPr>
      <w:r w:rsidRPr="00E539FD">
        <w:rPr>
          <w:b/>
          <w:bCs/>
          <w:color w:val="4472C4" w:themeColor="accent1"/>
          <w:sz w:val="24"/>
          <w:szCs w:val="24"/>
          <w:lang w:val="en-GB"/>
        </w:rPr>
        <w:t>Opening</w:t>
      </w:r>
    </w:p>
    <w:p w14:paraId="73EACE4E" w14:textId="309D20E8" w:rsidR="008C6E0C" w:rsidRPr="00E539FD" w:rsidRDefault="008C6E0C" w:rsidP="00813E0C">
      <w:pPr>
        <w:spacing w:line="276" w:lineRule="auto"/>
        <w:jc w:val="both"/>
        <w:rPr>
          <w:sz w:val="24"/>
          <w:szCs w:val="24"/>
          <w:lang w:val="en-GB"/>
        </w:rPr>
      </w:pPr>
      <w:r w:rsidRPr="00E539FD">
        <w:rPr>
          <w:sz w:val="24"/>
          <w:szCs w:val="24"/>
          <w:lang w:val="en-GB"/>
        </w:rPr>
        <w:t xml:space="preserve">In the opening panel, we expect a discussion </w:t>
      </w:r>
      <w:r w:rsidR="00890F6C">
        <w:rPr>
          <w:sz w:val="24"/>
          <w:szCs w:val="24"/>
          <w:lang w:val="en-GB"/>
        </w:rPr>
        <w:t>among</w:t>
      </w:r>
      <w:r w:rsidR="00890F6C" w:rsidRPr="00E539FD">
        <w:rPr>
          <w:sz w:val="24"/>
          <w:szCs w:val="24"/>
          <w:lang w:val="en-GB"/>
        </w:rPr>
        <w:t xml:space="preserve"> </w:t>
      </w:r>
      <w:r w:rsidRPr="00E539FD">
        <w:rPr>
          <w:sz w:val="24"/>
          <w:szCs w:val="24"/>
          <w:lang w:val="en-GB"/>
        </w:rPr>
        <w:t>the Commissioner</w:t>
      </w:r>
      <w:r w:rsidR="002C28DF" w:rsidRPr="00E539FD">
        <w:rPr>
          <w:sz w:val="24"/>
          <w:szCs w:val="24"/>
          <w:lang w:val="en-GB"/>
        </w:rPr>
        <w:t xml:space="preserve"> </w:t>
      </w:r>
      <w:proofErr w:type="spellStart"/>
      <w:r w:rsidR="002C28DF" w:rsidRPr="00E539FD">
        <w:rPr>
          <w:sz w:val="24"/>
          <w:szCs w:val="24"/>
          <w:lang w:val="en-GB"/>
        </w:rPr>
        <w:t>Dalli</w:t>
      </w:r>
      <w:proofErr w:type="spellEnd"/>
      <w:r w:rsidRPr="00E539FD">
        <w:rPr>
          <w:sz w:val="24"/>
          <w:szCs w:val="24"/>
          <w:lang w:val="en-GB"/>
        </w:rPr>
        <w:t xml:space="preserve"> and Member State representatives at ministerial level in the context of the European strategic documents on </w:t>
      </w:r>
      <w:r w:rsidR="002C28DF" w:rsidRPr="00E539FD">
        <w:rPr>
          <w:sz w:val="24"/>
          <w:szCs w:val="24"/>
          <w:lang w:val="en-GB"/>
        </w:rPr>
        <w:t xml:space="preserve">the Strategy for The Rights of Persons with Disabilities 2021-2030 </w:t>
      </w:r>
      <w:r w:rsidRPr="00E539FD">
        <w:rPr>
          <w:sz w:val="24"/>
          <w:szCs w:val="24"/>
          <w:lang w:val="en-GB"/>
        </w:rPr>
        <w:t xml:space="preserve">and </w:t>
      </w:r>
      <w:r w:rsidR="002C28DF" w:rsidRPr="00E539FD">
        <w:rPr>
          <w:sz w:val="24"/>
          <w:szCs w:val="24"/>
          <w:lang w:val="en-GB"/>
        </w:rPr>
        <w:t>The Social Economy Action Plan</w:t>
      </w:r>
      <w:r w:rsidRPr="00E539FD">
        <w:rPr>
          <w:sz w:val="24"/>
          <w:szCs w:val="24"/>
          <w:lang w:val="en-GB"/>
        </w:rPr>
        <w:t xml:space="preserve">. </w:t>
      </w:r>
    </w:p>
    <w:p w14:paraId="11F97C0D" w14:textId="0801F8E4" w:rsidR="008C6E0C" w:rsidRPr="00E539FD" w:rsidRDefault="008C6E0C" w:rsidP="00813E0C">
      <w:pPr>
        <w:spacing w:line="276" w:lineRule="auto"/>
        <w:jc w:val="both"/>
        <w:rPr>
          <w:sz w:val="24"/>
          <w:szCs w:val="24"/>
          <w:lang w:val="en-GB"/>
        </w:rPr>
      </w:pPr>
      <w:r w:rsidRPr="00E539FD">
        <w:rPr>
          <w:sz w:val="24"/>
          <w:szCs w:val="24"/>
          <w:lang w:val="en-GB"/>
        </w:rPr>
        <w:t>The European Pillar of Social Rights declares that people with disabilities have the right to</w:t>
      </w:r>
      <w:r w:rsidR="00890F6C">
        <w:rPr>
          <w:sz w:val="24"/>
          <w:szCs w:val="24"/>
          <w:lang w:val="en-GB"/>
        </w:rPr>
        <w:t xml:space="preserve"> have an</w:t>
      </w:r>
      <w:r w:rsidRPr="00E539FD">
        <w:rPr>
          <w:sz w:val="24"/>
          <w:szCs w:val="24"/>
          <w:lang w:val="en-GB"/>
        </w:rPr>
        <w:t xml:space="preserve"> income support that ensures a decent life, </w:t>
      </w:r>
      <w:r w:rsidR="00890F6C">
        <w:rPr>
          <w:sz w:val="24"/>
          <w:szCs w:val="24"/>
          <w:lang w:val="en-GB"/>
        </w:rPr>
        <w:t xml:space="preserve">right </w:t>
      </w:r>
      <w:r w:rsidRPr="00E539FD">
        <w:rPr>
          <w:sz w:val="24"/>
          <w:szCs w:val="24"/>
          <w:lang w:val="en-GB"/>
        </w:rPr>
        <w:t xml:space="preserve">to </w:t>
      </w:r>
      <w:r w:rsidR="00890F6C">
        <w:rPr>
          <w:sz w:val="24"/>
          <w:szCs w:val="24"/>
          <w:lang w:val="en-GB"/>
        </w:rPr>
        <w:t xml:space="preserve">access </w:t>
      </w:r>
      <w:r w:rsidRPr="00E539FD">
        <w:rPr>
          <w:sz w:val="24"/>
          <w:szCs w:val="24"/>
          <w:lang w:val="en-GB"/>
        </w:rPr>
        <w:t>services that enable them to participate in the labour market and society, and</w:t>
      </w:r>
      <w:r w:rsidR="00890F6C">
        <w:rPr>
          <w:sz w:val="24"/>
          <w:szCs w:val="24"/>
          <w:lang w:val="en-GB"/>
        </w:rPr>
        <w:t xml:space="preserve"> the right</w:t>
      </w:r>
      <w:r w:rsidRPr="00E539FD">
        <w:rPr>
          <w:sz w:val="24"/>
          <w:szCs w:val="24"/>
          <w:lang w:val="en-GB"/>
        </w:rPr>
        <w:t xml:space="preserve"> to a working environment adapted to their needs. </w:t>
      </w:r>
    </w:p>
    <w:p w14:paraId="39277975" w14:textId="31783A53" w:rsidR="000768F6" w:rsidRPr="00E539FD" w:rsidRDefault="008C6E0C" w:rsidP="00813E0C">
      <w:pPr>
        <w:spacing w:line="276" w:lineRule="auto"/>
        <w:jc w:val="both"/>
        <w:rPr>
          <w:sz w:val="24"/>
          <w:szCs w:val="24"/>
          <w:lang w:val="en-GB"/>
        </w:rPr>
      </w:pPr>
      <w:r w:rsidRPr="00E539FD">
        <w:rPr>
          <w:sz w:val="24"/>
          <w:szCs w:val="24"/>
          <w:lang w:val="en-GB"/>
        </w:rPr>
        <w:t>Ministers will brief participants on the challenges faced by people with disabilities in their specific countries. They will focus on the access of persons with disabilities to the labour market, particular</w:t>
      </w:r>
      <w:r w:rsidR="006A30C4">
        <w:rPr>
          <w:sz w:val="24"/>
          <w:szCs w:val="24"/>
          <w:lang w:val="en-GB"/>
        </w:rPr>
        <w:t>ly</w:t>
      </w:r>
      <w:r w:rsidRPr="00E539FD">
        <w:rPr>
          <w:sz w:val="24"/>
          <w:szCs w:val="24"/>
          <w:lang w:val="en-GB"/>
        </w:rPr>
        <w:t xml:space="preserve"> to the open labour market. Ministers will comment on the expectations from the European Commission's initiative in the form of </w:t>
      </w:r>
      <w:r w:rsidR="002C28DF" w:rsidRPr="00E539FD">
        <w:rPr>
          <w:i/>
          <w:sz w:val="24"/>
          <w:szCs w:val="24"/>
          <w:lang w:val="en-GB"/>
        </w:rPr>
        <w:t>The Disability Employment Package</w:t>
      </w:r>
      <w:r w:rsidR="002C28DF" w:rsidRPr="00E539FD">
        <w:rPr>
          <w:sz w:val="24"/>
          <w:szCs w:val="24"/>
          <w:lang w:val="en-GB"/>
        </w:rPr>
        <w:t>.</w:t>
      </w:r>
    </w:p>
    <w:p w14:paraId="1E1623A7" w14:textId="77777777" w:rsidR="00E56C6E" w:rsidRPr="00E539FD" w:rsidRDefault="00E56C6E" w:rsidP="00813E0C">
      <w:pPr>
        <w:spacing w:after="0" w:line="276" w:lineRule="auto"/>
        <w:jc w:val="both"/>
        <w:rPr>
          <w:b/>
          <w:bCs/>
          <w:color w:val="4472C4" w:themeColor="accent1"/>
          <w:sz w:val="24"/>
          <w:szCs w:val="24"/>
          <w:lang w:val="en-GB"/>
        </w:rPr>
      </w:pPr>
    </w:p>
    <w:p w14:paraId="09D13604" w14:textId="0745DC03" w:rsidR="00813E0C" w:rsidRPr="00E539FD" w:rsidRDefault="00813E0C" w:rsidP="00813E0C">
      <w:pPr>
        <w:spacing w:after="0" w:line="276" w:lineRule="auto"/>
        <w:jc w:val="both"/>
        <w:rPr>
          <w:b/>
          <w:bCs/>
          <w:color w:val="4472C4" w:themeColor="accent1"/>
          <w:sz w:val="24"/>
          <w:szCs w:val="24"/>
          <w:lang w:val="en-GB"/>
        </w:rPr>
      </w:pPr>
      <w:r w:rsidRPr="00E539FD">
        <w:rPr>
          <w:b/>
          <w:bCs/>
          <w:color w:val="4472C4" w:themeColor="accent1"/>
          <w:sz w:val="24"/>
          <w:szCs w:val="24"/>
          <w:lang w:val="en-GB"/>
        </w:rPr>
        <w:t>Panel 2</w:t>
      </w:r>
    </w:p>
    <w:p w14:paraId="3A11E96E" w14:textId="77777777" w:rsidR="00813E0C" w:rsidRPr="00E539FD" w:rsidRDefault="00813E0C" w:rsidP="00813E0C">
      <w:pPr>
        <w:spacing w:after="0" w:line="276" w:lineRule="auto"/>
        <w:jc w:val="both"/>
        <w:rPr>
          <w:b/>
          <w:bCs/>
          <w:color w:val="4472C4" w:themeColor="accent1"/>
          <w:sz w:val="24"/>
          <w:szCs w:val="24"/>
          <w:lang w:val="en-GB"/>
        </w:rPr>
      </w:pPr>
      <w:r w:rsidRPr="00E539FD">
        <w:rPr>
          <w:b/>
          <w:bCs/>
          <w:color w:val="4472C4" w:themeColor="accent1"/>
          <w:sz w:val="24"/>
          <w:szCs w:val="24"/>
          <w:lang w:val="en-GB"/>
        </w:rPr>
        <w:t>The Disability Employment Package: Stakeholder's perspective</w:t>
      </w:r>
    </w:p>
    <w:p w14:paraId="4ADA0BF2" w14:textId="1806C5FD" w:rsidR="008C6E0C" w:rsidRPr="00E539FD" w:rsidRDefault="008C6E0C" w:rsidP="00813E0C">
      <w:pPr>
        <w:spacing w:line="276" w:lineRule="auto"/>
        <w:jc w:val="both"/>
        <w:rPr>
          <w:sz w:val="24"/>
          <w:szCs w:val="24"/>
          <w:lang w:val="en-GB"/>
        </w:rPr>
      </w:pPr>
      <w:r w:rsidRPr="00E539FD">
        <w:rPr>
          <w:sz w:val="24"/>
          <w:szCs w:val="24"/>
          <w:lang w:val="en-GB"/>
        </w:rPr>
        <w:t xml:space="preserve">In the second panel, we will </w:t>
      </w:r>
      <w:r w:rsidR="002C28DF" w:rsidRPr="00E539FD">
        <w:rPr>
          <w:sz w:val="24"/>
          <w:szCs w:val="24"/>
          <w:lang w:val="en-GB"/>
        </w:rPr>
        <w:t>focus on the presentation of</w:t>
      </w:r>
      <w:r w:rsidRPr="00E539FD">
        <w:rPr>
          <w:sz w:val="24"/>
          <w:szCs w:val="24"/>
          <w:lang w:val="en-GB"/>
        </w:rPr>
        <w:t xml:space="preserve"> </w:t>
      </w:r>
      <w:r w:rsidR="002C28DF" w:rsidRPr="00E539FD">
        <w:rPr>
          <w:i/>
          <w:sz w:val="24"/>
          <w:szCs w:val="24"/>
          <w:lang w:val="en-GB"/>
        </w:rPr>
        <w:t>The Disability Employment Package</w:t>
      </w:r>
      <w:r w:rsidRPr="00E539FD">
        <w:rPr>
          <w:sz w:val="24"/>
          <w:szCs w:val="24"/>
          <w:lang w:val="en-GB"/>
        </w:rPr>
        <w:t xml:space="preserve">. We expect a presentation of the Package </w:t>
      </w:r>
      <w:r w:rsidR="00890F6C">
        <w:rPr>
          <w:sz w:val="24"/>
          <w:szCs w:val="24"/>
          <w:lang w:val="en-GB"/>
        </w:rPr>
        <w:t>given by</w:t>
      </w:r>
      <w:r w:rsidR="00890F6C" w:rsidRPr="00E539FD">
        <w:rPr>
          <w:sz w:val="24"/>
          <w:szCs w:val="24"/>
          <w:lang w:val="en-GB"/>
        </w:rPr>
        <w:t xml:space="preserve"> </w:t>
      </w:r>
      <w:r w:rsidRPr="00E539FD">
        <w:rPr>
          <w:sz w:val="24"/>
          <w:szCs w:val="24"/>
          <w:lang w:val="en-GB"/>
        </w:rPr>
        <w:t>the European Commission, including information on how the Package was developed and the consultation process with relevant stakeholders.</w:t>
      </w:r>
    </w:p>
    <w:p w14:paraId="682CEDE5" w14:textId="56E641DE" w:rsidR="008C6E0C" w:rsidRPr="00E539FD" w:rsidRDefault="008C6E0C" w:rsidP="00813E0C">
      <w:pPr>
        <w:spacing w:after="0" w:line="276" w:lineRule="auto"/>
        <w:jc w:val="both"/>
        <w:rPr>
          <w:sz w:val="24"/>
          <w:szCs w:val="24"/>
          <w:lang w:val="en-GB"/>
        </w:rPr>
      </w:pPr>
      <w:r w:rsidRPr="00E539FD">
        <w:rPr>
          <w:sz w:val="24"/>
          <w:szCs w:val="24"/>
          <w:lang w:val="en-GB"/>
        </w:rPr>
        <w:t xml:space="preserve">In the discussion, we would like the panellists to focus on the relevant parts of the Package and outline their impact on the employment of people with disabilities, </w:t>
      </w:r>
      <w:r w:rsidR="00813E0C" w:rsidRPr="00E539FD">
        <w:rPr>
          <w:sz w:val="24"/>
          <w:szCs w:val="24"/>
          <w:lang w:val="en-GB"/>
        </w:rPr>
        <w:t>namely, 'Strengthening capacities of employment and integration services', 'Promoting recruitment prospects through affirmative action and combating stereotyping' and 'Ensuring reasonable adjustments in the workplace'</w:t>
      </w:r>
      <w:r w:rsidRPr="00E539FD">
        <w:rPr>
          <w:sz w:val="24"/>
          <w:szCs w:val="24"/>
          <w:lang w:val="en-GB"/>
        </w:rPr>
        <w:t>.</w:t>
      </w:r>
      <w:r w:rsidRPr="00E539FD">
        <w:rPr>
          <w:lang w:val="en-GB"/>
        </w:rPr>
        <w:t xml:space="preserve"> </w:t>
      </w:r>
      <w:r w:rsidRPr="00E539FD">
        <w:rPr>
          <w:sz w:val="24"/>
          <w:szCs w:val="24"/>
          <w:lang w:val="en-GB"/>
        </w:rPr>
        <w:t xml:space="preserve">Our aim in this panel is to present the Package as a whole and to place it in the existing context of employment of people with disabilities within Member States. Our aim for participants </w:t>
      </w:r>
      <w:r w:rsidR="00424F94">
        <w:rPr>
          <w:sz w:val="24"/>
          <w:szCs w:val="24"/>
          <w:lang w:val="en-GB"/>
        </w:rPr>
        <w:t xml:space="preserve">is </w:t>
      </w:r>
      <w:r w:rsidRPr="00E539FD">
        <w:rPr>
          <w:sz w:val="24"/>
          <w:szCs w:val="24"/>
          <w:lang w:val="en-GB"/>
        </w:rPr>
        <w:t xml:space="preserve">to understand what impact the Package may have on employers, organisations and legislation in individual Member States in the future. </w:t>
      </w:r>
    </w:p>
    <w:p w14:paraId="1EAF5005" w14:textId="77777777" w:rsidR="008C6E0C" w:rsidRPr="00E539FD" w:rsidRDefault="008C6E0C" w:rsidP="00813E0C">
      <w:pPr>
        <w:spacing w:after="0" w:line="276" w:lineRule="auto"/>
        <w:jc w:val="both"/>
        <w:rPr>
          <w:sz w:val="24"/>
          <w:szCs w:val="24"/>
          <w:lang w:val="en-GB"/>
        </w:rPr>
      </w:pPr>
    </w:p>
    <w:p w14:paraId="469DA3E3" w14:textId="77777777" w:rsidR="008C6E0C" w:rsidRPr="00E539FD" w:rsidRDefault="008C6E0C" w:rsidP="00813E0C">
      <w:pPr>
        <w:spacing w:after="0" w:line="276" w:lineRule="auto"/>
        <w:jc w:val="both"/>
        <w:rPr>
          <w:sz w:val="24"/>
          <w:szCs w:val="24"/>
          <w:lang w:val="en-GB"/>
        </w:rPr>
      </w:pPr>
      <w:r w:rsidRPr="00E539FD">
        <w:rPr>
          <w:sz w:val="24"/>
          <w:szCs w:val="24"/>
          <w:lang w:val="en-GB"/>
        </w:rPr>
        <w:t>Topics for discussion:</w:t>
      </w:r>
    </w:p>
    <w:p w14:paraId="28A50DAA" w14:textId="71BE9518" w:rsidR="008C6E0C" w:rsidRPr="00E539FD" w:rsidRDefault="008C6E0C" w:rsidP="00813E0C">
      <w:pPr>
        <w:pStyle w:val="Odstavecseseznamem"/>
        <w:numPr>
          <w:ilvl w:val="0"/>
          <w:numId w:val="20"/>
        </w:numPr>
        <w:spacing w:after="0"/>
        <w:jc w:val="both"/>
        <w:rPr>
          <w:sz w:val="24"/>
          <w:szCs w:val="24"/>
          <w:lang w:val="en-GB"/>
        </w:rPr>
      </w:pPr>
      <w:r w:rsidRPr="00E539FD">
        <w:rPr>
          <w:sz w:val="24"/>
          <w:szCs w:val="24"/>
          <w:lang w:val="en-GB"/>
        </w:rPr>
        <w:t xml:space="preserve">What opportunities arise from the Package? </w:t>
      </w:r>
    </w:p>
    <w:p w14:paraId="5F09F033" w14:textId="5A79BC03" w:rsidR="008C6E0C" w:rsidRPr="00E539FD" w:rsidRDefault="008C6E0C" w:rsidP="00813E0C">
      <w:pPr>
        <w:pStyle w:val="Odstavecseseznamem"/>
        <w:numPr>
          <w:ilvl w:val="0"/>
          <w:numId w:val="20"/>
        </w:numPr>
        <w:spacing w:after="0"/>
        <w:jc w:val="both"/>
        <w:rPr>
          <w:sz w:val="24"/>
          <w:szCs w:val="24"/>
          <w:lang w:val="en-GB"/>
        </w:rPr>
      </w:pPr>
      <w:r w:rsidRPr="00E539FD">
        <w:rPr>
          <w:sz w:val="24"/>
          <w:szCs w:val="24"/>
          <w:lang w:val="en-GB"/>
        </w:rPr>
        <w:t xml:space="preserve">What are the main challenges </w:t>
      </w:r>
      <w:r w:rsidR="00424F94">
        <w:rPr>
          <w:sz w:val="24"/>
          <w:szCs w:val="24"/>
          <w:lang w:val="en-GB"/>
        </w:rPr>
        <w:t>considering</w:t>
      </w:r>
      <w:r w:rsidRPr="00E539FD">
        <w:rPr>
          <w:sz w:val="24"/>
          <w:szCs w:val="24"/>
          <w:lang w:val="en-GB"/>
        </w:rPr>
        <w:t xml:space="preserve"> all six areas of the Package? </w:t>
      </w:r>
    </w:p>
    <w:p w14:paraId="412EAB7E" w14:textId="7C346098" w:rsidR="008A0249" w:rsidRPr="00E539FD" w:rsidRDefault="008C6E0C" w:rsidP="00813E0C">
      <w:pPr>
        <w:pStyle w:val="Odstavecseseznamem"/>
        <w:numPr>
          <w:ilvl w:val="0"/>
          <w:numId w:val="20"/>
        </w:numPr>
        <w:spacing w:after="0"/>
        <w:jc w:val="both"/>
        <w:rPr>
          <w:sz w:val="24"/>
          <w:szCs w:val="24"/>
          <w:lang w:val="en-GB"/>
        </w:rPr>
      </w:pPr>
      <w:r w:rsidRPr="00E539FD">
        <w:rPr>
          <w:sz w:val="24"/>
          <w:szCs w:val="24"/>
          <w:lang w:val="en-GB"/>
        </w:rPr>
        <w:t>Contributions of stakeholders to the implementation of the Package (procedures, dissemination of information - working with members etc.</w:t>
      </w:r>
      <w:r w:rsidR="00010D99" w:rsidRPr="00E539FD">
        <w:rPr>
          <w:sz w:val="24"/>
          <w:szCs w:val="24"/>
          <w:lang w:val="en-GB"/>
        </w:rPr>
        <w:t>)</w:t>
      </w:r>
    </w:p>
    <w:p w14:paraId="551C1358" w14:textId="77777777" w:rsidR="00010D99" w:rsidRPr="00E539FD" w:rsidRDefault="00010D99" w:rsidP="00813E0C">
      <w:pPr>
        <w:spacing w:after="0" w:line="276" w:lineRule="auto"/>
        <w:jc w:val="both"/>
        <w:rPr>
          <w:sz w:val="24"/>
          <w:szCs w:val="24"/>
          <w:lang w:val="en-GB"/>
        </w:rPr>
      </w:pPr>
    </w:p>
    <w:p w14:paraId="0BE3864E" w14:textId="77777777" w:rsidR="008C6E0C" w:rsidRPr="00E539FD" w:rsidRDefault="008C6E0C" w:rsidP="00813E0C">
      <w:pPr>
        <w:spacing w:after="0" w:line="276" w:lineRule="auto"/>
        <w:jc w:val="both"/>
        <w:rPr>
          <w:b/>
          <w:bCs/>
          <w:sz w:val="24"/>
          <w:szCs w:val="24"/>
          <w:lang w:val="en-GB"/>
        </w:rPr>
      </w:pPr>
      <w:r w:rsidRPr="00E539FD">
        <w:rPr>
          <w:b/>
          <w:bCs/>
          <w:sz w:val="24"/>
          <w:szCs w:val="24"/>
          <w:lang w:val="en-GB"/>
        </w:rPr>
        <w:t>Wednesday 21 September 2022</w:t>
      </w:r>
    </w:p>
    <w:p w14:paraId="3AFFD352" w14:textId="77777777" w:rsidR="008C6E0C" w:rsidRPr="00E539FD" w:rsidRDefault="008C6E0C" w:rsidP="00813E0C">
      <w:pPr>
        <w:spacing w:after="0" w:line="276" w:lineRule="auto"/>
        <w:jc w:val="both"/>
        <w:rPr>
          <w:b/>
          <w:bCs/>
          <w:color w:val="4472C4" w:themeColor="accent1"/>
          <w:sz w:val="24"/>
          <w:szCs w:val="24"/>
          <w:lang w:val="en-GB"/>
        </w:rPr>
      </w:pPr>
      <w:r w:rsidRPr="00E539FD">
        <w:rPr>
          <w:b/>
          <w:bCs/>
          <w:color w:val="4472C4" w:themeColor="accent1"/>
          <w:sz w:val="24"/>
          <w:szCs w:val="24"/>
          <w:lang w:val="en-GB"/>
        </w:rPr>
        <w:t>Panel 3</w:t>
      </w:r>
    </w:p>
    <w:p w14:paraId="1597E474" w14:textId="77777777" w:rsidR="008C6E0C" w:rsidRPr="00E539FD" w:rsidRDefault="008C6E0C" w:rsidP="00813E0C">
      <w:pPr>
        <w:spacing w:after="0" w:line="276" w:lineRule="auto"/>
        <w:jc w:val="both"/>
        <w:rPr>
          <w:sz w:val="24"/>
          <w:szCs w:val="24"/>
          <w:lang w:val="en-GB"/>
        </w:rPr>
      </w:pPr>
      <w:r w:rsidRPr="00E539FD">
        <w:rPr>
          <w:b/>
          <w:bCs/>
          <w:color w:val="4472C4" w:themeColor="accent1"/>
          <w:sz w:val="24"/>
          <w:szCs w:val="24"/>
          <w:lang w:val="en-GB"/>
        </w:rPr>
        <w:t>Services: Strengthening capacities of employment and integration services</w:t>
      </w:r>
      <w:r w:rsidRPr="00E539FD">
        <w:rPr>
          <w:sz w:val="24"/>
          <w:szCs w:val="24"/>
          <w:lang w:val="en-GB"/>
        </w:rPr>
        <w:t xml:space="preserve"> </w:t>
      </w:r>
    </w:p>
    <w:p w14:paraId="7E99A20A" w14:textId="0B2E9B2E" w:rsidR="008C6E0C" w:rsidRPr="00E539FD" w:rsidRDefault="008C6E0C" w:rsidP="00813E0C">
      <w:pPr>
        <w:tabs>
          <w:tab w:val="left" w:pos="1418"/>
        </w:tabs>
        <w:spacing w:line="276" w:lineRule="auto"/>
        <w:jc w:val="both"/>
        <w:rPr>
          <w:sz w:val="24"/>
          <w:szCs w:val="24"/>
          <w:lang w:val="en-GB"/>
        </w:rPr>
      </w:pPr>
      <w:r w:rsidRPr="00E539FD">
        <w:rPr>
          <w:sz w:val="24"/>
          <w:szCs w:val="24"/>
          <w:lang w:val="en-GB"/>
        </w:rPr>
        <w:t xml:space="preserve">Supporting the employment of people with disabilities in various forms is a key part of increasing the inclusive role of the labour market. The panel highlights the insights of institutions supporting people with disabilities in entering and then </w:t>
      </w:r>
      <w:r w:rsidR="00424F94">
        <w:rPr>
          <w:sz w:val="24"/>
          <w:szCs w:val="24"/>
          <w:lang w:val="en-GB"/>
        </w:rPr>
        <w:t>remaining</w:t>
      </w:r>
      <w:r w:rsidR="00424F94" w:rsidRPr="00E539FD">
        <w:rPr>
          <w:sz w:val="24"/>
          <w:szCs w:val="24"/>
          <w:lang w:val="en-GB"/>
        </w:rPr>
        <w:t xml:space="preserve"> </w:t>
      </w:r>
      <w:r w:rsidRPr="00E539FD">
        <w:rPr>
          <w:sz w:val="24"/>
          <w:szCs w:val="24"/>
          <w:lang w:val="en-GB"/>
        </w:rPr>
        <w:t xml:space="preserve">in the labour market. </w:t>
      </w:r>
    </w:p>
    <w:p w14:paraId="66EA5AF5" w14:textId="1603F042" w:rsidR="008C6E0C" w:rsidRPr="00E539FD" w:rsidRDefault="008C6E0C" w:rsidP="00813E0C">
      <w:pPr>
        <w:tabs>
          <w:tab w:val="left" w:pos="1418"/>
        </w:tabs>
        <w:spacing w:after="0" w:line="276" w:lineRule="auto"/>
        <w:jc w:val="both"/>
        <w:rPr>
          <w:sz w:val="24"/>
          <w:szCs w:val="24"/>
          <w:lang w:val="en-GB"/>
        </w:rPr>
      </w:pPr>
      <w:r w:rsidRPr="00E539FD">
        <w:rPr>
          <w:sz w:val="24"/>
          <w:szCs w:val="24"/>
          <w:lang w:val="en-GB"/>
        </w:rPr>
        <w:t>An important area is the pervasiveness of different employment support services and the possibility of their short-term and timely use. Key</w:t>
      </w:r>
      <w:r w:rsidR="00424F94">
        <w:rPr>
          <w:sz w:val="24"/>
          <w:szCs w:val="24"/>
          <w:lang w:val="en-GB"/>
        </w:rPr>
        <w:t xml:space="preserve"> aspects</w:t>
      </w:r>
      <w:r w:rsidRPr="00E539FD">
        <w:rPr>
          <w:sz w:val="24"/>
          <w:szCs w:val="24"/>
          <w:lang w:val="en-GB"/>
        </w:rPr>
        <w:t xml:space="preserve"> in this respect are social rehabilitation services, vocational assistance </w:t>
      </w:r>
      <w:r w:rsidR="00424F94">
        <w:rPr>
          <w:sz w:val="24"/>
          <w:szCs w:val="24"/>
          <w:lang w:val="en-GB"/>
        </w:rPr>
        <w:t>as well as</w:t>
      </w:r>
      <w:r w:rsidRPr="00E539FD">
        <w:rPr>
          <w:sz w:val="24"/>
          <w:szCs w:val="24"/>
          <w:lang w:val="en-GB"/>
        </w:rPr>
        <w:t xml:space="preserve"> vocational rehabilitation with its support mechanisms. </w:t>
      </w:r>
    </w:p>
    <w:p w14:paraId="47B056A0" w14:textId="580A7C73" w:rsidR="008C6E0C" w:rsidRPr="00E539FD" w:rsidRDefault="008C6E0C" w:rsidP="00813E0C">
      <w:pPr>
        <w:tabs>
          <w:tab w:val="left" w:pos="1418"/>
        </w:tabs>
        <w:spacing w:line="276" w:lineRule="auto"/>
        <w:jc w:val="both"/>
        <w:rPr>
          <w:sz w:val="24"/>
          <w:szCs w:val="24"/>
          <w:lang w:val="en-GB"/>
        </w:rPr>
      </w:pPr>
      <w:r w:rsidRPr="00E539FD">
        <w:rPr>
          <w:sz w:val="24"/>
          <w:szCs w:val="24"/>
          <w:lang w:val="en-GB"/>
        </w:rPr>
        <w:t>Specialised school facilities can also play a</w:t>
      </w:r>
      <w:r w:rsidR="00424F94">
        <w:rPr>
          <w:sz w:val="24"/>
          <w:szCs w:val="24"/>
          <w:lang w:val="en-GB"/>
        </w:rPr>
        <w:t>n important</w:t>
      </w:r>
      <w:r w:rsidRPr="00E539FD">
        <w:rPr>
          <w:sz w:val="24"/>
          <w:szCs w:val="24"/>
          <w:lang w:val="en-GB"/>
        </w:rPr>
        <w:t xml:space="preserve"> role. </w:t>
      </w:r>
    </w:p>
    <w:p w14:paraId="52F807FF" w14:textId="77777777" w:rsidR="008C6E0C" w:rsidRPr="00E539FD" w:rsidRDefault="008C6E0C" w:rsidP="00813E0C">
      <w:pPr>
        <w:tabs>
          <w:tab w:val="left" w:pos="1418"/>
        </w:tabs>
        <w:spacing w:after="0" w:line="276" w:lineRule="auto"/>
        <w:jc w:val="both"/>
        <w:rPr>
          <w:sz w:val="24"/>
          <w:szCs w:val="24"/>
          <w:lang w:val="en-GB"/>
        </w:rPr>
      </w:pPr>
      <w:r w:rsidRPr="00E539FD">
        <w:rPr>
          <w:sz w:val="24"/>
          <w:szCs w:val="24"/>
          <w:lang w:val="en-GB"/>
        </w:rPr>
        <w:t xml:space="preserve">Topics for discussion: </w:t>
      </w:r>
    </w:p>
    <w:p w14:paraId="1057B39B" w14:textId="4A7341E2" w:rsidR="008C6E0C" w:rsidRPr="00E539FD" w:rsidRDefault="008C6E0C" w:rsidP="00813E0C">
      <w:pPr>
        <w:pStyle w:val="Odstavecseseznamem"/>
        <w:numPr>
          <w:ilvl w:val="0"/>
          <w:numId w:val="22"/>
        </w:numPr>
        <w:tabs>
          <w:tab w:val="left" w:pos="1418"/>
        </w:tabs>
        <w:spacing w:after="0"/>
        <w:jc w:val="both"/>
        <w:rPr>
          <w:sz w:val="24"/>
          <w:szCs w:val="24"/>
          <w:lang w:val="en-GB"/>
        </w:rPr>
      </w:pPr>
      <w:r w:rsidRPr="00E539FD">
        <w:rPr>
          <w:sz w:val="24"/>
          <w:szCs w:val="24"/>
          <w:lang w:val="en-GB"/>
        </w:rPr>
        <w:t xml:space="preserve">How can public employment services contribute to better labour market outcomes for people with disabilities? </w:t>
      </w:r>
    </w:p>
    <w:p w14:paraId="0F91FF5A" w14:textId="25D735CB" w:rsidR="008C6E0C" w:rsidRPr="00E539FD" w:rsidRDefault="008C6E0C" w:rsidP="00813E0C">
      <w:pPr>
        <w:pStyle w:val="Odstavecseseznamem"/>
        <w:numPr>
          <w:ilvl w:val="0"/>
          <w:numId w:val="21"/>
        </w:numPr>
        <w:tabs>
          <w:tab w:val="left" w:pos="1418"/>
        </w:tabs>
        <w:spacing w:after="0"/>
        <w:jc w:val="both"/>
        <w:rPr>
          <w:sz w:val="24"/>
          <w:szCs w:val="24"/>
          <w:lang w:val="en-GB"/>
        </w:rPr>
      </w:pPr>
      <w:r w:rsidRPr="00E539FD">
        <w:rPr>
          <w:sz w:val="24"/>
          <w:szCs w:val="24"/>
          <w:lang w:val="en-GB"/>
        </w:rPr>
        <w:t>What are the motivations for people with disabilities to engage in economic activities?</w:t>
      </w:r>
    </w:p>
    <w:p w14:paraId="08898D39" w14:textId="77777777" w:rsidR="008C6E0C" w:rsidRPr="00E539FD" w:rsidRDefault="008C6E0C" w:rsidP="00813E0C">
      <w:pPr>
        <w:pStyle w:val="Odstavecseseznamem"/>
        <w:numPr>
          <w:ilvl w:val="0"/>
          <w:numId w:val="21"/>
        </w:numPr>
        <w:tabs>
          <w:tab w:val="left" w:pos="1418"/>
        </w:tabs>
        <w:spacing w:after="0"/>
        <w:jc w:val="both"/>
        <w:rPr>
          <w:sz w:val="24"/>
          <w:szCs w:val="24"/>
          <w:lang w:val="en-GB"/>
        </w:rPr>
      </w:pPr>
      <w:r w:rsidRPr="00E539FD">
        <w:rPr>
          <w:sz w:val="24"/>
          <w:szCs w:val="24"/>
          <w:lang w:val="en-GB"/>
        </w:rPr>
        <w:t xml:space="preserve">How can career guidance services facilitate entry and transition into the labour market? </w:t>
      </w:r>
    </w:p>
    <w:p w14:paraId="64A09855" w14:textId="41522CB2" w:rsidR="00010D99" w:rsidRPr="00E539FD" w:rsidRDefault="008C6E0C" w:rsidP="00813E0C">
      <w:pPr>
        <w:pStyle w:val="Odstavecseseznamem"/>
        <w:numPr>
          <w:ilvl w:val="0"/>
          <w:numId w:val="21"/>
        </w:numPr>
        <w:tabs>
          <w:tab w:val="left" w:pos="1418"/>
        </w:tabs>
        <w:spacing w:after="0"/>
        <w:jc w:val="both"/>
        <w:rPr>
          <w:sz w:val="24"/>
          <w:szCs w:val="24"/>
          <w:lang w:val="en-GB"/>
        </w:rPr>
      </w:pPr>
      <w:r w:rsidRPr="00E539FD">
        <w:rPr>
          <w:sz w:val="24"/>
          <w:szCs w:val="24"/>
          <w:lang w:val="en-GB"/>
        </w:rPr>
        <w:t>How to ensure good coordination between social and employment services?</w:t>
      </w:r>
    </w:p>
    <w:p w14:paraId="0C366492" w14:textId="77777777" w:rsidR="008C6E0C" w:rsidRPr="00E539FD" w:rsidRDefault="008C6E0C" w:rsidP="00813E0C">
      <w:pPr>
        <w:tabs>
          <w:tab w:val="left" w:pos="1418"/>
        </w:tabs>
        <w:spacing w:after="0" w:line="276" w:lineRule="auto"/>
        <w:jc w:val="both"/>
        <w:rPr>
          <w:b/>
          <w:bCs/>
          <w:color w:val="4472C4" w:themeColor="accent1"/>
          <w:sz w:val="24"/>
          <w:szCs w:val="24"/>
          <w:lang w:val="en-GB"/>
        </w:rPr>
      </w:pPr>
    </w:p>
    <w:p w14:paraId="7631B8B8" w14:textId="77777777" w:rsidR="008C6E0C" w:rsidRPr="00E539FD" w:rsidRDefault="008C6E0C" w:rsidP="00813E0C">
      <w:pPr>
        <w:tabs>
          <w:tab w:val="left" w:pos="1418"/>
        </w:tabs>
        <w:spacing w:after="0" w:line="276" w:lineRule="auto"/>
        <w:jc w:val="both"/>
        <w:rPr>
          <w:b/>
          <w:bCs/>
          <w:color w:val="4472C4" w:themeColor="accent1"/>
          <w:sz w:val="24"/>
          <w:szCs w:val="24"/>
          <w:lang w:val="en-GB"/>
        </w:rPr>
      </w:pPr>
      <w:r w:rsidRPr="00E539FD">
        <w:rPr>
          <w:b/>
          <w:bCs/>
          <w:color w:val="4472C4" w:themeColor="accent1"/>
          <w:sz w:val="24"/>
          <w:szCs w:val="24"/>
          <w:lang w:val="en-GB"/>
        </w:rPr>
        <w:t xml:space="preserve">Panel 4 </w:t>
      </w:r>
    </w:p>
    <w:p w14:paraId="6C88552A" w14:textId="77777777" w:rsidR="008C6E0C" w:rsidRPr="00E539FD" w:rsidRDefault="008C6E0C" w:rsidP="00813E0C">
      <w:pPr>
        <w:tabs>
          <w:tab w:val="left" w:pos="1418"/>
        </w:tabs>
        <w:spacing w:after="0" w:line="276" w:lineRule="auto"/>
        <w:jc w:val="both"/>
        <w:rPr>
          <w:b/>
          <w:bCs/>
          <w:color w:val="4472C4" w:themeColor="accent1"/>
          <w:sz w:val="24"/>
          <w:szCs w:val="24"/>
          <w:lang w:val="en-GB"/>
        </w:rPr>
      </w:pPr>
      <w:r w:rsidRPr="00E539FD">
        <w:rPr>
          <w:b/>
          <w:bCs/>
          <w:color w:val="4472C4" w:themeColor="accent1"/>
          <w:sz w:val="24"/>
          <w:szCs w:val="24"/>
          <w:lang w:val="en-GB"/>
        </w:rPr>
        <w:t>Social enterprises: Alternative forms of employment and pathways to the open labour market</w:t>
      </w:r>
    </w:p>
    <w:p w14:paraId="0A229AE9" w14:textId="6C9FDFF4" w:rsidR="008C6E0C" w:rsidRPr="00E539FD" w:rsidRDefault="008C6E0C" w:rsidP="00813E0C">
      <w:pPr>
        <w:tabs>
          <w:tab w:val="left" w:pos="1418"/>
        </w:tabs>
        <w:spacing w:before="240" w:after="0" w:line="276" w:lineRule="auto"/>
        <w:jc w:val="both"/>
        <w:rPr>
          <w:sz w:val="24"/>
          <w:szCs w:val="24"/>
          <w:lang w:val="en-GB"/>
        </w:rPr>
      </w:pPr>
      <w:r w:rsidRPr="00E539FD">
        <w:rPr>
          <w:sz w:val="24"/>
          <w:szCs w:val="24"/>
          <w:lang w:val="en-GB"/>
        </w:rPr>
        <w:t xml:space="preserve">On 6 July 2022, the European Parliament approved </w:t>
      </w:r>
      <w:r w:rsidR="002C28DF" w:rsidRPr="00E539FD">
        <w:rPr>
          <w:sz w:val="24"/>
          <w:szCs w:val="24"/>
          <w:lang w:val="en-GB"/>
        </w:rPr>
        <w:t>The Social Economy Action Plan</w:t>
      </w:r>
      <w:r w:rsidRPr="00E539FD">
        <w:rPr>
          <w:sz w:val="24"/>
          <w:szCs w:val="24"/>
          <w:lang w:val="en-GB"/>
        </w:rPr>
        <w:t xml:space="preserve"> presented by the European Commission in December 2021. The involvement of social enterprises in the employment of people with disabilities is particularly strong in the Czech Republic</w:t>
      </w:r>
      <w:r w:rsidR="006A30C4">
        <w:rPr>
          <w:sz w:val="24"/>
          <w:szCs w:val="24"/>
          <w:lang w:val="en-GB"/>
        </w:rPr>
        <w:t xml:space="preserve">. </w:t>
      </w:r>
      <w:r w:rsidR="007525E7">
        <w:rPr>
          <w:sz w:val="24"/>
          <w:szCs w:val="24"/>
          <w:lang w:val="en-GB"/>
        </w:rPr>
        <w:t>However,</w:t>
      </w:r>
      <w:r w:rsidRPr="00E539FD">
        <w:rPr>
          <w:sz w:val="24"/>
          <w:szCs w:val="24"/>
          <w:lang w:val="en-GB"/>
        </w:rPr>
        <w:t xml:space="preserve"> in other Member States</w:t>
      </w:r>
      <w:r w:rsidR="006A30C4">
        <w:rPr>
          <w:sz w:val="24"/>
          <w:szCs w:val="24"/>
          <w:lang w:val="en-GB"/>
        </w:rPr>
        <w:t>,</w:t>
      </w:r>
      <w:r w:rsidRPr="00E539FD">
        <w:rPr>
          <w:sz w:val="24"/>
          <w:szCs w:val="24"/>
          <w:lang w:val="en-GB"/>
        </w:rPr>
        <w:t xml:space="preserve"> the social economy also makes a significant contribution to the employment of people with disabilities. </w:t>
      </w:r>
    </w:p>
    <w:p w14:paraId="6C9D9643" w14:textId="77777777" w:rsidR="008C6E0C" w:rsidRPr="00E539FD" w:rsidRDefault="008C6E0C" w:rsidP="00813E0C">
      <w:pPr>
        <w:tabs>
          <w:tab w:val="left" w:pos="1418"/>
        </w:tabs>
        <w:spacing w:before="240" w:after="0" w:line="276" w:lineRule="auto"/>
        <w:jc w:val="both"/>
        <w:rPr>
          <w:sz w:val="24"/>
          <w:szCs w:val="24"/>
          <w:lang w:val="en-GB"/>
        </w:rPr>
      </w:pPr>
      <w:r w:rsidRPr="00E539FD">
        <w:rPr>
          <w:sz w:val="24"/>
          <w:szCs w:val="24"/>
          <w:lang w:val="en-GB"/>
        </w:rPr>
        <w:t xml:space="preserve">Employer support in the journey to strengthen the work skills and practices of persons with disabilities is crucial to achieve their full inclusion in the open labour market. We see inclusive </w:t>
      </w:r>
      <w:r w:rsidRPr="00E539FD">
        <w:rPr>
          <w:sz w:val="24"/>
          <w:szCs w:val="24"/>
          <w:lang w:val="en-GB"/>
        </w:rPr>
        <w:lastRenderedPageBreak/>
        <w:t xml:space="preserve">social enterprises as the last stage before a person with a disability is included in the open labour market. </w:t>
      </w:r>
    </w:p>
    <w:p w14:paraId="749A7C53" w14:textId="2C802813" w:rsidR="008C6E0C" w:rsidRPr="00E539FD" w:rsidRDefault="008C6E0C" w:rsidP="00813E0C">
      <w:pPr>
        <w:tabs>
          <w:tab w:val="left" w:pos="1418"/>
        </w:tabs>
        <w:spacing w:before="240" w:after="0" w:line="276" w:lineRule="auto"/>
        <w:jc w:val="both"/>
        <w:rPr>
          <w:sz w:val="24"/>
          <w:szCs w:val="24"/>
          <w:lang w:val="en-GB"/>
        </w:rPr>
      </w:pPr>
      <w:r w:rsidRPr="00E539FD">
        <w:rPr>
          <w:sz w:val="24"/>
          <w:szCs w:val="24"/>
          <w:lang w:val="en-GB"/>
        </w:rPr>
        <w:t xml:space="preserve">In the context of the Action Plan, we </w:t>
      </w:r>
      <w:r w:rsidR="00D1653F">
        <w:rPr>
          <w:sz w:val="24"/>
          <w:szCs w:val="24"/>
          <w:lang w:val="en-GB"/>
        </w:rPr>
        <w:t>perceive</w:t>
      </w:r>
      <w:r w:rsidRPr="00E539FD">
        <w:rPr>
          <w:sz w:val="24"/>
          <w:szCs w:val="24"/>
          <w:lang w:val="en-GB"/>
        </w:rPr>
        <w:t xml:space="preserve"> as important to award public contracts to social enterprises, thereby strengthening non-financial support for their development, as well as supporting social innovation and subsequent systemic change. </w:t>
      </w:r>
    </w:p>
    <w:p w14:paraId="65A0833F" w14:textId="77777777" w:rsidR="008C6E0C" w:rsidRPr="00E539FD" w:rsidRDefault="008C6E0C" w:rsidP="00813E0C">
      <w:pPr>
        <w:tabs>
          <w:tab w:val="left" w:pos="1418"/>
        </w:tabs>
        <w:spacing w:before="240" w:after="0" w:line="276" w:lineRule="auto"/>
        <w:ind w:left="360" w:hanging="360"/>
        <w:jc w:val="both"/>
        <w:rPr>
          <w:sz w:val="24"/>
          <w:szCs w:val="24"/>
          <w:lang w:val="en-GB"/>
        </w:rPr>
      </w:pPr>
      <w:r w:rsidRPr="00E539FD">
        <w:rPr>
          <w:sz w:val="24"/>
          <w:szCs w:val="24"/>
          <w:lang w:val="en-GB"/>
        </w:rPr>
        <w:t>Topics for discussion:</w:t>
      </w:r>
    </w:p>
    <w:p w14:paraId="59D7F4E8" w14:textId="0E00C3B9" w:rsidR="008C6E0C" w:rsidRPr="00E539FD" w:rsidRDefault="008C6E0C" w:rsidP="00813E0C">
      <w:pPr>
        <w:pStyle w:val="Odstavecseseznamem"/>
        <w:numPr>
          <w:ilvl w:val="0"/>
          <w:numId w:val="14"/>
        </w:numPr>
        <w:tabs>
          <w:tab w:val="left" w:pos="1418"/>
        </w:tabs>
        <w:spacing w:before="240" w:after="0"/>
        <w:ind w:left="709"/>
        <w:jc w:val="both"/>
        <w:rPr>
          <w:rFonts w:asciiTheme="minorHAnsi" w:hAnsiTheme="minorHAnsi" w:cstheme="minorBidi"/>
          <w:sz w:val="24"/>
          <w:szCs w:val="24"/>
          <w:lang w:val="en-GB"/>
        </w:rPr>
      </w:pPr>
      <w:r w:rsidRPr="00E539FD">
        <w:rPr>
          <w:rFonts w:asciiTheme="minorHAnsi" w:hAnsiTheme="minorHAnsi" w:cstheme="minorBidi"/>
          <w:sz w:val="24"/>
          <w:szCs w:val="24"/>
          <w:lang w:val="en-GB"/>
        </w:rPr>
        <w:t xml:space="preserve">What is the role of social enterprises in the employment of people with disabilities (including sheltered employment and other forms of supported employment)? </w:t>
      </w:r>
    </w:p>
    <w:p w14:paraId="0779F403" w14:textId="7A7CCC02" w:rsidR="00F97E3E" w:rsidRPr="00E539FD" w:rsidRDefault="008C6E0C" w:rsidP="00813E0C">
      <w:pPr>
        <w:pStyle w:val="Odstavecseseznamem"/>
        <w:numPr>
          <w:ilvl w:val="0"/>
          <w:numId w:val="14"/>
        </w:numPr>
        <w:tabs>
          <w:tab w:val="left" w:pos="1418"/>
        </w:tabs>
        <w:spacing w:before="240" w:after="0"/>
        <w:ind w:left="709"/>
        <w:jc w:val="both"/>
        <w:rPr>
          <w:rFonts w:asciiTheme="minorHAnsi" w:hAnsiTheme="minorHAnsi" w:cstheme="minorBidi"/>
          <w:sz w:val="24"/>
          <w:szCs w:val="24"/>
          <w:lang w:val="en-GB"/>
        </w:rPr>
      </w:pPr>
      <w:r w:rsidRPr="00E539FD">
        <w:rPr>
          <w:rFonts w:asciiTheme="minorHAnsi" w:hAnsiTheme="minorHAnsi" w:cstheme="minorBidi"/>
          <w:sz w:val="24"/>
          <w:szCs w:val="24"/>
          <w:lang w:val="en-GB"/>
        </w:rPr>
        <w:t>What are the key elements of shaping pathways from sheltered employment to the open labour market (including integrated employment, sustainable employability in the labour market)?</w:t>
      </w:r>
    </w:p>
    <w:p w14:paraId="4375C59F" w14:textId="77777777" w:rsidR="00601390" w:rsidRPr="00E539FD" w:rsidRDefault="00601390" w:rsidP="00813E0C">
      <w:pPr>
        <w:tabs>
          <w:tab w:val="left" w:pos="1418"/>
        </w:tabs>
        <w:spacing w:before="240" w:after="0" w:line="276" w:lineRule="auto"/>
        <w:jc w:val="both"/>
        <w:rPr>
          <w:sz w:val="24"/>
          <w:szCs w:val="24"/>
          <w:lang w:val="en-GB"/>
        </w:rPr>
      </w:pPr>
    </w:p>
    <w:p w14:paraId="20BE18A8" w14:textId="77777777" w:rsidR="008C6E0C" w:rsidRPr="00E539FD" w:rsidRDefault="008C6E0C" w:rsidP="00813E0C">
      <w:pPr>
        <w:spacing w:after="0" w:line="276" w:lineRule="auto"/>
        <w:ind w:left="2121" w:hanging="2121"/>
        <w:jc w:val="both"/>
        <w:rPr>
          <w:b/>
          <w:bCs/>
          <w:color w:val="4472C4" w:themeColor="accent1"/>
          <w:sz w:val="24"/>
          <w:szCs w:val="24"/>
          <w:lang w:val="en-GB"/>
        </w:rPr>
      </w:pPr>
      <w:r w:rsidRPr="00E539FD">
        <w:rPr>
          <w:b/>
          <w:bCs/>
          <w:color w:val="4472C4" w:themeColor="accent1"/>
          <w:sz w:val="24"/>
          <w:szCs w:val="24"/>
          <w:lang w:val="en-GB"/>
        </w:rPr>
        <w:t>Panel 5</w:t>
      </w:r>
    </w:p>
    <w:p w14:paraId="37C4A8D8" w14:textId="77777777" w:rsidR="008C6E0C" w:rsidRPr="00E539FD" w:rsidRDefault="008C6E0C" w:rsidP="00813E0C">
      <w:pPr>
        <w:spacing w:after="0" w:line="276" w:lineRule="auto"/>
        <w:ind w:left="2121" w:hanging="2121"/>
        <w:jc w:val="both"/>
        <w:rPr>
          <w:b/>
          <w:bCs/>
          <w:color w:val="4472C4" w:themeColor="accent1"/>
          <w:sz w:val="24"/>
          <w:szCs w:val="24"/>
          <w:lang w:val="en-GB"/>
        </w:rPr>
      </w:pPr>
      <w:r w:rsidRPr="00E539FD">
        <w:rPr>
          <w:b/>
          <w:bCs/>
          <w:color w:val="4472C4" w:themeColor="accent1"/>
          <w:sz w:val="24"/>
          <w:szCs w:val="24"/>
          <w:lang w:val="en-GB"/>
        </w:rPr>
        <w:t xml:space="preserve">Employers: Facilitating hiring and reasonable accommodation </w:t>
      </w:r>
    </w:p>
    <w:p w14:paraId="55E1262A" w14:textId="17E7FA62" w:rsidR="008C6E0C" w:rsidRPr="00E539FD" w:rsidRDefault="008C6E0C" w:rsidP="00813E0C">
      <w:pPr>
        <w:pStyle w:val="Odstavecseseznamem"/>
        <w:ind w:left="0"/>
        <w:jc w:val="both"/>
        <w:rPr>
          <w:rFonts w:asciiTheme="minorHAnsi" w:hAnsiTheme="minorHAnsi" w:cstheme="minorBidi"/>
          <w:sz w:val="24"/>
          <w:szCs w:val="24"/>
          <w:lang w:val="en-GB"/>
        </w:rPr>
      </w:pPr>
      <w:r w:rsidRPr="00E539FD">
        <w:rPr>
          <w:rFonts w:asciiTheme="minorHAnsi" w:hAnsiTheme="minorHAnsi" w:cstheme="minorBidi"/>
          <w:sz w:val="24"/>
          <w:szCs w:val="24"/>
          <w:lang w:val="en-GB"/>
        </w:rPr>
        <w:t>This panel aims to describe and share good practice in supporting the recruitment of people with disabilities and reasonable adjustments to the workplace.</w:t>
      </w:r>
    </w:p>
    <w:p w14:paraId="397D4BC8" w14:textId="77777777" w:rsidR="008C6E0C" w:rsidRPr="00E539FD" w:rsidRDefault="008C6E0C" w:rsidP="00813E0C">
      <w:pPr>
        <w:pStyle w:val="Odstavecseseznamem"/>
        <w:ind w:left="0"/>
        <w:jc w:val="both"/>
        <w:rPr>
          <w:rFonts w:asciiTheme="minorHAnsi" w:hAnsiTheme="minorHAnsi" w:cstheme="minorBidi"/>
          <w:sz w:val="24"/>
          <w:szCs w:val="24"/>
          <w:lang w:val="en-GB"/>
        </w:rPr>
      </w:pPr>
    </w:p>
    <w:p w14:paraId="1F0DCD04" w14:textId="06CA6EA0" w:rsidR="008C6E0C" w:rsidRPr="00E539FD" w:rsidRDefault="008C6E0C" w:rsidP="00813E0C">
      <w:pPr>
        <w:pStyle w:val="Odstavecseseznamem"/>
        <w:spacing w:before="240"/>
        <w:ind w:left="0"/>
        <w:jc w:val="both"/>
        <w:rPr>
          <w:rFonts w:asciiTheme="minorHAnsi" w:hAnsiTheme="minorHAnsi" w:cstheme="minorBidi"/>
          <w:sz w:val="24"/>
          <w:szCs w:val="24"/>
          <w:lang w:val="en-GB"/>
        </w:rPr>
      </w:pPr>
      <w:r w:rsidRPr="00E539FD">
        <w:rPr>
          <w:rFonts w:asciiTheme="minorHAnsi" w:hAnsiTheme="minorHAnsi" w:cstheme="minorBidi"/>
          <w:sz w:val="24"/>
          <w:szCs w:val="24"/>
          <w:lang w:val="en-GB"/>
        </w:rPr>
        <w:t xml:space="preserve">The COVID - 19 pandemic helped to demonstrate the possibilities of home-based employment on a large scale. Social partners' data shows that employers are increasingly embracing flexible forms of work, </w:t>
      </w:r>
      <w:r w:rsidR="00AF20C4">
        <w:rPr>
          <w:rFonts w:asciiTheme="minorHAnsi" w:hAnsiTheme="minorHAnsi" w:cstheme="minorBidi"/>
          <w:sz w:val="24"/>
          <w:szCs w:val="24"/>
          <w:lang w:val="en-GB"/>
        </w:rPr>
        <w:t>such as</w:t>
      </w:r>
      <w:r w:rsidR="00AF20C4" w:rsidRPr="00E539FD">
        <w:rPr>
          <w:rFonts w:asciiTheme="minorHAnsi" w:hAnsiTheme="minorHAnsi" w:cstheme="minorBidi"/>
          <w:sz w:val="24"/>
          <w:szCs w:val="24"/>
          <w:lang w:val="en-GB"/>
        </w:rPr>
        <w:t xml:space="preserve"> </w:t>
      </w:r>
      <w:r w:rsidRPr="00E539FD">
        <w:rPr>
          <w:rFonts w:asciiTheme="minorHAnsi" w:hAnsiTheme="minorHAnsi" w:cstheme="minorBidi"/>
          <w:sz w:val="24"/>
          <w:szCs w:val="24"/>
          <w:lang w:val="en-GB"/>
        </w:rPr>
        <w:t>teleworking. This trend can also be used to promote the employment of people with disabilities. As well as the trend to expand teleworking, sufficient workplace adaptations often enable the creation of part-time work and the associated extension of the adaptation process to the organisation, which directly reduces the turnover of employees with disabilities.</w:t>
      </w:r>
    </w:p>
    <w:p w14:paraId="39820647" w14:textId="663875D8" w:rsidR="008C6E0C" w:rsidRPr="00E539FD" w:rsidRDefault="008C6E0C" w:rsidP="00813E0C">
      <w:pPr>
        <w:pStyle w:val="Odstavecseseznamem"/>
        <w:spacing w:before="240"/>
        <w:ind w:left="0"/>
        <w:jc w:val="both"/>
        <w:rPr>
          <w:rFonts w:asciiTheme="minorHAnsi" w:hAnsiTheme="minorHAnsi" w:cstheme="minorBidi"/>
          <w:sz w:val="24"/>
          <w:szCs w:val="24"/>
          <w:lang w:val="en-GB"/>
        </w:rPr>
      </w:pPr>
      <w:r w:rsidRPr="00E539FD">
        <w:rPr>
          <w:rFonts w:asciiTheme="minorHAnsi" w:hAnsiTheme="minorHAnsi" w:cstheme="minorBidi"/>
          <w:sz w:val="24"/>
          <w:szCs w:val="24"/>
          <w:lang w:val="en-GB"/>
        </w:rPr>
        <w:t xml:space="preserve"> </w:t>
      </w:r>
    </w:p>
    <w:p w14:paraId="4C37B6A5" w14:textId="77777777" w:rsidR="008C6E0C" w:rsidRPr="00E539FD" w:rsidRDefault="008C6E0C" w:rsidP="00813E0C">
      <w:pPr>
        <w:pStyle w:val="Odstavecseseznamem"/>
        <w:spacing w:after="0"/>
        <w:ind w:left="0"/>
        <w:jc w:val="both"/>
        <w:rPr>
          <w:rFonts w:asciiTheme="minorHAnsi" w:hAnsiTheme="minorHAnsi" w:cstheme="minorBidi"/>
          <w:sz w:val="24"/>
          <w:szCs w:val="24"/>
          <w:lang w:val="en-GB"/>
        </w:rPr>
      </w:pPr>
      <w:r w:rsidRPr="00E539FD">
        <w:rPr>
          <w:rFonts w:asciiTheme="minorHAnsi" w:hAnsiTheme="minorHAnsi" w:cstheme="minorBidi"/>
          <w:sz w:val="24"/>
          <w:szCs w:val="24"/>
          <w:lang w:val="en-GB"/>
        </w:rPr>
        <w:t>Topics for discussion:</w:t>
      </w:r>
    </w:p>
    <w:p w14:paraId="1066C484" w14:textId="08844966" w:rsidR="008C6E0C" w:rsidRPr="00E539FD" w:rsidRDefault="008C6E0C" w:rsidP="00813E0C">
      <w:pPr>
        <w:pStyle w:val="Odstavecseseznamem"/>
        <w:numPr>
          <w:ilvl w:val="0"/>
          <w:numId w:val="23"/>
        </w:numPr>
        <w:spacing w:after="0"/>
        <w:jc w:val="both"/>
        <w:rPr>
          <w:rFonts w:asciiTheme="minorHAnsi" w:hAnsiTheme="minorHAnsi" w:cstheme="minorBidi"/>
          <w:sz w:val="24"/>
          <w:szCs w:val="24"/>
          <w:lang w:val="en-GB"/>
        </w:rPr>
      </w:pPr>
      <w:r w:rsidRPr="00E539FD">
        <w:rPr>
          <w:rFonts w:asciiTheme="minorHAnsi" w:hAnsiTheme="minorHAnsi" w:cstheme="minorBidi"/>
          <w:sz w:val="24"/>
          <w:szCs w:val="24"/>
          <w:lang w:val="en-GB"/>
        </w:rPr>
        <w:t xml:space="preserve">What are the motivations for employers to recruit persons with disabilities? And how to increase them? </w:t>
      </w:r>
    </w:p>
    <w:p w14:paraId="518DB6FF" w14:textId="50C38DD6" w:rsidR="008C6E0C" w:rsidRPr="00E539FD" w:rsidRDefault="008C6E0C" w:rsidP="00813E0C">
      <w:pPr>
        <w:pStyle w:val="Odstavecseseznamem"/>
        <w:numPr>
          <w:ilvl w:val="0"/>
          <w:numId w:val="23"/>
        </w:numPr>
        <w:spacing w:after="0"/>
        <w:jc w:val="both"/>
        <w:rPr>
          <w:rFonts w:asciiTheme="minorHAnsi" w:hAnsiTheme="minorHAnsi" w:cstheme="minorBidi"/>
          <w:sz w:val="24"/>
          <w:szCs w:val="24"/>
          <w:lang w:val="en-GB"/>
        </w:rPr>
      </w:pPr>
      <w:r w:rsidRPr="00E539FD">
        <w:rPr>
          <w:rFonts w:asciiTheme="minorHAnsi" w:hAnsiTheme="minorHAnsi" w:cstheme="minorBidi"/>
          <w:sz w:val="24"/>
          <w:szCs w:val="24"/>
          <w:lang w:val="en-GB"/>
        </w:rPr>
        <w:t>Modern technology and flexible working - an opportunity for people with disabilities?</w:t>
      </w:r>
    </w:p>
    <w:p w14:paraId="236E0BE7" w14:textId="16D10AC1" w:rsidR="00601390" w:rsidRPr="00E539FD" w:rsidRDefault="008C6E0C" w:rsidP="00813E0C">
      <w:pPr>
        <w:pStyle w:val="Odstavecseseznamem"/>
        <w:numPr>
          <w:ilvl w:val="0"/>
          <w:numId w:val="23"/>
        </w:numPr>
        <w:spacing w:after="0"/>
        <w:jc w:val="both"/>
        <w:rPr>
          <w:rFonts w:asciiTheme="minorHAnsi" w:hAnsiTheme="minorHAnsi" w:cstheme="minorBidi"/>
          <w:sz w:val="24"/>
          <w:szCs w:val="24"/>
          <w:lang w:val="en-GB"/>
        </w:rPr>
      </w:pPr>
      <w:r w:rsidRPr="00E539FD">
        <w:rPr>
          <w:rFonts w:asciiTheme="minorHAnsi" w:hAnsiTheme="minorHAnsi" w:cstheme="minorBidi"/>
          <w:sz w:val="24"/>
          <w:szCs w:val="24"/>
          <w:lang w:val="en-GB"/>
        </w:rPr>
        <w:t>Limits to employing people with disabilities in the public sector and how to reduce them.</w:t>
      </w:r>
    </w:p>
    <w:p w14:paraId="6C965272" w14:textId="77777777" w:rsidR="008C6E0C" w:rsidRPr="00E539FD" w:rsidRDefault="008C6E0C" w:rsidP="00813E0C">
      <w:pPr>
        <w:spacing w:after="0" w:line="276" w:lineRule="auto"/>
        <w:ind w:left="360"/>
        <w:jc w:val="both"/>
        <w:rPr>
          <w:sz w:val="24"/>
          <w:szCs w:val="24"/>
          <w:lang w:val="en-GB"/>
        </w:rPr>
      </w:pPr>
    </w:p>
    <w:p w14:paraId="5C2E6665" w14:textId="77777777" w:rsidR="008C6E0C" w:rsidRPr="00E539FD" w:rsidRDefault="008C6E0C" w:rsidP="00813E0C">
      <w:pPr>
        <w:spacing w:line="276" w:lineRule="auto"/>
        <w:rPr>
          <w:b/>
          <w:bCs/>
          <w:color w:val="4472C4" w:themeColor="accent1"/>
          <w:sz w:val="24"/>
          <w:szCs w:val="24"/>
          <w:lang w:val="en-GB"/>
        </w:rPr>
      </w:pPr>
      <w:r w:rsidRPr="00E539FD">
        <w:rPr>
          <w:b/>
          <w:bCs/>
          <w:color w:val="4472C4" w:themeColor="accent1"/>
          <w:sz w:val="24"/>
          <w:szCs w:val="24"/>
          <w:lang w:val="en-GB"/>
        </w:rPr>
        <w:br w:type="page"/>
      </w:r>
    </w:p>
    <w:p w14:paraId="2F31DC05" w14:textId="77777777" w:rsidR="002C28DF" w:rsidRPr="00E539FD" w:rsidRDefault="002C28DF" w:rsidP="00813E0C">
      <w:pPr>
        <w:spacing w:after="0" w:line="276" w:lineRule="auto"/>
        <w:jc w:val="both"/>
        <w:rPr>
          <w:b/>
          <w:bCs/>
          <w:color w:val="4472C4" w:themeColor="accent1"/>
          <w:sz w:val="24"/>
          <w:szCs w:val="24"/>
          <w:lang w:val="en-GB"/>
        </w:rPr>
      </w:pPr>
      <w:r w:rsidRPr="00E539FD">
        <w:rPr>
          <w:b/>
          <w:bCs/>
          <w:color w:val="4472C4" w:themeColor="accent1"/>
          <w:sz w:val="24"/>
          <w:szCs w:val="24"/>
          <w:lang w:val="en-GB"/>
        </w:rPr>
        <w:lastRenderedPageBreak/>
        <w:t>Panel 6</w:t>
      </w:r>
    </w:p>
    <w:p w14:paraId="26D27EEA" w14:textId="77777777" w:rsidR="002C28DF" w:rsidRPr="00E539FD" w:rsidRDefault="002C28DF" w:rsidP="00813E0C">
      <w:pPr>
        <w:pStyle w:val="Standard"/>
        <w:spacing w:line="276" w:lineRule="auto"/>
        <w:contextualSpacing/>
        <w:rPr>
          <w:rFonts w:asciiTheme="minorHAnsi" w:eastAsiaTheme="minorHAnsi" w:hAnsiTheme="minorHAnsi" w:cstheme="minorBidi"/>
          <w:b/>
          <w:bCs/>
          <w:color w:val="4472C4" w:themeColor="accent1"/>
          <w:lang w:val="en-GB" w:eastAsia="en-US"/>
        </w:rPr>
      </w:pPr>
      <w:r w:rsidRPr="00E539FD">
        <w:rPr>
          <w:rFonts w:asciiTheme="minorHAnsi" w:eastAsiaTheme="minorHAnsi" w:hAnsiTheme="minorHAnsi" w:cstheme="minorBidi"/>
          <w:b/>
          <w:bCs/>
          <w:color w:val="4472C4" w:themeColor="accent1"/>
          <w:lang w:val="en-GB" w:eastAsia="en-US"/>
        </w:rPr>
        <w:t xml:space="preserve">Health and Safety at work: Retaining persons with disabilities in employment </w:t>
      </w:r>
    </w:p>
    <w:p w14:paraId="01323A69" w14:textId="77777777" w:rsidR="008C6E0C" w:rsidRPr="00E539FD" w:rsidRDefault="008C6E0C" w:rsidP="00813E0C">
      <w:pPr>
        <w:spacing w:line="276" w:lineRule="auto"/>
        <w:jc w:val="both"/>
        <w:rPr>
          <w:sz w:val="24"/>
          <w:szCs w:val="24"/>
          <w:lang w:val="en-GB"/>
        </w:rPr>
      </w:pPr>
      <w:r w:rsidRPr="00E539FD">
        <w:rPr>
          <w:sz w:val="24"/>
          <w:szCs w:val="24"/>
          <w:lang w:val="en-GB"/>
        </w:rPr>
        <w:t xml:space="preserve">Within the framework of the standards for the employment of persons with disabilities, it is necessary to maintain a heightened level of attention to occupational health and safety. </w:t>
      </w:r>
    </w:p>
    <w:p w14:paraId="7EF77135" w14:textId="1F02B00B" w:rsidR="008C6E0C" w:rsidRPr="00E539FD" w:rsidRDefault="008C6E0C" w:rsidP="00813E0C">
      <w:pPr>
        <w:spacing w:line="276" w:lineRule="auto"/>
        <w:jc w:val="both"/>
        <w:rPr>
          <w:sz w:val="24"/>
          <w:szCs w:val="24"/>
          <w:lang w:val="en-GB"/>
        </w:rPr>
      </w:pPr>
      <w:r w:rsidRPr="00E539FD">
        <w:rPr>
          <w:sz w:val="24"/>
          <w:szCs w:val="24"/>
          <w:lang w:val="en-GB"/>
        </w:rPr>
        <w:t xml:space="preserve">In the event of a deterioration in health during the course of employment with one employer, a very strong motivation for employees with disabilities is to modify the job, working hours or other parameters, or to transfer to another type of work. The disabled employee thus remains in contact with his/her existing social environment and </w:t>
      </w:r>
      <w:r w:rsidR="00142058">
        <w:rPr>
          <w:sz w:val="24"/>
          <w:szCs w:val="24"/>
          <w:lang w:val="en-GB"/>
        </w:rPr>
        <w:t xml:space="preserve">is not predicted to </w:t>
      </w:r>
      <w:r w:rsidRPr="00E539FD">
        <w:rPr>
          <w:sz w:val="24"/>
          <w:szCs w:val="24"/>
          <w:lang w:val="en-GB"/>
        </w:rPr>
        <w:t xml:space="preserve">does not have </w:t>
      </w:r>
      <w:r w:rsidR="00142058">
        <w:rPr>
          <w:sz w:val="24"/>
          <w:szCs w:val="24"/>
          <w:lang w:val="en-GB"/>
        </w:rPr>
        <w:t>use</w:t>
      </w:r>
      <w:r w:rsidRPr="00E539FD">
        <w:rPr>
          <w:sz w:val="24"/>
          <w:szCs w:val="24"/>
          <w:lang w:val="en-GB"/>
        </w:rPr>
        <w:t xml:space="preserve"> the social safety net of the state. </w:t>
      </w:r>
    </w:p>
    <w:p w14:paraId="75BEFEC1" w14:textId="18705F59" w:rsidR="008C6E0C" w:rsidRPr="00E539FD" w:rsidRDefault="008C6E0C" w:rsidP="00813E0C">
      <w:pPr>
        <w:spacing w:line="276" w:lineRule="auto"/>
        <w:jc w:val="both"/>
        <w:rPr>
          <w:sz w:val="24"/>
          <w:szCs w:val="24"/>
          <w:lang w:val="en-GB"/>
        </w:rPr>
      </w:pPr>
      <w:r w:rsidRPr="00E539FD">
        <w:rPr>
          <w:sz w:val="24"/>
          <w:szCs w:val="24"/>
          <w:lang w:val="en-GB"/>
        </w:rPr>
        <w:t xml:space="preserve">Adaptation to a prospective employee with a disability on entry is reported to increase </w:t>
      </w:r>
      <w:r w:rsidR="00142058">
        <w:rPr>
          <w:sz w:val="24"/>
          <w:szCs w:val="24"/>
          <w:lang w:val="en-GB"/>
        </w:rPr>
        <w:br/>
      </w:r>
      <w:r w:rsidRPr="00E539FD">
        <w:rPr>
          <w:sz w:val="24"/>
          <w:szCs w:val="24"/>
          <w:lang w:val="en-GB"/>
        </w:rPr>
        <w:t xml:space="preserve">the loyalty of the disabled employee to the employer in the future. </w:t>
      </w:r>
    </w:p>
    <w:p w14:paraId="3B402B46" w14:textId="77777777" w:rsidR="008C6E0C" w:rsidRPr="00E539FD" w:rsidRDefault="008C6E0C" w:rsidP="00813E0C">
      <w:pPr>
        <w:spacing w:line="276" w:lineRule="auto"/>
        <w:jc w:val="both"/>
        <w:rPr>
          <w:sz w:val="24"/>
          <w:szCs w:val="24"/>
          <w:lang w:val="en-GB"/>
        </w:rPr>
      </w:pPr>
      <w:r w:rsidRPr="00E539FD">
        <w:rPr>
          <w:sz w:val="24"/>
          <w:szCs w:val="24"/>
          <w:lang w:val="en-GB"/>
        </w:rPr>
        <w:t>Topics for discussion:</w:t>
      </w:r>
    </w:p>
    <w:p w14:paraId="27C8EB55" w14:textId="64D6769E" w:rsidR="008C6E0C" w:rsidRPr="00E539FD" w:rsidRDefault="008C6E0C" w:rsidP="00813E0C">
      <w:pPr>
        <w:pStyle w:val="Odstavecseseznamem"/>
        <w:numPr>
          <w:ilvl w:val="0"/>
          <w:numId w:val="24"/>
        </w:numPr>
        <w:jc w:val="both"/>
        <w:rPr>
          <w:sz w:val="24"/>
          <w:szCs w:val="24"/>
          <w:lang w:val="en-GB"/>
        </w:rPr>
      </w:pPr>
      <w:r w:rsidRPr="00E539FD">
        <w:rPr>
          <w:sz w:val="24"/>
          <w:szCs w:val="24"/>
          <w:lang w:val="en-GB"/>
        </w:rPr>
        <w:t>How to work with chronic illness and other health issues in the workplace?</w:t>
      </w:r>
    </w:p>
    <w:p w14:paraId="61F8D99E" w14:textId="1A861F8B" w:rsidR="008C6E0C" w:rsidRPr="00E539FD" w:rsidRDefault="008C6E0C" w:rsidP="00813E0C">
      <w:pPr>
        <w:pStyle w:val="Odstavecseseznamem"/>
        <w:numPr>
          <w:ilvl w:val="0"/>
          <w:numId w:val="24"/>
        </w:numPr>
        <w:jc w:val="both"/>
        <w:rPr>
          <w:sz w:val="24"/>
          <w:szCs w:val="24"/>
          <w:lang w:val="en-GB"/>
        </w:rPr>
      </w:pPr>
      <w:r w:rsidRPr="00E539FD">
        <w:rPr>
          <w:sz w:val="24"/>
          <w:szCs w:val="24"/>
          <w:lang w:val="en-GB"/>
        </w:rPr>
        <w:t>What are the possibilities for adapting workplaces to people with chronic illness/disabilities?</w:t>
      </w:r>
    </w:p>
    <w:p w14:paraId="0B3D34BF" w14:textId="24478C5F" w:rsidR="008A0249" w:rsidRPr="00E539FD" w:rsidRDefault="006821BA" w:rsidP="00813E0C">
      <w:pPr>
        <w:pStyle w:val="Odstavecseseznamem"/>
        <w:numPr>
          <w:ilvl w:val="0"/>
          <w:numId w:val="24"/>
        </w:numPr>
        <w:jc w:val="both"/>
        <w:rPr>
          <w:sz w:val="24"/>
          <w:szCs w:val="24"/>
          <w:lang w:val="en-GB"/>
        </w:rPr>
      </w:pPr>
      <w:r>
        <w:rPr>
          <w:sz w:val="24"/>
          <w:szCs w:val="24"/>
          <w:lang w:val="en-GB"/>
        </w:rPr>
        <w:t>Wha</w:t>
      </w:r>
      <w:r w:rsidR="007525E7">
        <w:rPr>
          <w:sz w:val="24"/>
          <w:szCs w:val="24"/>
          <w:lang w:val="en-GB"/>
        </w:rPr>
        <w:t xml:space="preserve">t are </w:t>
      </w:r>
      <w:r>
        <w:rPr>
          <w:sz w:val="24"/>
          <w:szCs w:val="24"/>
          <w:lang w:val="en-GB"/>
        </w:rPr>
        <w:t>e</w:t>
      </w:r>
      <w:r w:rsidR="008C6E0C" w:rsidRPr="00E539FD">
        <w:rPr>
          <w:sz w:val="24"/>
          <w:szCs w:val="24"/>
          <w:lang w:val="en-GB"/>
        </w:rPr>
        <w:t>ffective occupational rehabilitation programmes</w:t>
      </w:r>
      <w:r>
        <w:rPr>
          <w:sz w:val="24"/>
          <w:szCs w:val="24"/>
          <w:lang w:val="en-GB"/>
        </w:rPr>
        <w:t xml:space="preserve"> effective?</w:t>
      </w:r>
      <w:bookmarkStart w:id="0" w:name="_GoBack"/>
      <w:bookmarkEnd w:id="0"/>
    </w:p>
    <w:p w14:paraId="7D92D18C" w14:textId="77777777" w:rsidR="008C6E0C" w:rsidRPr="00E539FD" w:rsidRDefault="008C6E0C" w:rsidP="00813E0C">
      <w:pPr>
        <w:spacing w:after="0" w:line="276" w:lineRule="auto"/>
        <w:jc w:val="both"/>
        <w:rPr>
          <w:rFonts w:cstheme="minorHAnsi"/>
          <w:b/>
          <w:bCs/>
          <w:color w:val="4472C4" w:themeColor="accent1"/>
          <w:sz w:val="24"/>
          <w:szCs w:val="24"/>
          <w:lang w:val="en-GB"/>
        </w:rPr>
      </w:pPr>
    </w:p>
    <w:p w14:paraId="2FC51C43" w14:textId="77777777" w:rsidR="002C28DF" w:rsidRPr="00E539FD" w:rsidRDefault="002C28DF" w:rsidP="00813E0C">
      <w:pPr>
        <w:spacing w:after="0" w:line="276" w:lineRule="auto"/>
        <w:jc w:val="both"/>
        <w:rPr>
          <w:rFonts w:cstheme="minorHAnsi"/>
          <w:b/>
          <w:bCs/>
          <w:color w:val="4472C4" w:themeColor="accent1"/>
          <w:sz w:val="24"/>
          <w:szCs w:val="24"/>
          <w:lang w:val="en-GB"/>
        </w:rPr>
      </w:pPr>
      <w:r w:rsidRPr="00E539FD">
        <w:rPr>
          <w:rFonts w:cstheme="minorHAnsi"/>
          <w:b/>
          <w:bCs/>
          <w:color w:val="4472C4" w:themeColor="accent1"/>
          <w:sz w:val="24"/>
          <w:szCs w:val="24"/>
          <w:lang w:val="en-GB"/>
        </w:rPr>
        <w:t>Panel 7</w:t>
      </w:r>
    </w:p>
    <w:p w14:paraId="37D9F85A" w14:textId="77777777" w:rsidR="002C28DF" w:rsidRPr="00E539FD" w:rsidRDefault="002C28DF" w:rsidP="00813E0C">
      <w:pPr>
        <w:spacing w:after="0" w:line="276" w:lineRule="auto"/>
        <w:jc w:val="both"/>
        <w:rPr>
          <w:rFonts w:cstheme="minorHAnsi"/>
          <w:b/>
          <w:bCs/>
          <w:color w:val="4472C4" w:themeColor="accent1"/>
          <w:sz w:val="24"/>
          <w:szCs w:val="24"/>
          <w:lang w:val="en-GB"/>
        </w:rPr>
      </w:pPr>
      <w:r w:rsidRPr="00E539FD">
        <w:rPr>
          <w:rFonts w:cstheme="minorHAnsi"/>
          <w:b/>
          <w:bCs/>
          <w:color w:val="4472C4" w:themeColor="accent1"/>
          <w:sz w:val="24"/>
          <w:szCs w:val="24"/>
          <w:lang w:val="en-GB"/>
        </w:rPr>
        <w:t>Conclusions</w:t>
      </w:r>
    </w:p>
    <w:p w14:paraId="0D5E07F2" w14:textId="2ADC27FA" w:rsidR="007312F3" w:rsidRPr="00E539FD" w:rsidRDefault="008C6E0C" w:rsidP="00813E0C">
      <w:pPr>
        <w:spacing w:line="276" w:lineRule="auto"/>
        <w:jc w:val="both"/>
        <w:rPr>
          <w:sz w:val="24"/>
          <w:szCs w:val="24"/>
          <w:lang w:val="en-GB"/>
        </w:rPr>
      </w:pPr>
      <w:r w:rsidRPr="00E539FD">
        <w:rPr>
          <w:sz w:val="24"/>
          <w:szCs w:val="24"/>
          <w:lang w:val="en-GB"/>
        </w:rPr>
        <w:t xml:space="preserve">In the final panel, we expect a summary of the future involvement of </w:t>
      </w:r>
      <w:r w:rsidR="00813E0C" w:rsidRPr="00E539FD">
        <w:rPr>
          <w:sz w:val="24"/>
          <w:szCs w:val="24"/>
          <w:lang w:val="en-GB"/>
        </w:rPr>
        <w:t>The Disability Employment Package</w:t>
      </w:r>
      <w:r w:rsidRPr="00E539FD">
        <w:rPr>
          <w:sz w:val="24"/>
          <w:szCs w:val="24"/>
          <w:lang w:val="en-GB"/>
        </w:rPr>
        <w:t xml:space="preserve"> and an outline of the implementation of </w:t>
      </w:r>
      <w:r w:rsidR="002C28DF" w:rsidRPr="00E539FD">
        <w:rPr>
          <w:sz w:val="24"/>
          <w:szCs w:val="24"/>
          <w:lang w:val="en-GB"/>
        </w:rPr>
        <w:t>The Social Economy Action Plan</w:t>
      </w:r>
      <w:r w:rsidRPr="00E539FD">
        <w:rPr>
          <w:sz w:val="24"/>
          <w:szCs w:val="24"/>
          <w:lang w:val="en-GB"/>
        </w:rPr>
        <w:t xml:space="preserve"> in practice. Developments in this area in 2023, both at Member State level and the European Commission's plans, will be discussed.</w:t>
      </w:r>
    </w:p>
    <w:sectPr w:rsidR="007312F3" w:rsidRPr="00E539FD" w:rsidSect="000768F6">
      <w:headerReference w:type="default" r:id="rId8"/>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75C2" w14:textId="77777777" w:rsidR="00681C30" w:rsidRDefault="00681C30" w:rsidP="001A7EF3">
      <w:pPr>
        <w:spacing w:after="0" w:line="240" w:lineRule="auto"/>
      </w:pPr>
      <w:r>
        <w:separator/>
      </w:r>
    </w:p>
  </w:endnote>
  <w:endnote w:type="continuationSeparator" w:id="0">
    <w:p w14:paraId="642F6ACE" w14:textId="77777777" w:rsidR="00681C30" w:rsidRDefault="00681C30" w:rsidP="001A7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67B82" w14:textId="77777777" w:rsidR="00681C30" w:rsidRDefault="00681C30" w:rsidP="001A7EF3">
      <w:pPr>
        <w:spacing w:after="0" w:line="240" w:lineRule="auto"/>
      </w:pPr>
      <w:r>
        <w:separator/>
      </w:r>
    </w:p>
  </w:footnote>
  <w:footnote w:type="continuationSeparator" w:id="0">
    <w:p w14:paraId="0FDC64E1" w14:textId="77777777" w:rsidR="00681C30" w:rsidRDefault="00681C30" w:rsidP="001A7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64CF" w14:textId="7B600108" w:rsidR="001A7EF3" w:rsidRDefault="00E539FD">
    <w:pPr>
      <w:pStyle w:val="Zhlav"/>
    </w:pPr>
    <w:r>
      <w:rPr>
        <w:rFonts w:cstheme="minorHAnsi"/>
        <w:i/>
        <w:iCs/>
        <w:noProof/>
        <w:sz w:val="20"/>
        <w:szCs w:val="20"/>
        <w:lang w:eastAsia="cs-CZ"/>
      </w:rPr>
      <w:drawing>
        <wp:anchor distT="0" distB="0" distL="114300" distR="114300" simplePos="0" relativeHeight="251659264" behindDoc="1" locked="0" layoutInCell="1" allowOverlap="1" wp14:anchorId="2D1493A2" wp14:editId="0C1E1C8C">
          <wp:simplePos x="0" y="0"/>
          <wp:positionH relativeFrom="column">
            <wp:posOffset>-906780</wp:posOffset>
          </wp:positionH>
          <wp:positionV relativeFrom="paragraph">
            <wp:posOffset>-434975</wp:posOffset>
          </wp:positionV>
          <wp:extent cx="7560000" cy="972000"/>
          <wp:effectExtent l="0" t="0" r="3175" b="0"/>
          <wp:wrapNone/>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7560000" cy="97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945"/>
    <w:multiLevelType w:val="hybridMultilevel"/>
    <w:tmpl w:val="E5A0B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30F97"/>
    <w:multiLevelType w:val="hybridMultilevel"/>
    <w:tmpl w:val="95CC25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03679F"/>
    <w:multiLevelType w:val="hybridMultilevel"/>
    <w:tmpl w:val="33269C66"/>
    <w:lvl w:ilvl="0" w:tplc="04050001">
      <w:start w:val="1"/>
      <w:numFmt w:val="bullet"/>
      <w:lvlText w:val=""/>
      <w:lvlJc w:val="left"/>
      <w:pPr>
        <w:ind w:left="3192" w:hanging="360"/>
      </w:pPr>
      <w:rPr>
        <w:rFonts w:ascii="Symbol" w:hAnsi="Symbol"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3" w15:restartNumberingAfterBreak="0">
    <w:nsid w:val="0D7628E6"/>
    <w:multiLevelType w:val="hybridMultilevel"/>
    <w:tmpl w:val="679C3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1A4EA1"/>
    <w:multiLevelType w:val="hybridMultilevel"/>
    <w:tmpl w:val="FD6011AE"/>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8E177B"/>
    <w:multiLevelType w:val="hybridMultilevel"/>
    <w:tmpl w:val="00C4D682"/>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6" w15:restartNumberingAfterBreak="0">
    <w:nsid w:val="2D2D4E19"/>
    <w:multiLevelType w:val="hybridMultilevel"/>
    <w:tmpl w:val="CC2C6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6A1054"/>
    <w:multiLevelType w:val="hybridMultilevel"/>
    <w:tmpl w:val="55B6A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B277D5"/>
    <w:multiLevelType w:val="hybridMultilevel"/>
    <w:tmpl w:val="FAD20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3717B58"/>
    <w:multiLevelType w:val="hybridMultilevel"/>
    <w:tmpl w:val="592084E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4151EC8"/>
    <w:multiLevelType w:val="hybridMultilevel"/>
    <w:tmpl w:val="C4BCFF38"/>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8A23B7"/>
    <w:multiLevelType w:val="hybridMultilevel"/>
    <w:tmpl w:val="B7E2D74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A310766"/>
    <w:multiLevelType w:val="hybridMultilevel"/>
    <w:tmpl w:val="25CEA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F17F6D"/>
    <w:multiLevelType w:val="hybridMultilevel"/>
    <w:tmpl w:val="B4F82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585F8B"/>
    <w:multiLevelType w:val="hybridMultilevel"/>
    <w:tmpl w:val="6144E396"/>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A70230"/>
    <w:multiLevelType w:val="hybridMultilevel"/>
    <w:tmpl w:val="4FCC99D4"/>
    <w:lvl w:ilvl="0" w:tplc="6756E06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233378E"/>
    <w:multiLevelType w:val="hybridMultilevel"/>
    <w:tmpl w:val="1AAEE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100B27"/>
    <w:multiLevelType w:val="hybridMultilevel"/>
    <w:tmpl w:val="691CD942"/>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4D3FF2"/>
    <w:multiLevelType w:val="hybridMultilevel"/>
    <w:tmpl w:val="1DDABDC6"/>
    <w:lvl w:ilvl="0" w:tplc="6756E06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EC0105"/>
    <w:multiLevelType w:val="hybridMultilevel"/>
    <w:tmpl w:val="8F320AE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706C3569"/>
    <w:multiLevelType w:val="hybridMultilevel"/>
    <w:tmpl w:val="8886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434100"/>
    <w:multiLevelType w:val="hybridMultilevel"/>
    <w:tmpl w:val="DED2D1CA"/>
    <w:lvl w:ilvl="0" w:tplc="6756E06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B816391"/>
    <w:multiLevelType w:val="hybridMultilevel"/>
    <w:tmpl w:val="1BCEF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346C7B"/>
    <w:multiLevelType w:val="hybridMultilevel"/>
    <w:tmpl w:val="FF0E72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23"/>
  </w:num>
  <w:num w:numId="5">
    <w:abstractNumId w:val="19"/>
  </w:num>
  <w:num w:numId="6">
    <w:abstractNumId w:val="13"/>
  </w:num>
  <w:num w:numId="7">
    <w:abstractNumId w:val="17"/>
  </w:num>
  <w:num w:numId="8">
    <w:abstractNumId w:val="15"/>
  </w:num>
  <w:num w:numId="9">
    <w:abstractNumId w:val="1"/>
  </w:num>
  <w:num w:numId="10">
    <w:abstractNumId w:val="3"/>
  </w:num>
  <w:num w:numId="11">
    <w:abstractNumId w:val="4"/>
  </w:num>
  <w:num w:numId="12">
    <w:abstractNumId w:val="21"/>
  </w:num>
  <w:num w:numId="13">
    <w:abstractNumId w:val="9"/>
  </w:num>
  <w:num w:numId="14">
    <w:abstractNumId w:val="20"/>
  </w:num>
  <w:num w:numId="15">
    <w:abstractNumId w:val="10"/>
  </w:num>
  <w:num w:numId="16">
    <w:abstractNumId w:val="14"/>
  </w:num>
  <w:num w:numId="17">
    <w:abstractNumId w:val="16"/>
  </w:num>
  <w:num w:numId="18">
    <w:abstractNumId w:val="6"/>
  </w:num>
  <w:num w:numId="19">
    <w:abstractNumId w:val="18"/>
  </w:num>
  <w:num w:numId="20">
    <w:abstractNumId w:val="7"/>
  </w:num>
  <w:num w:numId="21">
    <w:abstractNumId w:val="22"/>
  </w:num>
  <w:num w:numId="22">
    <w:abstractNumId w:val="8"/>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F3"/>
    <w:rsid w:val="00006356"/>
    <w:rsid w:val="00010D99"/>
    <w:rsid w:val="0002336D"/>
    <w:rsid w:val="00027656"/>
    <w:rsid w:val="000331F7"/>
    <w:rsid w:val="00034836"/>
    <w:rsid w:val="00064316"/>
    <w:rsid w:val="00070149"/>
    <w:rsid w:val="000768F6"/>
    <w:rsid w:val="000A120A"/>
    <w:rsid w:val="000B0F17"/>
    <w:rsid w:val="000B1B1E"/>
    <w:rsid w:val="000B45FF"/>
    <w:rsid w:val="000D41F7"/>
    <w:rsid w:val="000D7D8B"/>
    <w:rsid w:val="000E1BC0"/>
    <w:rsid w:val="000E5AE0"/>
    <w:rsid w:val="001405C3"/>
    <w:rsid w:val="00142058"/>
    <w:rsid w:val="001518D5"/>
    <w:rsid w:val="00163FCF"/>
    <w:rsid w:val="00167A36"/>
    <w:rsid w:val="00193C89"/>
    <w:rsid w:val="001976A2"/>
    <w:rsid w:val="001A7EF3"/>
    <w:rsid w:val="00206FBF"/>
    <w:rsid w:val="002111D1"/>
    <w:rsid w:val="00213FC8"/>
    <w:rsid w:val="00231804"/>
    <w:rsid w:val="00234FC5"/>
    <w:rsid w:val="00273FE0"/>
    <w:rsid w:val="00283AF2"/>
    <w:rsid w:val="00290D43"/>
    <w:rsid w:val="002A3584"/>
    <w:rsid w:val="002C28DF"/>
    <w:rsid w:val="0030267B"/>
    <w:rsid w:val="00310224"/>
    <w:rsid w:val="0031607F"/>
    <w:rsid w:val="00317683"/>
    <w:rsid w:val="00322574"/>
    <w:rsid w:val="00342833"/>
    <w:rsid w:val="00365EDA"/>
    <w:rsid w:val="003B5BB1"/>
    <w:rsid w:val="003D362F"/>
    <w:rsid w:val="00402939"/>
    <w:rsid w:val="00410419"/>
    <w:rsid w:val="00421B75"/>
    <w:rsid w:val="00424F94"/>
    <w:rsid w:val="0042566A"/>
    <w:rsid w:val="00446D12"/>
    <w:rsid w:val="00475019"/>
    <w:rsid w:val="00494B6A"/>
    <w:rsid w:val="00495C83"/>
    <w:rsid w:val="004C54E4"/>
    <w:rsid w:val="004E5A08"/>
    <w:rsid w:val="005275A8"/>
    <w:rsid w:val="0056435E"/>
    <w:rsid w:val="005A11FE"/>
    <w:rsid w:val="005A3A3E"/>
    <w:rsid w:val="005B4010"/>
    <w:rsid w:val="005D5BA9"/>
    <w:rsid w:val="005E3FE6"/>
    <w:rsid w:val="00601390"/>
    <w:rsid w:val="006114DE"/>
    <w:rsid w:val="00681C30"/>
    <w:rsid w:val="006821BA"/>
    <w:rsid w:val="006A2134"/>
    <w:rsid w:val="006A30C4"/>
    <w:rsid w:val="00727D47"/>
    <w:rsid w:val="007312F3"/>
    <w:rsid w:val="00745358"/>
    <w:rsid w:val="007525E7"/>
    <w:rsid w:val="007758CD"/>
    <w:rsid w:val="00811D7E"/>
    <w:rsid w:val="00813E0C"/>
    <w:rsid w:val="00883C61"/>
    <w:rsid w:val="0089045D"/>
    <w:rsid w:val="00890F6C"/>
    <w:rsid w:val="008912C7"/>
    <w:rsid w:val="008A0249"/>
    <w:rsid w:val="008B1BB2"/>
    <w:rsid w:val="008C6E0C"/>
    <w:rsid w:val="008F45F6"/>
    <w:rsid w:val="00916C84"/>
    <w:rsid w:val="00925BFF"/>
    <w:rsid w:val="009360F2"/>
    <w:rsid w:val="0094196C"/>
    <w:rsid w:val="009A107E"/>
    <w:rsid w:val="009A1896"/>
    <w:rsid w:val="009C36EF"/>
    <w:rsid w:val="009D0ADD"/>
    <w:rsid w:val="009D18DD"/>
    <w:rsid w:val="009F0ED9"/>
    <w:rsid w:val="00A35EF0"/>
    <w:rsid w:val="00A4410E"/>
    <w:rsid w:val="00A5686B"/>
    <w:rsid w:val="00A66815"/>
    <w:rsid w:val="00A916B7"/>
    <w:rsid w:val="00AA2B3D"/>
    <w:rsid w:val="00AA4ED4"/>
    <w:rsid w:val="00AC2BD1"/>
    <w:rsid w:val="00AF20C4"/>
    <w:rsid w:val="00B57113"/>
    <w:rsid w:val="00B75138"/>
    <w:rsid w:val="00B77F10"/>
    <w:rsid w:val="00B8008A"/>
    <w:rsid w:val="00B837C0"/>
    <w:rsid w:val="00B8528B"/>
    <w:rsid w:val="00B934B2"/>
    <w:rsid w:val="00B97730"/>
    <w:rsid w:val="00BB61AF"/>
    <w:rsid w:val="00BD20B7"/>
    <w:rsid w:val="00BE3E20"/>
    <w:rsid w:val="00BF5159"/>
    <w:rsid w:val="00C308AE"/>
    <w:rsid w:val="00C360D9"/>
    <w:rsid w:val="00C559E6"/>
    <w:rsid w:val="00C56E42"/>
    <w:rsid w:val="00C82B47"/>
    <w:rsid w:val="00C90441"/>
    <w:rsid w:val="00CB16C6"/>
    <w:rsid w:val="00CC63BA"/>
    <w:rsid w:val="00CF0D25"/>
    <w:rsid w:val="00D10670"/>
    <w:rsid w:val="00D1653F"/>
    <w:rsid w:val="00D431AD"/>
    <w:rsid w:val="00D83EEF"/>
    <w:rsid w:val="00DA22E1"/>
    <w:rsid w:val="00DC7911"/>
    <w:rsid w:val="00E14CBD"/>
    <w:rsid w:val="00E3384B"/>
    <w:rsid w:val="00E539FD"/>
    <w:rsid w:val="00E56C6E"/>
    <w:rsid w:val="00E66C28"/>
    <w:rsid w:val="00EE6738"/>
    <w:rsid w:val="00EF17F4"/>
    <w:rsid w:val="00F13A10"/>
    <w:rsid w:val="00F173A4"/>
    <w:rsid w:val="00F35E6C"/>
    <w:rsid w:val="00F44323"/>
    <w:rsid w:val="00F505F7"/>
    <w:rsid w:val="00F660C9"/>
    <w:rsid w:val="00F84642"/>
    <w:rsid w:val="00F97E3E"/>
    <w:rsid w:val="00FA77DA"/>
    <w:rsid w:val="00FC2C9F"/>
    <w:rsid w:val="00FF6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C8A09"/>
  <w15:chartTrackingRefBased/>
  <w15:docId w15:val="{04F1FB07-BDFD-4F84-9F6C-52EFBEA3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6C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A7E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7EF3"/>
  </w:style>
  <w:style w:type="paragraph" w:styleId="Zpat">
    <w:name w:val="footer"/>
    <w:basedOn w:val="Normln"/>
    <w:link w:val="ZpatChar"/>
    <w:uiPriority w:val="99"/>
    <w:unhideWhenUsed/>
    <w:rsid w:val="001A7EF3"/>
    <w:pPr>
      <w:tabs>
        <w:tab w:val="center" w:pos="4536"/>
        <w:tab w:val="right" w:pos="9072"/>
      </w:tabs>
      <w:spacing w:after="0" w:line="240" w:lineRule="auto"/>
    </w:pPr>
  </w:style>
  <w:style w:type="character" w:customStyle="1" w:styleId="ZpatChar">
    <w:name w:val="Zápatí Char"/>
    <w:basedOn w:val="Standardnpsmoodstavce"/>
    <w:link w:val="Zpat"/>
    <w:uiPriority w:val="99"/>
    <w:rsid w:val="001A7EF3"/>
  </w:style>
  <w:style w:type="character" w:customStyle="1" w:styleId="OdstavecseseznamemChar">
    <w:name w:val="Odstavec se seznamem Char"/>
    <w:aliases w:val="Odstavec_muj Char,Nad Char,Barevný seznam – zvýraznění 11 Char,List Paragraph (Czech Tourism) Char,Odstavec_muj1 Char,Odstavec_muj2 Char,Odstavec_muj3 Char,Nad1 Char,List Paragraph1 Char,Odstavec_muj4 Char,Nad2 Char,nad 1 Char"/>
    <w:link w:val="Odstavecseseznamem"/>
    <w:uiPriority w:val="34"/>
    <w:qFormat/>
    <w:locked/>
    <w:rsid w:val="00FF6CC6"/>
    <w:rPr>
      <w:rFonts w:ascii="Calibri" w:hAnsi="Calibri" w:cs="Calibri"/>
    </w:rPr>
  </w:style>
  <w:style w:type="paragraph" w:styleId="Odstavecseseznamem">
    <w:name w:val="List Paragraph"/>
    <w:aliases w:val="Odstavec_muj,Nad,Barevný seznam – zvýraznění 11,List Paragraph (Czech Tourism),Odstavec_muj1,Odstavec_muj2,Odstavec_muj3,Nad1,List Paragraph1,Odstavec_muj4,Nad2,List Paragraph2,Odstavec_muj5,Odstavec_muj6,nad 1,List Paragraph"/>
    <w:basedOn w:val="Normln"/>
    <w:link w:val="OdstavecseseznamemChar"/>
    <w:uiPriority w:val="34"/>
    <w:qFormat/>
    <w:rsid w:val="00FF6CC6"/>
    <w:pPr>
      <w:spacing w:after="200" w:line="276" w:lineRule="auto"/>
      <w:ind w:left="720"/>
      <w:contextualSpacing/>
    </w:pPr>
    <w:rPr>
      <w:rFonts w:ascii="Calibri" w:hAnsi="Calibri" w:cs="Calibri"/>
    </w:rPr>
  </w:style>
  <w:style w:type="character" w:styleId="Odkaznakoment">
    <w:name w:val="annotation reference"/>
    <w:basedOn w:val="Standardnpsmoodstavce"/>
    <w:uiPriority w:val="99"/>
    <w:semiHidden/>
    <w:unhideWhenUsed/>
    <w:rsid w:val="005D5BA9"/>
    <w:rPr>
      <w:sz w:val="16"/>
      <w:szCs w:val="16"/>
    </w:rPr>
  </w:style>
  <w:style w:type="paragraph" w:styleId="Textkomente">
    <w:name w:val="annotation text"/>
    <w:basedOn w:val="Normln"/>
    <w:link w:val="TextkomenteChar"/>
    <w:uiPriority w:val="99"/>
    <w:semiHidden/>
    <w:unhideWhenUsed/>
    <w:rsid w:val="005D5BA9"/>
    <w:pPr>
      <w:spacing w:line="240" w:lineRule="auto"/>
    </w:pPr>
    <w:rPr>
      <w:sz w:val="20"/>
      <w:szCs w:val="20"/>
    </w:rPr>
  </w:style>
  <w:style w:type="character" w:customStyle="1" w:styleId="TextkomenteChar">
    <w:name w:val="Text komentáře Char"/>
    <w:basedOn w:val="Standardnpsmoodstavce"/>
    <w:link w:val="Textkomente"/>
    <w:uiPriority w:val="99"/>
    <w:semiHidden/>
    <w:rsid w:val="005D5BA9"/>
    <w:rPr>
      <w:sz w:val="20"/>
      <w:szCs w:val="20"/>
    </w:rPr>
  </w:style>
  <w:style w:type="paragraph" w:styleId="Pedmtkomente">
    <w:name w:val="annotation subject"/>
    <w:basedOn w:val="Textkomente"/>
    <w:next w:val="Textkomente"/>
    <w:link w:val="PedmtkomenteChar"/>
    <w:uiPriority w:val="99"/>
    <w:semiHidden/>
    <w:unhideWhenUsed/>
    <w:rsid w:val="005D5BA9"/>
    <w:rPr>
      <w:b/>
      <w:bCs/>
    </w:rPr>
  </w:style>
  <w:style w:type="character" w:customStyle="1" w:styleId="PedmtkomenteChar">
    <w:name w:val="Předmět komentáře Char"/>
    <w:basedOn w:val="TextkomenteChar"/>
    <w:link w:val="Pedmtkomente"/>
    <w:uiPriority w:val="99"/>
    <w:semiHidden/>
    <w:rsid w:val="005D5BA9"/>
    <w:rPr>
      <w:b/>
      <w:bCs/>
      <w:sz w:val="20"/>
      <w:szCs w:val="20"/>
    </w:rPr>
  </w:style>
  <w:style w:type="paragraph" w:customStyle="1" w:styleId="Standard">
    <w:name w:val="Standard"/>
    <w:rsid w:val="00F97E3E"/>
    <w:pPr>
      <w:suppressAutoHyphens/>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275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75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5302">
      <w:bodyDiv w:val="1"/>
      <w:marLeft w:val="0"/>
      <w:marRight w:val="0"/>
      <w:marTop w:val="0"/>
      <w:marBottom w:val="0"/>
      <w:divBdr>
        <w:top w:val="none" w:sz="0" w:space="0" w:color="auto"/>
        <w:left w:val="none" w:sz="0" w:space="0" w:color="auto"/>
        <w:bottom w:val="none" w:sz="0" w:space="0" w:color="auto"/>
        <w:right w:val="none" w:sz="0" w:space="0" w:color="auto"/>
      </w:divBdr>
    </w:div>
    <w:div w:id="18971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FD6EE-8CEA-4EBA-99EF-9EAB944D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1095</Words>
  <Characters>6467</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Klapal Petr Mgr. (MPSV)</dc:creator>
  <cp:keywords/>
  <dc:description/>
  <cp:lastModifiedBy>Kateřina Broža</cp:lastModifiedBy>
  <cp:revision>4</cp:revision>
  <dcterms:created xsi:type="dcterms:W3CDTF">2022-09-01T07:41:00Z</dcterms:created>
  <dcterms:modified xsi:type="dcterms:W3CDTF">2022-09-01T14:22:00Z</dcterms:modified>
</cp:coreProperties>
</file>