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02" w:rsidRPr="00E303D1" w:rsidRDefault="003C4D02" w:rsidP="00E303D1">
      <w:pPr>
        <w:rPr>
          <w:b/>
          <w:caps/>
          <w:sz w:val="24"/>
          <w:szCs w:val="24"/>
        </w:rPr>
      </w:pPr>
      <w:bookmarkStart w:id="0" w:name="_Toc410652469"/>
      <w:bookmarkStart w:id="1" w:name="_Toc413950193"/>
      <w:r w:rsidRPr="00E303D1">
        <w:rPr>
          <w:b/>
          <w:caps/>
          <w:sz w:val="24"/>
          <w:szCs w:val="24"/>
        </w:rPr>
        <w:t xml:space="preserve">Vzor podmínek použití podpory </w:t>
      </w:r>
      <w:r w:rsidR="008D4A7F">
        <w:rPr>
          <w:b/>
          <w:caps/>
          <w:sz w:val="24"/>
          <w:szCs w:val="24"/>
        </w:rPr>
        <w:t xml:space="preserve">pro </w:t>
      </w:r>
      <w:r w:rsidR="00F04560">
        <w:rPr>
          <w:b/>
          <w:caps/>
          <w:sz w:val="24"/>
          <w:szCs w:val="24"/>
        </w:rPr>
        <w:t>projekty</w:t>
      </w:r>
      <w:r w:rsidR="008D4A7F">
        <w:rPr>
          <w:b/>
          <w:caps/>
          <w:sz w:val="24"/>
          <w:szCs w:val="24"/>
        </w:rPr>
        <w:t>,</w:t>
      </w:r>
      <w:r w:rsidRPr="00E303D1">
        <w:rPr>
          <w:b/>
          <w:caps/>
          <w:sz w:val="24"/>
          <w:szCs w:val="24"/>
        </w:rPr>
        <w:t xml:space="preserve"> kdy příjemcem je útvar </w:t>
      </w:r>
      <w:r w:rsidR="00F04560">
        <w:rPr>
          <w:b/>
          <w:caps/>
          <w:sz w:val="24"/>
          <w:szCs w:val="24"/>
        </w:rPr>
        <w:t xml:space="preserve">v rámci </w:t>
      </w:r>
      <w:r w:rsidRPr="00E303D1">
        <w:rPr>
          <w:b/>
          <w:caps/>
          <w:sz w:val="24"/>
          <w:szCs w:val="24"/>
        </w:rPr>
        <w:t>MPSV</w:t>
      </w:r>
      <w:bookmarkEnd w:id="0"/>
      <w:bookmarkEnd w:id="1"/>
    </w:p>
    <w:p w:rsidR="000D1CD1" w:rsidRPr="001B0B83" w:rsidRDefault="000D1CD1" w:rsidP="000D1CD1">
      <w:pPr>
        <w:rPr>
          <w:highlight w:val="lightGray"/>
        </w:rPr>
      </w:pPr>
      <w:r w:rsidRPr="004E649B">
        <w:t xml:space="preserve">Podmínky použití podpory z Operačního programu </w:t>
      </w:r>
      <w:r w:rsidR="00987A5D">
        <w:t xml:space="preserve">potravinové </w:t>
      </w:r>
      <w:r w:rsidR="003C67A4">
        <w:t xml:space="preserve"> a materiální pomoc</w:t>
      </w:r>
      <w:r w:rsidR="00987A5D">
        <w:t>i</w:t>
      </w:r>
      <w:r w:rsidRPr="004E649B">
        <w:t xml:space="preserve"> (dále jen „Podmínky“)</w:t>
      </w:r>
    </w:p>
    <w:p w:rsidR="000D1CD1" w:rsidRDefault="000D1CD1" w:rsidP="000D1CD1">
      <w:r w:rsidRPr="001B0B83">
        <w:t xml:space="preserve">Na základě žádosti o podporu z Operačního programu </w:t>
      </w:r>
      <w:r w:rsidR="00987A5D">
        <w:t xml:space="preserve">potravinové </w:t>
      </w:r>
      <w:r w:rsidR="003C67A4">
        <w:t>a materiální pomoc</w:t>
      </w:r>
      <w:r w:rsidR="00987A5D">
        <w:t>i</w:t>
      </w:r>
      <w:r w:rsidR="003C67A4">
        <w:t xml:space="preserve"> (dále jen „OP PMP</w:t>
      </w:r>
      <w:r w:rsidRPr="001B0B83">
        <w:t>“) jsou podmínky realizace projektu [</w:t>
      </w:r>
      <w:r w:rsidRPr="001B0B83">
        <w:rPr>
          <w:highlight w:val="lightGray"/>
        </w:rPr>
        <w:t>…</w:t>
      </w:r>
      <w:r w:rsidRPr="001B0B83">
        <w:t>] registrační číslo [</w:t>
      </w:r>
      <w:r w:rsidRPr="001B0B83">
        <w:rPr>
          <w:highlight w:val="lightGray"/>
        </w:rPr>
        <w:t>…</w:t>
      </w:r>
      <w:r w:rsidRPr="001B0B83">
        <w:t xml:space="preserve">], </w:t>
      </w:r>
      <w:r w:rsidR="003C67A4">
        <w:t>specifický cíl</w:t>
      </w:r>
      <w:r w:rsidRPr="001B0B83">
        <w:t xml:space="preserve"> </w:t>
      </w:r>
      <w:r w:rsidR="003C67A4">
        <w:t>OP PMP</w:t>
      </w:r>
      <w:r w:rsidRPr="001B0B83">
        <w:t>: [</w:t>
      </w:r>
      <w:r w:rsidRPr="001B0B83">
        <w:rPr>
          <w:highlight w:val="lightGray"/>
        </w:rPr>
        <w:t>…</w:t>
      </w:r>
      <w:r w:rsidRPr="001B0B83">
        <w:t>]  (dále jen „projekt“) stanoveny takto:</w:t>
      </w:r>
    </w:p>
    <w:p w:rsidR="000D1CD1" w:rsidRPr="001B0B83" w:rsidRDefault="000D1CD1" w:rsidP="000D1CD1"/>
    <w:p w:rsidR="000D1CD1" w:rsidRPr="001B0B83" w:rsidRDefault="000D1CD1" w:rsidP="000D1CD1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>Část I - Obecné vymezení</w:t>
      </w:r>
    </w:p>
    <w:p w:rsidR="000D1CD1" w:rsidRPr="001B0B83" w:rsidRDefault="000D1CD1" w:rsidP="000D1CD1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Specifikace útvaru odpovědného za roli příjemce podpory z OPZ (dále jen „příjemce“)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/>
          <w:iCs/>
        </w:rPr>
      </w:pPr>
      <w:r w:rsidRPr="001B0B83">
        <w:rPr>
          <w:rFonts w:ascii="Arial" w:hAnsi="Arial" w:cs="Arial"/>
        </w:rPr>
        <w:t>[</w:t>
      </w:r>
      <w:r w:rsidRPr="001B0B83">
        <w:rPr>
          <w:rFonts w:ascii="Arial" w:hAnsi="Arial" w:cs="Arial"/>
          <w:i/>
          <w:iCs/>
          <w:highlight w:val="lightGray"/>
        </w:rPr>
        <w:t>PO – název</w:t>
      </w:r>
      <w:r w:rsidRPr="001B0B83">
        <w:rPr>
          <w:rFonts w:ascii="Arial" w:hAnsi="Arial" w:cs="Arial"/>
        </w:rPr>
        <w:t>]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/>
          <w:iCs/>
        </w:rPr>
      </w:pPr>
      <w:r w:rsidRPr="001B0B83">
        <w:rPr>
          <w:rFonts w:ascii="Arial" w:hAnsi="Arial" w:cs="Arial"/>
        </w:rPr>
        <w:t>[</w:t>
      </w:r>
      <w:r w:rsidRPr="001B0B83">
        <w:rPr>
          <w:rFonts w:ascii="Arial" w:hAnsi="Arial" w:cs="Arial"/>
          <w:i/>
          <w:iCs/>
          <w:highlight w:val="lightGray"/>
        </w:rPr>
        <w:t>PO – adresa sídla</w:t>
      </w:r>
      <w:r w:rsidRPr="001B0B83">
        <w:rPr>
          <w:rFonts w:ascii="Arial" w:hAnsi="Arial" w:cs="Arial"/>
        </w:rPr>
        <w:t>]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/>
          <w:iCs/>
        </w:rPr>
      </w:pPr>
      <w:r w:rsidRPr="001B0B83">
        <w:rPr>
          <w:rFonts w:ascii="Arial" w:hAnsi="Arial" w:cs="Arial"/>
        </w:rPr>
        <w:t>Jejímž jménem jedná:</w:t>
      </w:r>
      <w:r w:rsidRPr="001B0B83">
        <w:t xml:space="preserve"> </w:t>
      </w:r>
      <w:r w:rsidRPr="001B0B83">
        <w:rPr>
          <w:rFonts w:ascii="Arial" w:hAnsi="Arial" w:cs="Arial"/>
        </w:rPr>
        <w:t>[</w:t>
      </w:r>
      <w:r w:rsidRPr="001B0B83">
        <w:rPr>
          <w:rFonts w:ascii="Arial" w:hAnsi="Arial" w:cs="Arial"/>
          <w:highlight w:val="lightGray"/>
        </w:rPr>
        <w:t>…</w:t>
      </w:r>
      <w:r w:rsidRPr="001B0B83">
        <w:rPr>
          <w:rFonts w:ascii="Arial" w:hAnsi="Arial" w:cs="Arial"/>
        </w:rPr>
        <w:t xml:space="preserve">] </w:t>
      </w:r>
    </w:p>
    <w:p w:rsidR="000D1CD1" w:rsidRPr="001B0B83" w:rsidRDefault="000D1CD1" w:rsidP="000D1CD1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Výše prostředků na realizaci projektu</w:t>
      </w:r>
    </w:p>
    <w:p w:rsidR="000D1CD1" w:rsidRPr="001B0B83" w:rsidRDefault="000D1CD1" w:rsidP="000D1CD1">
      <w:pPr>
        <w:pStyle w:val="slovanseznam"/>
        <w:numPr>
          <w:ilvl w:val="1"/>
          <w:numId w:val="43"/>
        </w:numPr>
        <w:spacing w:after="240"/>
        <w:rPr>
          <w:sz w:val="22"/>
          <w:szCs w:val="22"/>
        </w:rPr>
      </w:pPr>
      <w:r w:rsidRPr="001B0B83">
        <w:rPr>
          <w:sz w:val="22"/>
          <w:szCs w:val="22"/>
        </w:rPr>
        <w:t>Maximální výše prostředků a členění zdrojů: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0D1CD1" w:rsidRPr="001B0B83" w:rsidTr="00EE2352">
        <w:trPr>
          <w:tblHeader/>
        </w:trPr>
        <w:tc>
          <w:tcPr>
            <w:tcW w:w="4680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Částka</w:t>
            </w:r>
          </w:p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(v Kč)</w:t>
            </w:r>
          </w:p>
        </w:tc>
        <w:tc>
          <w:tcPr>
            <w:tcW w:w="2268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Podíl na celkovém rozpočtu</w:t>
            </w:r>
          </w:p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(v %)</w:t>
            </w:r>
          </w:p>
        </w:tc>
      </w:tr>
      <w:tr w:rsidR="000D1CD1" w:rsidRPr="001B0B83" w:rsidTr="00EE2352">
        <w:tc>
          <w:tcPr>
            <w:tcW w:w="4680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  <w:r w:rsidRPr="001B0B83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[...]</w:t>
            </w:r>
          </w:p>
        </w:tc>
        <w:tc>
          <w:tcPr>
            <w:tcW w:w="2268" w:type="dxa"/>
            <w:vAlign w:val="center"/>
          </w:tcPr>
          <w:p w:rsidR="000D1CD1" w:rsidRPr="001B0B83" w:rsidRDefault="003C67A4" w:rsidP="00EE2352">
            <w:pPr>
              <w:pStyle w:val="Tabulkatext"/>
              <w:spacing w:before="0" w:after="0"/>
            </w:pPr>
            <w:r>
              <w:t>100%</w:t>
            </w:r>
          </w:p>
        </w:tc>
      </w:tr>
      <w:tr w:rsidR="000D1CD1" w:rsidRPr="001B0B83" w:rsidTr="00EE2352">
        <w:tc>
          <w:tcPr>
            <w:tcW w:w="4680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snapToGrid w:val="0"/>
              </w:rPr>
            </w:pP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</w:p>
        </w:tc>
        <w:tc>
          <w:tcPr>
            <w:tcW w:w="2268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</w:p>
        </w:tc>
      </w:tr>
      <w:tr w:rsidR="000D1CD1" w:rsidRPr="001B0B83" w:rsidTr="00EE2352">
        <w:tc>
          <w:tcPr>
            <w:tcW w:w="4680" w:type="dxa"/>
            <w:vAlign w:val="center"/>
          </w:tcPr>
          <w:p w:rsidR="000D1CD1" w:rsidRPr="00052027" w:rsidRDefault="000D1CD1" w:rsidP="00EE2352">
            <w:pPr>
              <w:pStyle w:val="Tabulkatext"/>
              <w:spacing w:before="0" w:after="0"/>
              <w:rPr>
                <w:b/>
                <w:snapToGrid w:val="0"/>
              </w:rPr>
            </w:pP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</w:p>
        </w:tc>
        <w:tc>
          <w:tcPr>
            <w:tcW w:w="2268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</w:p>
        </w:tc>
      </w:tr>
      <w:tr w:rsidR="000D1CD1" w:rsidRPr="001B0B83" w:rsidTr="00EE2352">
        <w:tc>
          <w:tcPr>
            <w:tcW w:w="4680" w:type="dxa"/>
            <w:vAlign w:val="center"/>
          </w:tcPr>
          <w:p w:rsidR="000D1CD1" w:rsidRPr="001B0B83" w:rsidRDefault="000D1CD1" w:rsidP="000D1CD1">
            <w:pPr>
              <w:pStyle w:val="Tabulkatext"/>
              <w:numPr>
                <w:ilvl w:val="0"/>
                <w:numId w:val="56"/>
              </w:numPr>
              <w:spacing w:before="0" w:after="0"/>
            </w:pPr>
            <w:r w:rsidRPr="001B0B83">
              <w:rPr>
                <w:bCs/>
                <w:snapToGrid w:val="0"/>
              </w:rPr>
              <w:t xml:space="preserve">z toho z </w:t>
            </w:r>
            <w:r w:rsidR="003C67A4">
              <w:rPr>
                <w:bCs/>
                <w:snapToGrid w:val="0"/>
              </w:rPr>
              <w:t>F</w:t>
            </w:r>
            <w:r w:rsidR="00987A5D">
              <w:rPr>
                <w:bCs/>
                <w:snapToGrid w:val="0"/>
              </w:rPr>
              <w:t>ondu evropské pomoci nejchudším osobám (dále „F</w:t>
            </w:r>
            <w:r w:rsidR="003C67A4">
              <w:rPr>
                <w:bCs/>
                <w:snapToGrid w:val="0"/>
              </w:rPr>
              <w:t>EAD</w:t>
            </w:r>
            <w:r w:rsidR="00987A5D">
              <w:rPr>
                <w:bCs/>
                <w:snapToGrid w:val="0"/>
              </w:rPr>
              <w:t>“)</w:t>
            </w:r>
            <w:r w:rsidRPr="001B0B83">
              <w:rPr>
                <w:bCs/>
                <w:snapToGrid w:val="0"/>
              </w:rPr>
              <w:t xml:space="preserve">, tj. z prostředků poskytnutých ze státního rozpočtu na předfinancování výdajů, které </w:t>
            </w:r>
            <w:r w:rsidR="000F03EC">
              <w:rPr>
                <w:bCs/>
                <w:snapToGrid w:val="0"/>
              </w:rPr>
              <w:t>prostředky z rozpočtu EU</w:t>
            </w:r>
            <w:r w:rsidRPr="001B0B83">
              <w:rPr>
                <w:bCs/>
                <w:snapToGrid w:val="0"/>
              </w:rPr>
              <w:t xml:space="preserve"> (§ 44 odst. 2 písm. </w:t>
            </w:r>
            <w:r w:rsidR="000F03EC">
              <w:rPr>
                <w:bCs/>
                <w:snapToGrid w:val="0"/>
              </w:rPr>
              <w:t>h</w:t>
            </w:r>
            <w:r w:rsidRPr="001B0B83">
              <w:rPr>
                <w:bCs/>
                <w:snapToGrid w:val="0"/>
              </w:rPr>
              <w:t>) rozpočtových pravidel);</w:t>
            </w:r>
            <w:r w:rsidRPr="001B0B83">
              <w:t xml:space="preserve">  </w:t>
            </w:r>
          </w:p>
          <w:p w:rsidR="000D1CD1" w:rsidRPr="001B0B83" w:rsidRDefault="000D1CD1" w:rsidP="000D1CD1">
            <w:pPr>
              <w:pStyle w:val="Tabulkatext"/>
              <w:numPr>
                <w:ilvl w:val="0"/>
                <w:numId w:val="56"/>
              </w:numPr>
              <w:spacing w:before="0" w:after="0"/>
            </w:pP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[…]</w:t>
            </w:r>
          </w:p>
          <w:p w:rsidR="000D1CD1" w:rsidRPr="001B0B83" w:rsidRDefault="000D1CD1" w:rsidP="00EE2352">
            <w:pPr>
              <w:pStyle w:val="Tabulkatext"/>
              <w:spacing w:before="0" w:after="0"/>
            </w:pPr>
          </w:p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[…]</w:t>
            </w:r>
          </w:p>
        </w:tc>
        <w:tc>
          <w:tcPr>
            <w:tcW w:w="2268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</w:t>
            </w:r>
            <w:r w:rsidR="00987A5D">
              <w:t>85 %</w:t>
            </w:r>
            <w:r w:rsidRPr="001B0B83">
              <w:t>]</w:t>
            </w:r>
          </w:p>
          <w:p w:rsidR="000D1CD1" w:rsidRPr="001B0B83" w:rsidRDefault="000D1CD1" w:rsidP="00EE2352">
            <w:pPr>
              <w:pStyle w:val="Tabulkatext"/>
              <w:spacing w:before="0" w:after="0"/>
            </w:pPr>
          </w:p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[…]</w:t>
            </w:r>
          </w:p>
        </w:tc>
      </w:tr>
      <w:tr w:rsidR="000D1CD1" w:rsidRPr="001B0B83" w:rsidTr="00EE2352">
        <w:tc>
          <w:tcPr>
            <w:tcW w:w="4680" w:type="dxa"/>
            <w:vAlign w:val="center"/>
          </w:tcPr>
          <w:p w:rsidR="000D1CD1" w:rsidRPr="001B0B83" w:rsidRDefault="000D1CD1" w:rsidP="000D1CD1">
            <w:pPr>
              <w:pStyle w:val="Tabulkatext"/>
              <w:numPr>
                <w:ilvl w:val="0"/>
                <w:numId w:val="56"/>
              </w:numPr>
              <w:spacing w:before="0" w:after="0"/>
              <w:rPr>
                <w:bCs/>
                <w:snapToGrid w:val="0"/>
              </w:rPr>
            </w:pPr>
            <w:r w:rsidRPr="001B0B83">
              <w:rPr>
                <w:bCs/>
                <w:snapToGrid w:val="0"/>
              </w:rPr>
              <w:t xml:space="preserve">z toho státní rozpočet, tj. prostředky ze státního rozpočtu na část národního spolufinancování (§ 44 odst. 2 písm. i) rozpočtových pravidel).   </w:t>
            </w:r>
          </w:p>
        </w:tc>
        <w:tc>
          <w:tcPr>
            <w:tcW w:w="2124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[…]</w:t>
            </w:r>
          </w:p>
        </w:tc>
        <w:tc>
          <w:tcPr>
            <w:tcW w:w="2268" w:type="dxa"/>
            <w:vAlign w:val="center"/>
          </w:tcPr>
          <w:p w:rsidR="000D1CD1" w:rsidRPr="001B0B83" w:rsidRDefault="000D1CD1" w:rsidP="00987A5D">
            <w:pPr>
              <w:pStyle w:val="Tabulkatext"/>
              <w:spacing w:before="0" w:after="0"/>
            </w:pPr>
            <w:r w:rsidRPr="001B0B83">
              <w:t>[</w:t>
            </w:r>
            <w:r w:rsidR="00987A5D">
              <w:t>15 %</w:t>
            </w:r>
            <w:r w:rsidRPr="001B0B83">
              <w:t>]</w:t>
            </w:r>
          </w:p>
        </w:tc>
      </w:tr>
    </w:tbl>
    <w:p w:rsidR="000D1CD1" w:rsidRDefault="000D1CD1" w:rsidP="000D1CD1">
      <w:pPr>
        <w:pStyle w:val="slovanseznam"/>
        <w:spacing w:before="120" w:after="60"/>
        <w:ind w:left="425"/>
        <w:rPr>
          <w:sz w:val="22"/>
          <w:szCs w:val="22"/>
        </w:rPr>
      </w:pPr>
    </w:p>
    <w:p w:rsidR="000D1CD1" w:rsidRPr="001B0B83" w:rsidRDefault="000D1CD1" w:rsidP="000D1CD1">
      <w:pPr>
        <w:pStyle w:val="slovanseznam"/>
        <w:numPr>
          <w:ilvl w:val="1"/>
          <w:numId w:val="43"/>
        </w:numPr>
        <w:spacing w:before="120" w:after="60"/>
        <w:ind w:left="425" w:hanging="425"/>
        <w:rPr>
          <w:sz w:val="22"/>
          <w:szCs w:val="22"/>
        </w:rPr>
      </w:pPr>
      <w:r w:rsidRPr="001B0B83">
        <w:rPr>
          <w:sz w:val="22"/>
          <w:szCs w:val="22"/>
        </w:rPr>
        <w:t xml:space="preserve">Podpora je poskytována na způsobilé výdaje projektu. </w:t>
      </w:r>
    </w:p>
    <w:p w:rsidR="000D1CD1" w:rsidRPr="001B0B83" w:rsidRDefault="000D1CD1" w:rsidP="000D1CD1">
      <w:pPr>
        <w:pStyle w:val="slovanseznam"/>
        <w:numPr>
          <w:ilvl w:val="1"/>
          <w:numId w:val="43"/>
        </w:numPr>
        <w:spacing w:after="60"/>
        <w:ind w:left="425" w:hanging="425"/>
        <w:rPr>
          <w:sz w:val="22"/>
          <w:szCs w:val="22"/>
        </w:rPr>
      </w:pPr>
      <w:r w:rsidRPr="001B0B83">
        <w:rPr>
          <w:sz w:val="22"/>
          <w:szCs w:val="22"/>
        </w:rPr>
        <w:t>Pro zapojení zdrojů financování dle výše uvedené tabulky jsou rozhodující hodnoty podílů vyjádřené v procentech. Vyjádření v Kč je jako závazné a maximálně možné stanoveno pouze pro zdroj „</w:t>
      </w:r>
      <w:r w:rsidR="003C67A4">
        <w:rPr>
          <w:sz w:val="22"/>
          <w:szCs w:val="22"/>
        </w:rPr>
        <w:t>FEAD</w:t>
      </w:r>
      <w:r w:rsidRPr="001B0B83">
        <w:rPr>
          <w:sz w:val="22"/>
          <w:szCs w:val="22"/>
        </w:rPr>
        <w:t>“, pro další zdroj se jedná o vyjádření pouze orientační.</w:t>
      </w:r>
    </w:p>
    <w:p w:rsidR="000D1CD1" w:rsidRPr="001B0B83" w:rsidRDefault="000D1CD1" w:rsidP="000D1CD1">
      <w:pPr>
        <w:pStyle w:val="slovanseznam"/>
        <w:numPr>
          <w:ilvl w:val="1"/>
          <w:numId w:val="43"/>
        </w:numPr>
        <w:spacing w:after="60"/>
        <w:ind w:left="425" w:hanging="425"/>
        <w:rPr>
          <w:sz w:val="22"/>
          <w:szCs w:val="22"/>
        </w:rPr>
      </w:pPr>
      <w:r w:rsidRPr="001B0B83">
        <w:rPr>
          <w:sz w:val="22"/>
          <w:szCs w:val="22"/>
        </w:rPr>
        <w:t>Skutečná výše podpory, která bude z </w:t>
      </w:r>
      <w:r w:rsidR="003C67A4">
        <w:rPr>
          <w:sz w:val="22"/>
          <w:szCs w:val="22"/>
        </w:rPr>
        <w:t>OP PMP</w:t>
      </w:r>
      <w:r w:rsidR="003C67A4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 xml:space="preserve">poskytnuta, bude určena na základě skutečně vzniklých, odůvodněných a řádně prokázaných způsobilých výdajů. </w:t>
      </w:r>
    </w:p>
    <w:p w:rsidR="000D1CD1" w:rsidRPr="001B0B83" w:rsidRDefault="000D1CD1" w:rsidP="000D1CD1">
      <w:pPr>
        <w:pStyle w:val="slovanseznam"/>
        <w:numPr>
          <w:ilvl w:val="1"/>
          <w:numId w:val="43"/>
        </w:numPr>
        <w:spacing w:after="240"/>
        <w:ind w:left="425" w:hanging="425"/>
        <w:rPr>
          <w:sz w:val="22"/>
          <w:szCs w:val="22"/>
        </w:rPr>
      </w:pPr>
      <w:r w:rsidRPr="001B0B83">
        <w:rPr>
          <w:sz w:val="22"/>
          <w:szCs w:val="22"/>
        </w:rPr>
        <w:t>Režim financování projektu: ex-post.</w:t>
      </w:r>
    </w:p>
    <w:p w:rsidR="000D1CD1" w:rsidRPr="001B0B83" w:rsidRDefault="000D1CD1" w:rsidP="000D1CD1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Účel podpory</w:t>
      </w:r>
    </w:p>
    <w:p w:rsidR="000D1CD1" w:rsidRPr="001B0B83" w:rsidRDefault="000D1CD1" w:rsidP="000D1CD1">
      <w:pPr>
        <w:pStyle w:val="slovanseznam"/>
        <w:spacing w:after="240"/>
        <w:rPr>
          <w:sz w:val="22"/>
          <w:szCs w:val="22"/>
        </w:rPr>
      </w:pPr>
      <w:r w:rsidRPr="001B0B83">
        <w:rPr>
          <w:sz w:val="22"/>
          <w:szCs w:val="22"/>
        </w:rPr>
        <w:lastRenderedPageBreak/>
        <w:t>V rámci realizace projektu identifikovaného názvem a registračním číslem v úvodní části těchto Podmínek je účelem podpory: […]</w:t>
      </w:r>
    </w:p>
    <w:p w:rsidR="000D1CD1" w:rsidRPr="001B0B83" w:rsidRDefault="000D1CD1" w:rsidP="000D1CD1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Lhůta, v níž má být dosaženo účelu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1B0B83">
        <w:rPr>
          <w:rFonts w:ascii="Arial" w:hAnsi="Arial" w:cs="Arial"/>
        </w:rPr>
        <w:t xml:space="preserve">Účelu podpory musí být dosaženo ve lhůtě: </w:t>
      </w:r>
    </w:p>
    <w:p w:rsidR="000D1CD1" w:rsidRPr="001B0B83" w:rsidRDefault="000D1CD1" w:rsidP="000D1CD1">
      <w:pPr>
        <w:pStyle w:val="Zhlav"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</w:rPr>
      </w:pPr>
      <w:r w:rsidRPr="001B0B83">
        <w:rPr>
          <w:rFonts w:ascii="Arial" w:hAnsi="Arial" w:cs="Arial"/>
        </w:rPr>
        <w:t>datum zahájení realizace projektu:</w:t>
      </w:r>
      <w:r w:rsidRPr="001B0B83">
        <w:rPr>
          <w:rFonts w:ascii="Arial" w:hAnsi="Arial" w:cs="Arial"/>
        </w:rPr>
        <w:tab/>
        <w:t>[</w:t>
      </w:r>
      <w:r w:rsidRPr="001B0B83">
        <w:rPr>
          <w:rFonts w:ascii="Arial" w:hAnsi="Arial" w:cs="Arial"/>
          <w:highlight w:val="lightGray"/>
        </w:rPr>
        <w:t>…</w:t>
      </w:r>
      <w:r w:rsidRPr="001B0B83">
        <w:rPr>
          <w:rFonts w:ascii="Arial" w:hAnsi="Arial" w:cs="Arial"/>
        </w:rPr>
        <w:t>]</w:t>
      </w:r>
    </w:p>
    <w:p w:rsidR="000D1CD1" w:rsidRPr="001B0B83" w:rsidRDefault="000D1CD1" w:rsidP="000D1CD1">
      <w:pPr>
        <w:pStyle w:val="Zhlav"/>
        <w:numPr>
          <w:ilvl w:val="0"/>
          <w:numId w:val="18"/>
        </w:numPr>
        <w:tabs>
          <w:tab w:val="left" w:pos="5940"/>
        </w:tabs>
        <w:spacing w:after="240"/>
        <w:ind w:left="714" w:hanging="357"/>
        <w:rPr>
          <w:rFonts w:ascii="Arial" w:hAnsi="Arial" w:cs="Arial"/>
        </w:rPr>
      </w:pPr>
      <w:r w:rsidRPr="001B0B83">
        <w:rPr>
          <w:rFonts w:ascii="Arial" w:hAnsi="Arial" w:cs="Arial"/>
        </w:rPr>
        <w:t>datum ukončení realizace projektu nejpozději do:</w:t>
      </w:r>
      <w:r w:rsidRPr="001B0B83">
        <w:rPr>
          <w:rFonts w:ascii="Arial" w:hAnsi="Arial" w:cs="Arial"/>
        </w:rPr>
        <w:tab/>
        <w:t>[</w:t>
      </w:r>
      <w:r w:rsidRPr="001B0B83">
        <w:rPr>
          <w:rFonts w:ascii="Arial" w:hAnsi="Arial" w:cs="Arial"/>
          <w:highlight w:val="lightGray"/>
        </w:rPr>
        <w:t>…</w:t>
      </w:r>
      <w:r w:rsidRPr="001B0B83">
        <w:rPr>
          <w:rFonts w:ascii="Arial" w:hAnsi="Arial" w:cs="Arial"/>
        </w:rPr>
        <w:t>]</w:t>
      </w:r>
    </w:p>
    <w:p w:rsidR="000D1CD1" w:rsidRPr="001B0B83" w:rsidRDefault="000D1CD1" w:rsidP="000D1CD1">
      <w:pPr>
        <w:pStyle w:val="slovanseznam"/>
        <w:numPr>
          <w:ilvl w:val="0"/>
          <w:numId w:val="35"/>
        </w:numPr>
        <w:spacing w:before="12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Vzájemná komunikace MPSV a příjemce</w:t>
      </w:r>
    </w:p>
    <w:p w:rsidR="000D1CD1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>Příjemce a útvar zajišťující roli poskytovatele podpory z </w:t>
      </w:r>
      <w:r w:rsidR="00FE4F9D">
        <w:rPr>
          <w:rFonts w:ascii="Arial" w:hAnsi="Arial" w:cs="Arial"/>
        </w:rPr>
        <w:t>OP PMP</w:t>
      </w:r>
      <w:r w:rsidR="00FE4F9D" w:rsidRPr="001B0B83">
        <w:rPr>
          <w:rFonts w:ascii="Arial" w:hAnsi="Arial" w:cs="Arial"/>
        </w:rPr>
        <w:t xml:space="preserve"> </w:t>
      </w:r>
      <w:r w:rsidRPr="001B0B83">
        <w:rPr>
          <w:rFonts w:ascii="Arial" w:hAnsi="Arial" w:cs="Arial"/>
        </w:rPr>
        <w:t>(dále jen „MPSV“) budou v případě doručování písemností, které musí být opatřeny podpisem osoby oprávněné za daný subjekt jednat, přednostně používat informační systém MS2014+. Příjemce je povinen zajistit, aby se seznámil se všemi zprávami, které mu budou od MPSV doručeny prostřednictvím MS2014+.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</w:p>
    <w:p w:rsidR="000D1CD1" w:rsidRPr="001B0B83" w:rsidRDefault="000D1CD1" w:rsidP="000D1CD1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>Část II – Obecné povinnosti příjemce podpory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Užití podpory 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Použití podpory je upraveno nejen těmito Podmínkami a právními předpisy ČR a EU, ale rovněž pravidly, která nemají povahu právních předpisů a jsou vydávána MPSV ve formě dokumentů:</w:t>
      </w:r>
    </w:p>
    <w:p w:rsidR="000D1CD1" w:rsidRPr="001B0B83" w:rsidRDefault="00FE4F9D" w:rsidP="000D1CD1">
      <w:pPr>
        <w:pStyle w:val="slovanseznam"/>
        <w:numPr>
          <w:ilvl w:val="0"/>
          <w:numId w:val="19"/>
        </w:numPr>
        <w:tabs>
          <w:tab w:val="num" w:pos="1620"/>
        </w:tabs>
        <w:rPr>
          <w:sz w:val="22"/>
          <w:szCs w:val="22"/>
        </w:rPr>
      </w:pPr>
      <w:r>
        <w:rPr>
          <w:sz w:val="22"/>
          <w:szCs w:val="22"/>
        </w:rPr>
        <w:t>Pravidla</w:t>
      </w:r>
      <w:r w:rsidR="000D1CD1" w:rsidRPr="001B0B83">
        <w:rPr>
          <w:sz w:val="22"/>
          <w:szCs w:val="22"/>
        </w:rPr>
        <w:t xml:space="preserve"> pro žadatele a příjemce v rámci </w:t>
      </w:r>
      <w:r>
        <w:rPr>
          <w:sz w:val="22"/>
          <w:szCs w:val="22"/>
        </w:rPr>
        <w:t>OP PMP</w:t>
      </w:r>
      <w:r w:rsidRPr="001B0B83">
        <w:rPr>
          <w:sz w:val="22"/>
          <w:szCs w:val="22"/>
        </w:rPr>
        <w:t xml:space="preserve"> </w:t>
      </w:r>
    </w:p>
    <w:p w:rsidR="000D1CD1" w:rsidRDefault="000D1CD1" w:rsidP="000D1CD1">
      <w:pPr>
        <w:pStyle w:val="slovanseznam"/>
        <w:spacing w:after="240"/>
        <w:ind w:left="708"/>
      </w:pPr>
      <w:r w:rsidRPr="001B0B83">
        <w:rPr>
          <w:sz w:val="22"/>
          <w:szCs w:val="22"/>
        </w:rPr>
        <w:t xml:space="preserve">Dokumenty uvedené v odrážkách jsou uveřejněny na webovém portálu </w:t>
      </w:r>
      <w:r w:rsidR="00FA4EA7" w:rsidRPr="0086417E">
        <w:rPr>
          <w:sz w:val="22"/>
          <w:szCs w:val="22"/>
        </w:rPr>
        <w:t>http://www.mpsv.cz/cs/18823</w:t>
      </w:r>
      <w:r w:rsidRPr="001B0B83">
        <w:rPr>
          <w:sz w:val="22"/>
          <w:szCs w:val="22"/>
        </w:rPr>
        <w:t xml:space="preserve">. Dále v textu těchto Podmínek je obsah těchto dokumentů označen souhrnně také jako „pravidla </w:t>
      </w:r>
      <w:r w:rsidR="00FE4F9D">
        <w:rPr>
          <w:sz w:val="22"/>
          <w:szCs w:val="22"/>
        </w:rPr>
        <w:t>OP PMP</w:t>
      </w:r>
      <w:r w:rsidRPr="001B0B83">
        <w:rPr>
          <w:sz w:val="22"/>
          <w:szCs w:val="22"/>
        </w:rPr>
        <w:t xml:space="preserve">“. Pravidla </w:t>
      </w:r>
      <w:r w:rsidR="007E75C1">
        <w:rPr>
          <w:sz w:val="22"/>
          <w:szCs w:val="22"/>
        </w:rPr>
        <w:t>OP PMP</w:t>
      </w:r>
      <w:r w:rsidR="007E75C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 xml:space="preserve">jsou pro příjemce závazná. Závaznou verzí dokumentů uvedených v odrážkách je verze platná ke dni uskutečnění úkonu souvisejícího s realizací projektu, v případě zadávání zakázek se aplikuje verze pravidel platná </w:t>
      </w:r>
      <w:r w:rsidRPr="001B0B83">
        <w:rPr>
          <w:iCs/>
          <w:sz w:val="22"/>
          <w:szCs w:val="22"/>
        </w:rPr>
        <w:t>v den zahájení zadávání zakázky</w:t>
      </w:r>
      <w:r w:rsidRPr="001B0B83">
        <w:rPr>
          <w:sz w:val="22"/>
          <w:szCs w:val="22"/>
        </w:rPr>
        <w:t xml:space="preserve">. Změny či doplnění pravidel </w:t>
      </w:r>
      <w:r w:rsidR="007E75C1">
        <w:rPr>
          <w:sz w:val="22"/>
          <w:szCs w:val="22"/>
        </w:rPr>
        <w:t>OP PMP</w:t>
      </w:r>
      <w:r w:rsidR="007E75C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>relevantních pro příjemce provádí MPSV formou revize dokumentů v odrážkách a uvědomí o nich příjemce bez zbytečného odkladu elektronickou formou prostřednictvím informačního systému MS2014+. V případě rozporu obsahu těchto Podmínek a obsahu dokumentů v odrážkách má přednost obsah těchto Podmínek.</w:t>
      </w:r>
      <w:r>
        <w:br w:type="page"/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lastRenderedPageBreak/>
        <w:t>Splnění účelu a realizace projektu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splnit účel podpory uvedený v části I. bodě 3 těchto Podmínek. 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je povinen při realizaci projektu dodržet údaje a skutečnosti, které jsou uvedeny v Informaci o projektu, která je přílohou č. 1 těchto Podmínek, ve znění případných změn, ke kterým je příjemce oprávněn dle pravidel </w:t>
      </w:r>
      <w:r w:rsidR="007E75C1">
        <w:rPr>
          <w:sz w:val="22"/>
          <w:szCs w:val="22"/>
        </w:rPr>
        <w:t>OP PMP</w:t>
      </w:r>
      <w:r w:rsidR="007E75C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 xml:space="preserve">bez souhlasu a MPSV, anebo ve znění změn, které MPSV dle pravidel </w:t>
      </w:r>
      <w:r w:rsidR="007E75C1">
        <w:rPr>
          <w:sz w:val="22"/>
          <w:szCs w:val="22"/>
        </w:rPr>
        <w:t>OP PMP</w:t>
      </w:r>
      <w:r w:rsidR="007E75C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>schválilo.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Způsobilé výdaje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oprávněn použít podporu pouze na výdaje, které souvisejí s realizací projektu, jsou uvedeny ve schváleném rozpočtu projektu, příp. v rozpočtu, který příjemce upravil v souladu s pravidly </w:t>
      </w:r>
      <w:r w:rsidR="007E75C1">
        <w:rPr>
          <w:sz w:val="22"/>
          <w:szCs w:val="22"/>
        </w:rPr>
        <w:t>OP PMP</w:t>
      </w:r>
      <w:r w:rsidRPr="001B0B83">
        <w:rPr>
          <w:sz w:val="22"/>
          <w:szCs w:val="22"/>
        </w:rPr>
        <w:t xml:space="preserve">, a je možné je dle pravidel </w:t>
      </w:r>
      <w:r w:rsidR="007E75C1">
        <w:rPr>
          <w:sz w:val="22"/>
          <w:szCs w:val="22"/>
        </w:rPr>
        <w:t>OP PMP</w:t>
      </w:r>
      <w:r w:rsidR="007E75C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>považovat za způsobilé.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Příjemce se zavazuje nakupovat zboží</w:t>
      </w:r>
      <w:r w:rsidR="007E75C1">
        <w:rPr>
          <w:sz w:val="22"/>
          <w:szCs w:val="22"/>
        </w:rPr>
        <w:t xml:space="preserve"> a</w:t>
      </w:r>
      <w:r w:rsidRPr="001B0B83">
        <w:rPr>
          <w:sz w:val="22"/>
          <w:szCs w:val="22"/>
        </w:rPr>
        <w:t xml:space="preserve"> služby nejefektivnějším možným způsobem v daném čase a místě. Částky specifikované ve schváleném rozpočtu projektu nelze automaticky považovat za částky nejefektivnější.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Příjemce podpory je povinen zajistit úhradu veškerých výdajů projektu, které nejsou kryty výše uvedenou podporou (např. nezpůsobilé výdaje), aby byl dodržen účel poskytnutí podpory na daný projekt.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Vedení účetnictví 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je povinen řádně účtovat o veškerých příjmech a výdajích, resp. výnosech a nákladech. Příjemce je povinen vést účetnictví v souladu se zákonem č. 563/1991 Sb., o účetnictví, ve znění pozdějších předpisů, a vést příjmy a výdaje s jednoznačnou vazbou na projekt s výjimkou výdajů, které jsou financovány jakožto paušální výdaje dle § </w:t>
      </w:r>
      <w:r>
        <w:rPr>
          <w:sz w:val="22"/>
          <w:szCs w:val="22"/>
        </w:rPr>
        <w:t>14 odst. 7</w:t>
      </w:r>
      <w:r w:rsidRPr="001B0B83">
        <w:rPr>
          <w:sz w:val="22"/>
          <w:szCs w:val="22"/>
        </w:rPr>
        <w:t xml:space="preserve"> rozpočtových pravidel,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 563/1991 Sb., (s výjimkou bodu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</w:t>
      </w:r>
      <w:r>
        <w:rPr>
          <w:sz w:val="22"/>
          <w:szCs w:val="22"/>
        </w:rPr>
        <w:t>14 odst. 7</w:t>
      </w:r>
      <w:r w:rsidRPr="001B0B83">
        <w:rPr>
          <w:sz w:val="22"/>
          <w:szCs w:val="22"/>
        </w:rPr>
        <w:t xml:space="preserve"> rozpočtových pravidel, vedeny s jednoznačnou vazbou na projekt.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Příjemce je povinen předat MPSV ve lhůtě jím stanovené na jeho vyžádání účetní záznamy a další doklady vztahující se k projektu převedené do digitální podoby.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Zakázky 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Při zadávání zakázek v rámci realizace projektu je příjemce povinen postupovat v souladu s pravidly OP</w:t>
      </w:r>
      <w:r w:rsidR="00BA3C81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je povinen zavázat dodavatele předkládat k proplacení pouze faktury, které obsahují název a číslo projektu. V odůvodněných případech je příjemci umožněno, aby doklady označil názvem a číslem projektu sám před jejich uplatněním v žádosti o platbu. 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Plnění politik Evropské unie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 xml:space="preserve">Při realizaci projektu je příjemce povinen dodržovat politiky Evropské unie, zejména pravidla hospodářské soutěže a veřejné podpory, principy udržitelného rozvoje a prosazování rovných příležitostí. 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Kontrola 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lastRenderedPageBreak/>
        <w:t>Příjemce podpory je povinen za účelem ověření plnění povinností vyplývajících z těchto Podmínek vytvořit podmínky k provedení kontroly 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kontroly. Těmito oprávněnými osobami jsou MPSV, územní finanční orgány, Ministerstvo financí, Nejvyšší kontrolní úřad, Evropská komise a Evropský účetní dvůr, případně další orgány oprávněné k výkonu kontroly.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Informační a komunikační opatření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provádět informační a komunikační opatření projektu v souladu s pravidly </w:t>
      </w:r>
      <w:r w:rsidR="00D03BB9">
        <w:rPr>
          <w:sz w:val="22"/>
          <w:szCs w:val="22"/>
        </w:rPr>
        <w:t>OP PMP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zajistit nápravu nedostatku týkající se provádění informačních a komunikačních opatření projektu ve lhůtě a způsobem specifikovaným ve výzvě k provedení této nápravy, kterou příjemci adresuje MPSV. 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Poskytování údajů o realizaci projektu 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>Příjemce podpory je povinen na základě žádosti MPSV poskytnout písemně jakékoliv doplňující informace související s realizací projektu (zejména má v této souvislosti povinnost poskytnout veškeré informace o výsledcích kontrol a auditů, včetně kontrolních protokolů z kontrol provedených v souvislosti s projektem), a to ve lhůtě stanovené MPSV.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Oznamovací povinnost</w:t>
      </w:r>
    </w:p>
    <w:p w:rsidR="000D1CD1" w:rsidRPr="001B0B83" w:rsidRDefault="000D1CD1" w:rsidP="000D1CD1">
      <w:pPr>
        <w:pStyle w:val="slovanseznam"/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je dále povinen dodržet pravidla </w:t>
      </w:r>
      <w:r w:rsidR="00905711">
        <w:rPr>
          <w:sz w:val="22"/>
          <w:szCs w:val="22"/>
        </w:rPr>
        <w:t>OP PMP</w:t>
      </w:r>
      <w:r w:rsidR="00905711"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t>upravující oznamování změn týkajících se projektu.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Zákaz čerpání jiných podpor</w:t>
      </w:r>
    </w:p>
    <w:p w:rsidR="000D1CD1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 xml:space="preserve">Příjemce není oprávněn čerpat na výdaje projektu, na které je poskytována podpora, jiné finanční prostředky z rozpočtových kapitol státního rozpočtu ČR, státních fondů, z rozpočtů obcí, měst a krajů, strukturálních fondů nebo jiných prostředků EU, než jsou prostředky uvedené v čl. I </w:t>
      </w:r>
      <w:r>
        <w:rPr>
          <w:rFonts w:ascii="Arial" w:hAnsi="Arial" w:cs="Arial"/>
        </w:rPr>
        <w:t>bodě</w:t>
      </w:r>
      <w:r w:rsidRPr="001B0B83">
        <w:rPr>
          <w:rFonts w:ascii="Arial" w:hAnsi="Arial" w:cs="Arial"/>
        </w:rPr>
        <w:t xml:space="preserve"> 2.1 těchto Podmínek. V případě, že do projektu jsou zařazeny jen výdaje na pořízení či zajištění části určitého celku, pravidlo z předchozí věty se vztahuje jen na tu část výdajů, na kterou je poskytována podpora. </w:t>
      </w:r>
    </w:p>
    <w:p w:rsidR="000D1CD1" w:rsidRDefault="000D1CD1" w:rsidP="000D1CD1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lastRenderedPageBreak/>
        <w:t>Vypořádání projektu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>Příjemce podpory je povinen podporu finančně vypořádat v souladu s rozpočtovými pravidly a vyhláškou č. 52/2008 Sb., kterou se stanoví zásady a termíny finančního vypořádání se státním rozpočtem, státními finančními aktivy nebo Národním fondem</w:t>
      </w:r>
      <w:r w:rsidRPr="001B0B83">
        <w:rPr>
          <w:rFonts w:ascii="Arial" w:hAnsi="Arial" w:cs="Arial"/>
          <w:vertAlign w:val="superscript"/>
        </w:rPr>
        <w:footnoteReference w:id="1"/>
      </w:r>
      <w:r w:rsidRPr="001B0B83">
        <w:rPr>
          <w:rFonts w:ascii="Arial" w:hAnsi="Arial" w:cs="Arial"/>
        </w:rPr>
        <w:t>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Uchovávání dokumentů</w:t>
      </w:r>
    </w:p>
    <w:p w:rsidR="000D1CD1" w:rsidRPr="001B0B83" w:rsidRDefault="000D1CD1" w:rsidP="000D1CD1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1B0B83">
        <w:rPr>
          <w:rFonts w:ascii="Arial" w:hAnsi="Arial" w:cs="Arial"/>
        </w:rPr>
        <w:t xml:space="preserve">Příjemce podpory je povinen uchovat veškeré dokumenty související s realizací projektu v souladu s platnými právními předpisy ČR, zejména v souladu s § 44a odst. </w:t>
      </w:r>
      <w:r>
        <w:rPr>
          <w:rFonts w:ascii="Arial" w:hAnsi="Arial" w:cs="Arial"/>
        </w:rPr>
        <w:t>11</w:t>
      </w:r>
      <w:r w:rsidRPr="001B0B83">
        <w:rPr>
          <w:rFonts w:ascii="Arial" w:hAnsi="Arial" w:cs="Arial"/>
        </w:rPr>
        <w:t xml:space="preserve"> rozpočtových pravidel a pravidly </w:t>
      </w:r>
      <w:r w:rsidR="00905711">
        <w:rPr>
          <w:rFonts w:ascii="Arial" w:hAnsi="Arial" w:cs="Arial"/>
        </w:rPr>
        <w:t>OP PMP</w:t>
      </w:r>
      <w:r w:rsidRPr="001B0B83">
        <w:rPr>
          <w:rFonts w:ascii="Arial" w:hAnsi="Arial" w:cs="Arial"/>
        </w:rPr>
        <w:t>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Péče o majetek </w:t>
      </w:r>
    </w:p>
    <w:p w:rsidR="000D1CD1" w:rsidRPr="001B0B83" w:rsidRDefault="000D1CD1" w:rsidP="000D1CD1">
      <w:pPr>
        <w:pStyle w:val="slovanseznam"/>
        <w:spacing w:after="240"/>
        <w:rPr>
          <w:iCs/>
          <w:sz w:val="22"/>
          <w:szCs w:val="22"/>
        </w:rPr>
      </w:pPr>
      <w:r w:rsidRPr="001B0B83">
        <w:rPr>
          <w:iCs/>
          <w:sz w:val="22"/>
          <w:szCs w:val="22"/>
        </w:rPr>
        <w:t>Příjemce podpory je povinen po dobu realizace projektu zacházet s majetkem spolufinancovaným z podpory s péčí řádného hospodáře, zejména jej zabezpečit proti poškození, ztrátě nebo odcizení a nezatěžovat takový majetek žádnými věcnými právy třetích osob, včetně zástavního práva. Povinnost podle předchozí věty se netýká spotřebního materiálu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Partnerství</w:t>
      </w:r>
      <w:r w:rsidRPr="001B0B83">
        <w:rPr>
          <w:bCs/>
          <w:sz w:val="22"/>
          <w:szCs w:val="22"/>
          <w:vertAlign w:val="superscript"/>
        </w:rPr>
        <w:footnoteReference w:id="2"/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zajistit, aby vztahy mezi příjemcem a jeho partnery, jejichž seznam je součástí Informace o projektu v příloze č. 1 těchto Podmínek, po celou dobu realizace projektu odpovídaly pravidlům </w:t>
      </w:r>
      <w:r w:rsidR="00B41402">
        <w:rPr>
          <w:sz w:val="22"/>
          <w:szCs w:val="22"/>
        </w:rPr>
        <w:t>OP PMP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1B0B83">
        <w:rPr>
          <w:sz w:val="22"/>
          <w:szCs w:val="22"/>
        </w:rPr>
        <w:t>Příjemce podpory odpovídá za splnění všech povinností. Pokud některý z partnerů poruší některou z povinností, odpovídá příjemce podpory podle části IV těchto Podmínek, jakoby tuto povinnost porušil sám.</w:t>
      </w:r>
    </w:p>
    <w:p w:rsidR="000D1CD1" w:rsidRPr="00CB7669" w:rsidRDefault="000D1CD1" w:rsidP="000D1CD1">
      <w:pPr>
        <w:pStyle w:val="slovanseznam"/>
        <w:numPr>
          <w:ilvl w:val="1"/>
          <w:numId w:val="44"/>
        </w:numPr>
        <w:spacing w:after="240"/>
      </w:pPr>
      <w:r w:rsidRPr="001B0B83">
        <w:rPr>
          <w:sz w:val="22"/>
          <w:szCs w:val="22"/>
        </w:rPr>
        <w:t xml:space="preserve">Příjemce podpory není oprávněn se svými partnery uzavírat v rámci tohoto projektu smluvní vztahy, jejichž předmětem je poskytování služeb, zboží nebo stavebních prací za úplatu. </w:t>
      </w:r>
    </w:p>
    <w:p w:rsidR="000D1CD1" w:rsidRPr="00CB7669" w:rsidRDefault="000D1CD1" w:rsidP="000D1CD1"/>
    <w:p w:rsidR="000D1CD1" w:rsidRPr="001B0B83" w:rsidRDefault="000D1CD1" w:rsidP="000D1CD1">
      <w:pPr>
        <w:keepNext/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 xml:space="preserve">Část III – Specifické povinnosti příjemce podpory týkající se realizace projektu </w:t>
      </w:r>
    </w:p>
    <w:p w:rsidR="000D1CD1" w:rsidRPr="001B0B83" w:rsidRDefault="000D1CD1" w:rsidP="000D1CD1">
      <w:pPr>
        <w:pStyle w:val="slovanseznam"/>
        <w:keepNext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Vazba na výzvu k předkládání žádostí o podporu</w:t>
      </w:r>
    </w:p>
    <w:p w:rsidR="000D1CD1" w:rsidRPr="001B0B83" w:rsidRDefault="000D1CD1" w:rsidP="000D1CD1">
      <w:pPr>
        <w:pStyle w:val="slovanseznam"/>
        <w:keepNext/>
        <w:tabs>
          <w:tab w:val="num" w:pos="720"/>
        </w:tabs>
        <w:spacing w:after="60"/>
        <w:rPr>
          <w:sz w:val="22"/>
          <w:szCs w:val="22"/>
        </w:rPr>
      </w:pPr>
      <w:r w:rsidRPr="001B0B83">
        <w:rPr>
          <w:sz w:val="22"/>
          <w:szCs w:val="22"/>
        </w:rPr>
        <w:t>Příjemce je povinen během realizace projektu respektovat tyto podmínky, jež vycházejí z výzvy k předkládání žádostí o podporu, na základě které byl projekt vybrán k poskytnutí podpory:</w:t>
      </w:r>
    </w:p>
    <w:p w:rsidR="000D1CD1" w:rsidRPr="001B0B83" w:rsidRDefault="000D1CD1" w:rsidP="000D1CD1">
      <w:pPr>
        <w:pStyle w:val="slovanseznam"/>
        <w:numPr>
          <w:ilvl w:val="0"/>
          <w:numId w:val="46"/>
        </w:numPr>
        <w:spacing w:after="60"/>
        <w:rPr>
          <w:sz w:val="22"/>
          <w:szCs w:val="22"/>
        </w:rPr>
      </w:pPr>
      <w:r w:rsidRPr="001B0B83">
        <w:rPr>
          <w:sz w:val="22"/>
          <w:szCs w:val="22"/>
        </w:rPr>
        <w:t>Cílovými skupina projektu mohou být pouze: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  <w:highlight w:val="lightGray"/>
        </w:rPr>
        <w:t>…</w:t>
      </w:r>
    </w:p>
    <w:p w:rsidR="000D1CD1" w:rsidRPr="001B0B83" w:rsidRDefault="000D1CD1" w:rsidP="000D1CD1">
      <w:pPr>
        <w:pStyle w:val="slovanseznam"/>
        <w:numPr>
          <w:ilvl w:val="0"/>
          <w:numId w:val="46"/>
        </w:numPr>
        <w:spacing w:after="60"/>
        <w:rPr>
          <w:sz w:val="22"/>
          <w:szCs w:val="22"/>
        </w:rPr>
      </w:pPr>
      <w:r w:rsidRPr="001B0B83">
        <w:rPr>
          <w:sz w:val="22"/>
          <w:szCs w:val="22"/>
        </w:rPr>
        <w:t>Aktivity projektu musí spadat do vymezení: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  <w:highlight w:val="lightGray"/>
        </w:rPr>
        <w:t>…</w:t>
      </w:r>
    </w:p>
    <w:p w:rsidR="000D1CD1" w:rsidRPr="001B0B83" w:rsidRDefault="000D1CD1" w:rsidP="000D1CD1">
      <w:pPr>
        <w:pStyle w:val="slovanseznam"/>
        <w:numPr>
          <w:ilvl w:val="0"/>
          <w:numId w:val="46"/>
        </w:numPr>
        <w:spacing w:after="60"/>
        <w:rPr>
          <w:sz w:val="22"/>
          <w:szCs w:val="22"/>
        </w:rPr>
      </w:pPr>
      <w:r w:rsidRPr="001B0B83">
        <w:rPr>
          <w:sz w:val="22"/>
          <w:szCs w:val="22"/>
        </w:rPr>
        <w:t>Územní vymezení: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  <w:highlight w:val="lightGray"/>
        </w:rPr>
        <w:t>…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rStyle w:val="Znakapoznpodarou"/>
          <w:rFonts w:eastAsiaTheme="majorEastAsia"/>
          <w:sz w:val="22"/>
          <w:szCs w:val="22"/>
        </w:rPr>
        <w:footnoteReference w:id="3"/>
      </w:r>
    </w:p>
    <w:p w:rsidR="000D1CD1" w:rsidRPr="001B0B83" w:rsidRDefault="000D1CD1" w:rsidP="000D1CD1">
      <w:pPr>
        <w:pStyle w:val="slovanseznam"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Podmínky monitorování projektu </w:t>
      </w:r>
    </w:p>
    <w:p w:rsidR="000D1CD1" w:rsidRPr="001B0B83" w:rsidRDefault="000D1CD1" w:rsidP="000D1CD1">
      <w:pPr>
        <w:pStyle w:val="slovanseznam"/>
        <w:numPr>
          <w:ilvl w:val="1"/>
          <w:numId w:val="45"/>
        </w:numPr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lastRenderedPageBreak/>
        <w:t>Příjemce podpory je povinen naplnit celkové cílové hodnoty indikátorů uvedených v Informaci o projektu v příloze č. 1 těchto Podmínek; definice indikátorů je obsažena v pravidlech OP</w:t>
      </w:r>
      <w:r w:rsidR="00BA3C81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>Celkovou cílovou hodnotu indikátorů výstupů, resp. výsledků příjemce naplní, pokud celková míra naplnění indikátorů výstupů, resp. výsledků dosáhne 100 %.</w:t>
      </w:r>
    </w:p>
    <w:p w:rsidR="000D1CD1" w:rsidRPr="001B0B83" w:rsidRDefault="000D1CD1" w:rsidP="000D1CD1">
      <w:pPr>
        <w:pStyle w:val="slovanseznam"/>
        <w:tabs>
          <w:tab w:val="num" w:pos="567"/>
        </w:tabs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>Pro zjištění celkové míry naplnění indikátorů výstupů se sečtou procenta naplnění cílových hodnot uvedených v Informaci o projektu v příloze č. 1 těchto Podmínek u jednotlivých indikátorů výstupů a vydělí se počtem těchto indikátorů. Pokud nebyla vyčerpána celková maximální výše podpory, snižují se cílové hodnoty v Informaci o projektu v příloze č. 1 těchto Podmínek tak, že se vynásobí podílem skutečně vyčerpané částky podpory k celkové maximální výši podpory. Překročení cílové hodnoty jednotlivých indikátorů výstupů bude zohledněno maximálně v míře 120 %. Při zjištění celkové míry naplnění indikátorů výsledků se postupuje obdobně.</w:t>
      </w:r>
    </w:p>
    <w:p w:rsidR="000D1CD1" w:rsidRPr="001B0B83" w:rsidRDefault="000D1CD1" w:rsidP="000D1CD1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Příjemce podpory je povinen předávat MPSV údaje nezbytné k průběžnému sledování přínosů projektu (monitorování projektu) a to prostřednictvím zpráv o realizaci projektu. Průběžnou zprávu o realizaci projektu je příjemce povinen předložit do konce prvního měsíce následujícího po ukončení monitorovacího období, závěrečnou zprávu o realizaci projektu do konce druhého měsíce následujícího po ukončení monitorovacího období. (V případě, že monitorovací období nekončí poslední den kalendářního měsíce, pak platí lhůta 30 dní, resp. 60 dní v případě závěrečné zprávy o realizaci).</w:t>
      </w:r>
      <w:r w:rsidRPr="001B0B83">
        <w:rPr>
          <w:rStyle w:val="Znakapoznpodarou"/>
          <w:rFonts w:eastAsiaTheme="majorEastAsia"/>
          <w:sz w:val="22"/>
          <w:szCs w:val="22"/>
        </w:rPr>
        <w:footnoteReference w:id="4"/>
      </w:r>
    </w:p>
    <w:p w:rsidR="000D1CD1" w:rsidRPr="001B0B83" w:rsidRDefault="000D1CD1" w:rsidP="000D1CD1">
      <w:pPr>
        <w:pStyle w:val="slovanseznam"/>
        <w:tabs>
          <w:tab w:val="num" w:pos="1478"/>
        </w:tabs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>Vymezení monitorovacích období projektu, za které je příjemce povinen předložit zprávu o realizaci projektu:</w:t>
      </w:r>
    </w:p>
    <w:p w:rsidR="000D1CD1" w:rsidRPr="001B0B83" w:rsidRDefault="000D1CD1" w:rsidP="000D1CD1">
      <w:pPr>
        <w:pStyle w:val="slovanseznam"/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  <w:highlight w:val="lightGray"/>
        </w:rPr>
        <w:t>…</w:t>
      </w:r>
    </w:p>
    <w:p w:rsidR="000D1CD1" w:rsidRPr="001B0B83" w:rsidRDefault="000D1CD1" w:rsidP="000D1CD1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předkládat zprávy o realizaci projektu ve formátu, který MPSV pro projekt nastaví v informačním systému MS2014+. </w:t>
      </w:r>
    </w:p>
    <w:p w:rsidR="000D1CD1" w:rsidRPr="001B0B83" w:rsidRDefault="000D1CD1" w:rsidP="000D1CD1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Nápravy nedostatků žádostí o změnu projektu, zpráv o realizaci projektu (včetně spolu s nimi předložených žádostí o platbu) a případně další dokumentace vyžádané MPSV je příjemce povinen předkládat v termínech stanovených MPSV.</w:t>
      </w:r>
    </w:p>
    <w:p w:rsidR="000D1CD1" w:rsidRPr="001B0B83" w:rsidRDefault="000D1CD1" w:rsidP="000D1CD1">
      <w:pPr>
        <w:pStyle w:val="slovanseznam"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Veřejná podpora a podpora de minimis</w:t>
      </w:r>
    </w:p>
    <w:p w:rsidR="000D1CD1" w:rsidRDefault="000D1CD1" w:rsidP="000D1CD1">
      <w:pPr>
        <w:pStyle w:val="slovanseznam"/>
        <w:spacing w:after="240"/>
        <w:rPr>
          <w:sz w:val="22"/>
          <w:szCs w:val="22"/>
        </w:rPr>
      </w:pPr>
      <w:r w:rsidRPr="001B0B83">
        <w:rPr>
          <w:sz w:val="22"/>
          <w:szCs w:val="22"/>
        </w:rPr>
        <w:t xml:space="preserve">Podpora poskytnutá na realizaci projektu nezakládá veřejnou podporu. </w:t>
      </w:r>
    </w:p>
    <w:p w:rsidR="000D1CD1" w:rsidRPr="001B0B83" w:rsidRDefault="000D1CD1" w:rsidP="000D1CD1">
      <w:pPr>
        <w:pStyle w:val="slovanseznam"/>
        <w:spacing w:after="240"/>
        <w:rPr>
          <w:sz w:val="22"/>
          <w:szCs w:val="22"/>
        </w:rPr>
      </w:pPr>
    </w:p>
    <w:p w:rsidR="000D1CD1" w:rsidRPr="001B0B83" w:rsidRDefault="000D1CD1" w:rsidP="000D1CD1">
      <w:pPr>
        <w:keepNext/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 xml:space="preserve">Část IV - Platební podmínky </w:t>
      </w:r>
    </w:p>
    <w:p w:rsidR="000D1CD1" w:rsidRPr="001B0B83" w:rsidRDefault="000D1CD1" w:rsidP="000D1CD1">
      <w:pPr>
        <w:pStyle w:val="slovanseznam"/>
        <w:keepNext/>
        <w:numPr>
          <w:ilvl w:val="0"/>
          <w:numId w:val="47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 xml:space="preserve">Žádost o platbu </w:t>
      </w:r>
    </w:p>
    <w:p w:rsidR="000D1CD1" w:rsidRPr="001B0B83" w:rsidRDefault="000D1CD1" w:rsidP="000D1CD1">
      <w:pPr>
        <w:pStyle w:val="slovanseznam"/>
        <w:keepNext/>
        <w:numPr>
          <w:ilvl w:val="1"/>
          <w:numId w:val="47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Příjemce podpory je povinen předkládat MPSV spolu s každou zprávou o realizaci projektu řádně vyplněnou žádost o platbu podloženou příslušnými doklady dle pravidel OP</w:t>
      </w:r>
      <w:r w:rsidR="00BA3C81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. </w:t>
      </w:r>
    </w:p>
    <w:p w:rsidR="000D1CD1" w:rsidRPr="001B0B83" w:rsidRDefault="000D1CD1" w:rsidP="000D1CD1">
      <w:pPr>
        <w:pStyle w:val="slovanseznam"/>
        <w:numPr>
          <w:ilvl w:val="1"/>
          <w:numId w:val="47"/>
        </w:numPr>
        <w:spacing w:after="24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Příjemce podpory je povinen předkládat žádosti o platbu ve formátu, který MPSV pro projekt nastaví v informačním systému MS2014+. </w:t>
      </w:r>
    </w:p>
    <w:p w:rsidR="000D1CD1" w:rsidRPr="001B0B83" w:rsidRDefault="0018282A" w:rsidP="000D1CD1">
      <w:pPr>
        <w:pStyle w:val="slovanseznam"/>
        <w:numPr>
          <w:ilvl w:val="0"/>
          <w:numId w:val="47"/>
        </w:numPr>
        <w:spacing w:before="24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Paušální výdaje</w:t>
      </w:r>
    </w:p>
    <w:p w:rsidR="000D1CD1" w:rsidRPr="001B0B83" w:rsidRDefault="0018282A" w:rsidP="000D1CD1">
      <w:pPr>
        <w:pStyle w:val="slovanseznam"/>
        <w:tabs>
          <w:tab w:val="num" w:pos="72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Paušální výdaje</w:t>
      </w:r>
      <w:r w:rsidR="000D1CD1" w:rsidRPr="001B0B83">
        <w:rPr>
          <w:sz w:val="22"/>
          <w:szCs w:val="22"/>
        </w:rPr>
        <w:t xml:space="preserve"> projektu jsou považovány za uskutečněné ve výši, která je výsledkem násobku procenta </w:t>
      </w:r>
      <w:r>
        <w:rPr>
          <w:sz w:val="22"/>
          <w:szCs w:val="22"/>
        </w:rPr>
        <w:t xml:space="preserve">paušálních výdajů </w:t>
      </w:r>
      <w:r w:rsidR="000D1CD1" w:rsidRPr="001B0B83">
        <w:rPr>
          <w:sz w:val="22"/>
          <w:szCs w:val="22"/>
        </w:rPr>
        <w:t>platn</w:t>
      </w:r>
      <w:r>
        <w:rPr>
          <w:sz w:val="22"/>
          <w:szCs w:val="22"/>
        </w:rPr>
        <w:t xml:space="preserve">ých </w:t>
      </w:r>
      <w:r w:rsidR="000D1CD1" w:rsidRPr="001B0B83">
        <w:rPr>
          <w:sz w:val="22"/>
          <w:szCs w:val="22"/>
        </w:rPr>
        <w:t>pro projekt a částky odpovídající prokázaným způsobilým přímým nákladům projektu</w:t>
      </w:r>
      <w:r w:rsidR="00BA3C81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spacing w:after="60"/>
        <w:rPr>
          <w:sz w:val="22"/>
          <w:szCs w:val="22"/>
        </w:rPr>
      </w:pPr>
      <w:r w:rsidRPr="001B0B83">
        <w:rPr>
          <w:sz w:val="22"/>
          <w:szCs w:val="22"/>
        </w:rPr>
        <w:t xml:space="preserve">Procento </w:t>
      </w:r>
      <w:r w:rsidR="0018282A">
        <w:rPr>
          <w:sz w:val="22"/>
          <w:szCs w:val="22"/>
        </w:rPr>
        <w:t>paušálních výdajů</w:t>
      </w:r>
      <w:r w:rsidRPr="001B0B83">
        <w:rPr>
          <w:sz w:val="22"/>
          <w:szCs w:val="22"/>
        </w:rPr>
        <w:t xml:space="preserve"> platn</w:t>
      </w:r>
      <w:r w:rsidR="0018282A">
        <w:rPr>
          <w:sz w:val="22"/>
          <w:szCs w:val="22"/>
        </w:rPr>
        <w:t>ých</w:t>
      </w:r>
      <w:r w:rsidRPr="001B0B83">
        <w:rPr>
          <w:sz w:val="22"/>
          <w:szCs w:val="22"/>
        </w:rPr>
        <w:t xml:space="preserve"> pro projekt: […] %</w:t>
      </w:r>
    </w:p>
    <w:p w:rsidR="000D1CD1" w:rsidRDefault="000D1CD1" w:rsidP="000D1CD1">
      <w:pPr>
        <w:pStyle w:val="slovanseznam"/>
        <w:spacing w:after="240"/>
        <w:rPr>
          <w:sz w:val="22"/>
          <w:szCs w:val="22"/>
        </w:rPr>
      </w:pPr>
    </w:p>
    <w:p w:rsidR="000D1CD1" w:rsidRPr="001B0B83" w:rsidRDefault="000D1CD1" w:rsidP="000D1CD1">
      <w:pPr>
        <w:pStyle w:val="slovanseznam"/>
        <w:spacing w:after="240"/>
        <w:rPr>
          <w:sz w:val="22"/>
          <w:szCs w:val="22"/>
        </w:rPr>
      </w:pPr>
    </w:p>
    <w:p w:rsidR="000D1CD1" w:rsidRPr="001B0B83" w:rsidRDefault="000D1CD1" w:rsidP="000D1CD1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 xml:space="preserve">Část V - Sankce </w:t>
      </w:r>
    </w:p>
    <w:p w:rsidR="000D1CD1" w:rsidRPr="001B0B83" w:rsidRDefault="000D1CD1" w:rsidP="000D1CD1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Pozastavení financování</w:t>
      </w:r>
    </w:p>
    <w:p w:rsidR="000D1CD1" w:rsidRPr="001B0B83" w:rsidRDefault="000D1CD1" w:rsidP="000D1CD1">
      <w:pPr>
        <w:pStyle w:val="slovanseznam"/>
        <w:spacing w:after="240"/>
        <w:rPr>
          <w:sz w:val="22"/>
          <w:szCs w:val="22"/>
        </w:rPr>
      </w:pPr>
      <w:r w:rsidRPr="001B0B83">
        <w:rPr>
          <w:sz w:val="22"/>
          <w:szCs w:val="22"/>
        </w:rPr>
        <w:t>Pokud MPSV nebo jiná osoba oprávněná ke kontrole dodržování podmínek dle těchto Podmínek zjistí, že příjemce nesplnil nebo neplní některou z povinností uvedených v těchto Podmínkách, je MPSV oprávněno pozastavit financování projektu z prostředků OP</w:t>
      </w:r>
      <w:r w:rsidR="0018282A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a zahájit potřebné kroky vedoucí k identifikaci, zda nevzniklo podezření na porušení rozpočtové kázně podle rozpočtových pravidel.</w:t>
      </w:r>
    </w:p>
    <w:p w:rsidR="000D1CD1" w:rsidRPr="001B0B83" w:rsidRDefault="000D1CD1" w:rsidP="000D1CD1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Diferenciace odvodu za porušení rozpočtové kázně dle závažnosti porušení podmínek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V případě porušení podmínek týkajících se účelu a udržitelnosti (uvedených v části II bodě 2 a 4) bude vyměřen odvod za porušení rozpočtové kázně podle § 44a odst. 1 písm. </w:t>
      </w:r>
      <w:r>
        <w:rPr>
          <w:sz w:val="22"/>
          <w:szCs w:val="22"/>
        </w:rPr>
        <w:t>b</w:t>
      </w:r>
      <w:r w:rsidRPr="001B0B83">
        <w:rPr>
          <w:sz w:val="22"/>
          <w:szCs w:val="22"/>
        </w:rPr>
        <w:t>) rozpočtových pravidel.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V případě porušení podmínek, u kterých lze vyčíslit výši porušení rozpočtové kázně (tj. porušení má jednoznačnou vazbu na způsobilé výdaje), bude vyměřen odvod podle § 44a odst. 1 písm. </w:t>
      </w:r>
      <w:r>
        <w:rPr>
          <w:sz w:val="22"/>
          <w:szCs w:val="22"/>
        </w:rPr>
        <w:t>b</w:t>
      </w:r>
      <w:r w:rsidRPr="001B0B83">
        <w:rPr>
          <w:sz w:val="22"/>
          <w:szCs w:val="22"/>
        </w:rPr>
        <w:t xml:space="preserve">) rozpočtových pravidel ve výši nezpůsobilých výdajů. 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V případě, že 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 porušení povinností předložit MPSV zprávu o realizaci projektu (včetně žádosti o platbu), předložit MPSV vyžádanou informaci ad hoc (uvedených v části II bodě 5.2 a bodě 10, v části III v bodech 2.2 až 2.4) a prodlení bude trvat 7 kalendářních dní a více, přičemž za určující se bere termín vyplývající z těchto Podmínek ve znění případného vyjádření MPSV o změně termínu, které je k dispozici v MS2014+; (netýká se situací, kdy příjemce nemohl z důvodu prokazatelně doložitelných z obsahu MS2014+ zprávu o realizaci projektu nebo žádost o platbu předložit);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 xml:space="preserve">dojde k porušení povinností týkajících se oznamovací povinnosti (uvedených v části II bodě 11) a v pravidlech OPZ není stanoveno, že příslušné pochybení nezakládá porušení rozpočtové kázně; 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povinností týkajících se vypořádání projektu v souladu s rozpočtovými pravidly a vyhláškou č. 52/2008 Sb., kterou se stanoví zásady a termíny finančního vypořádání se státním rozpočtem, státními finančními aktivy nebo Národním fondem (uvedených v části II bodě 13);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povinností týkající se vytvoření podmínek pro provedení kontroly (uvedených v části II bodě 8);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povinnosti týkající se práv duševního vlastnictví (uvedených v části II bodě 16);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povinností týkajících se partnerství (uvedených v části II bodech 17.1 a 17.3);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 xml:space="preserve">dojde k porušení povinnosti uchovávat dokumenty (uvedených v části II bodě 14) a není možné stanovit výši podpory, ke které se dokument váže; </w:t>
      </w:r>
    </w:p>
    <w:p w:rsidR="000D1CD1" w:rsidRPr="001B0B83" w:rsidRDefault="000D1CD1" w:rsidP="000D1CD1">
      <w:pPr>
        <w:pStyle w:val="slovanseznam"/>
        <w:tabs>
          <w:tab w:val="num" w:pos="-3119"/>
        </w:tabs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 xml:space="preserve">bude odvod za porušení rozpočtové kázně vyměřen dle § 44a odst. </w:t>
      </w:r>
      <w:r>
        <w:rPr>
          <w:sz w:val="22"/>
          <w:szCs w:val="22"/>
        </w:rPr>
        <w:t>4</w:t>
      </w:r>
      <w:r w:rsidRPr="001B0B83">
        <w:rPr>
          <w:sz w:val="22"/>
          <w:szCs w:val="22"/>
        </w:rPr>
        <w:t xml:space="preserve"> písm. a) rozpočtových pravidel ve výši 0,5 % z celkové částky podpory.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V případě, že dojde k porušení povinností týkajících se zadávání zakázek (uvedených v části II bodě 6.1), jež je dle pravidel OP</w:t>
      </w:r>
      <w:r w:rsidR="00982AC4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považováno za porušení rozpočtové kázně, bude odvod za porušení rozpočtové kázně vyměřen dle § 44a odst. 1 písm. a) rozpočtových pravidel ve výši stanovené za porušení dané povinnosti v tabulce sankcí pro oblast zadávání obsažené v </w:t>
      </w:r>
      <w:r w:rsidR="00982AC4">
        <w:rPr>
          <w:sz w:val="22"/>
          <w:szCs w:val="22"/>
        </w:rPr>
        <w:t>Příručce pro žadatele a příjemce OP PMP.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V případě, že dojde k porušení povinností týkajících se provádění informačních a komunikačních opatření (uvedených v části II bodě 9), jež je dle pravidel OP</w:t>
      </w:r>
      <w:r w:rsidR="00982AC4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</w:t>
      </w:r>
      <w:r w:rsidRPr="001B0B83">
        <w:rPr>
          <w:sz w:val="22"/>
          <w:szCs w:val="22"/>
        </w:rPr>
        <w:lastRenderedPageBreak/>
        <w:t>považováno za porušení rozpočtové kázně, bude odvod za porušení rozpočtové kázně vyměřen ve výši stanovené za porušení dané povinnosti v tabulce sankcí pro oblast publicity obsažené v </w:t>
      </w:r>
      <w:r w:rsidR="00982AC4">
        <w:rPr>
          <w:sz w:val="22"/>
          <w:szCs w:val="22"/>
        </w:rPr>
        <w:t>Příručce pro žadatele a příjemce OP PMP</w:t>
      </w:r>
      <w:r w:rsidRPr="001B0B83">
        <w:rPr>
          <w:sz w:val="22"/>
          <w:szCs w:val="22"/>
        </w:rPr>
        <w:t>.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24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V případě, že do data ukončení realizace projektu nebude dosažena celková cílová hodnota indikátorů výstupů uvedená v části III bodě 2.1, bude vyměřen následující odvod z  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97"/>
      </w:tblGrid>
      <w:tr w:rsidR="000D1CD1" w:rsidRPr="001B0B83" w:rsidTr="00EE2352">
        <w:tc>
          <w:tcPr>
            <w:tcW w:w="4536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Celková míra naplnění indikátorů výstupů uvedených v Informaci o projektu příloze č. 1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Procento odvodu z částky, ve které byla porušena rozpočtová kázeň</w:t>
            </w:r>
          </w:p>
        </w:tc>
      </w:tr>
      <w:tr w:rsidR="000D1CD1" w:rsidRPr="001B0B83" w:rsidTr="00EE2352">
        <w:tc>
          <w:tcPr>
            <w:tcW w:w="4536" w:type="dxa"/>
            <w:vAlign w:val="center"/>
          </w:tcPr>
          <w:p w:rsidR="000D1CD1" w:rsidRPr="00B4739E" w:rsidRDefault="000D1CD1" w:rsidP="00EE2352">
            <w:pPr>
              <w:pStyle w:val="Tabulkatext"/>
              <w:spacing w:before="0" w:after="0"/>
            </w:pPr>
            <w:r w:rsidRPr="00B4739E">
              <w:t>méně než 85 % až 70 %</w:t>
            </w:r>
          </w:p>
        </w:tc>
        <w:tc>
          <w:tcPr>
            <w:tcW w:w="3897" w:type="dxa"/>
          </w:tcPr>
          <w:p w:rsidR="000D1CD1" w:rsidRPr="00B4739E" w:rsidRDefault="000D1CD1" w:rsidP="00EE2352">
            <w:pPr>
              <w:pStyle w:val="Tabulkatext"/>
              <w:spacing w:before="0" w:after="0"/>
            </w:pPr>
            <w:r w:rsidRPr="00B4739E">
              <w:t>15 %</w:t>
            </w:r>
          </w:p>
        </w:tc>
      </w:tr>
      <w:tr w:rsidR="000D1CD1" w:rsidRPr="001B0B83" w:rsidTr="00EE2352">
        <w:tc>
          <w:tcPr>
            <w:tcW w:w="4536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méně než 70 % až 55 %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bCs/>
              </w:rPr>
            </w:pPr>
            <w:r w:rsidRPr="001B0B83">
              <w:t>20 %</w:t>
            </w:r>
          </w:p>
        </w:tc>
      </w:tr>
      <w:tr w:rsidR="000D1CD1" w:rsidRPr="001B0B83" w:rsidTr="00EE2352">
        <w:tc>
          <w:tcPr>
            <w:tcW w:w="4536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méně než 55 % až 40 %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bCs/>
              </w:rPr>
            </w:pPr>
            <w:r w:rsidRPr="001B0B83">
              <w:t>30 %</w:t>
            </w:r>
          </w:p>
        </w:tc>
      </w:tr>
      <w:tr w:rsidR="000D1CD1" w:rsidRPr="001B0B83" w:rsidTr="00EE2352">
        <w:tc>
          <w:tcPr>
            <w:tcW w:w="4536" w:type="dxa"/>
            <w:vAlign w:val="center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méně než 40 %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bCs/>
              </w:rPr>
            </w:pPr>
            <w:r w:rsidRPr="001B0B83">
              <w:t>50 %</w:t>
            </w:r>
          </w:p>
        </w:tc>
      </w:tr>
    </w:tbl>
    <w:p w:rsidR="000D1CD1" w:rsidRDefault="000D1CD1" w:rsidP="000D1CD1">
      <w:pPr>
        <w:pStyle w:val="slovanseznam"/>
        <w:tabs>
          <w:tab w:val="num" w:pos="1478"/>
        </w:tabs>
        <w:spacing w:after="60"/>
        <w:ind w:left="567"/>
        <w:rPr>
          <w:sz w:val="22"/>
          <w:szCs w:val="22"/>
        </w:rPr>
      </w:pPr>
    </w:p>
    <w:p w:rsidR="000D1CD1" w:rsidRPr="001B0B83" w:rsidRDefault="000D1CD1" w:rsidP="000D1CD1">
      <w:pPr>
        <w:pStyle w:val="slovanseznam"/>
        <w:tabs>
          <w:tab w:val="num" w:pos="1478"/>
        </w:tabs>
        <w:spacing w:after="6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>V případě, že aktuálně platná pravidla OP</w:t>
      </w:r>
      <w:r w:rsidR="00982AC4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stanoví míru naplnění indikátorů výsledků či výstupů mírněji než tyto Podmínky, uplatní se míra naplnění dle aktuálně platných pravidel, včetně příp. sankcí za nesplnění. 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24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>V případě, že do data ukončení realizace projektu nebude splněna celková cílová hodnota indikátorů výsledků uvedená v části III bodě 2.1, bude vyměřen následující odvod z 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97"/>
      </w:tblGrid>
      <w:tr w:rsidR="000D1CD1" w:rsidRPr="001B0B83" w:rsidTr="00EE2352">
        <w:tc>
          <w:tcPr>
            <w:tcW w:w="4536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Celková míra naplnění indikátorů výsledků uvedených Informaci o projektu v příloze č. 1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Procento odvodu z částky, ve které byla porušena rozpočtová kázeň</w:t>
            </w:r>
          </w:p>
        </w:tc>
      </w:tr>
      <w:tr w:rsidR="000D1CD1" w:rsidRPr="001B0B83" w:rsidTr="00EE2352">
        <w:tc>
          <w:tcPr>
            <w:tcW w:w="4536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méně než 75 % až  50%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>10 %</w:t>
            </w:r>
          </w:p>
        </w:tc>
      </w:tr>
      <w:tr w:rsidR="000D1CD1" w:rsidRPr="001B0B83" w:rsidTr="00EE2352">
        <w:tc>
          <w:tcPr>
            <w:tcW w:w="4536" w:type="dxa"/>
          </w:tcPr>
          <w:p w:rsidR="000D1CD1" w:rsidRPr="001B0B83" w:rsidRDefault="000D1CD1" w:rsidP="00EE2352">
            <w:pPr>
              <w:pStyle w:val="Tabulkatext"/>
              <w:spacing w:before="0" w:after="0"/>
            </w:pPr>
            <w:r w:rsidRPr="001B0B83">
              <w:t xml:space="preserve">méně než 50 % </w:t>
            </w:r>
          </w:p>
        </w:tc>
        <w:tc>
          <w:tcPr>
            <w:tcW w:w="3897" w:type="dxa"/>
          </w:tcPr>
          <w:p w:rsidR="000D1CD1" w:rsidRPr="001B0B83" w:rsidRDefault="000D1CD1" w:rsidP="00EE2352">
            <w:pPr>
              <w:pStyle w:val="Tabulkatext"/>
              <w:spacing w:before="0" w:after="0"/>
              <w:rPr>
                <w:bCs/>
              </w:rPr>
            </w:pPr>
            <w:r w:rsidRPr="001B0B83">
              <w:t>20 %</w:t>
            </w:r>
          </w:p>
        </w:tc>
      </w:tr>
    </w:tbl>
    <w:p w:rsidR="000D1CD1" w:rsidRDefault="000D1CD1" w:rsidP="000D1CD1">
      <w:pPr>
        <w:pStyle w:val="slovanseznam"/>
        <w:tabs>
          <w:tab w:val="num" w:pos="1478"/>
        </w:tabs>
        <w:spacing w:after="60"/>
        <w:ind w:left="567"/>
        <w:rPr>
          <w:sz w:val="22"/>
          <w:szCs w:val="22"/>
        </w:rPr>
      </w:pPr>
    </w:p>
    <w:p w:rsidR="000D1CD1" w:rsidRDefault="000D1CD1" w:rsidP="000D1CD1">
      <w:pPr>
        <w:pStyle w:val="slovanseznam"/>
        <w:tabs>
          <w:tab w:val="num" w:pos="1478"/>
        </w:tabs>
        <w:spacing w:after="60"/>
        <w:ind w:left="567"/>
      </w:pPr>
      <w:r w:rsidRPr="001B0B83">
        <w:rPr>
          <w:sz w:val="22"/>
          <w:szCs w:val="22"/>
        </w:rPr>
        <w:t>V případě, že aktuálně platná pravidla OP</w:t>
      </w:r>
      <w:r w:rsidR="00982AC4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stanoví míru naplnění indikátorů výsledků či výstupů mírněji než tyto Podmínky, uplatní se míra naplnění dle aktuálně platných pravidel, včetně příp. sankcí za nesplnění. </w:t>
      </w:r>
    </w:p>
    <w:p w:rsidR="000D1CD1" w:rsidRPr="001B0B83" w:rsidRDefault="000D1CD1" w:rsidP="000D1CD1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1B0B83">
        <w:rPr>
          <w:b/>
          <w:bCs/>
          <w:sz w:val="22"/>
          <w:szCs w:val="22"/>
        </w:rPr>
        <w:t>Porušení povinností, jež není porušením rozpočtové kázně</w:t>
      </w:r>
    </w:p>
    <w:p w:rsidR="000D1CD1" w:rsidRPr="001B0B83" w:rsidRDefault="000D1CD1" w:rsidP="000D1CD1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1B0B83">
        <w:rPr>
          <w:sz w:val="22"/>
          <w:szCs w:val="22"/>
        </w:rPr>
        <w:t xml:space="preserve">V případě, že 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 porušení povinností předložit MPSV zprávu o realizaci projektu (včetně žádosti o platbu), předložit MPSV vyžádanou informaci ad hoc (uvedených v části II bodě 5.2 a bodě 10, v části III v bodech 2.2 až 2.4) a prodlení bude trvat méně než 7 kalendářních dní, přičemž za určující se bere termín vyplývající z těchto Podmínek ve znění případného vyjádření MPSV o změně termínu, které je k dispozici v MS2014+;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 porušení povinností předložit MPSV zprávu o realizaci projektu (včetně žádosti o platbu; uvedených v části II bodě 5.2) a prodlení je způsobeno tím, že příjemce nemohl z důvodu prokazatelně doložitelných z obsahu MS2014+ zprávu o realizaci projektu nebo žádost o platbu předložit;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povinností týkajících se oznamovací povinnosti (uvedených v části II bodě 11), včetně oznamování nepodstatných změn a v pravidlech OP</w:t>
      </w:r>
      <w:r w:rsidR="00982AC4">
        <w:t xml:space="preserve"> PMP</w:t>
      </w:r>
      <w:r w:rsidRPr="001B0B83">
        <w:t xml:space="preserve"> je pro dané pochybení stanoveno, že nezakládá porušení rozpočtové kázně; 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 porušení povinností týkajících se zadávání zakázek (uvedených v části II bodě 6.1), jež dle pravidel OP</w:t>
      </w:r>
      <w:r w:rsidR="00982AC4">
        <w:t xml:space="preserve"> PMP</w:t>
      </w:r>
      <w:r w:rsidRPr="001B0B83">
        <w:t xml:space="preserve"> není považováno za porušení rozpočtové kázně, nebo dojde k porušení povinností uvedených v části II bodě 6.2,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>dojde k porušení povinností týkajících se provádění informačních a komunikačních opatření (uvedených v části II bodě 9), jež dle pravidel OP</w:t>
      </w:r>
      <w:r w:rsidR="00982AC4">
        <w:t xml:space="preserve"> PMP</w:t>
      </w:r>
      <w:r w:rsidRPr="001B0B83">
        <w:t xml:space="preserve"> není považováno za porušení rozpočtové kázně,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lastRenderedPageBreak/>
        <w:t xml:space="preserve">bude splněna cílová hodnota indikátorů výstupů uvedených v Informaci o projektu v příloze č. 1 těchto Podmínek z 85 % nebo více, 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 w:rsidRPr="001B0B83">
        <w:t xml:space="preserve">bude splněna cílová hodnota indikátorů výsledků uvedených v Informaci o projektu v příloze č. 1 těchto Podmínek ze 75 % nebo více, </w:t>
      </w:r>
    </w:p>
    <w:p w:rsidR="000D1CD1" w:rsidRDefault="000D1CD1" w:rsidP="000D1CD1">
      <w:pPr>
        <w:pStyle w:val="Odrky3"/>
        <w:numPr>
          <w:ilvl w:val="2"/>
          <w:numId w:val="6"/>
        </w:numPr>
      </w:pPr>
      <w:r w:rsidRPr="001B0B83">
        <w:t>dojde k nedodržení finančního plánu projektu obsaženého v příloze č. 1 těchto Podmínek, příp. upraveného v režimu nepodstatných změn projektu,</w:t>
      </w:r>
    </w:p>
    <w:p w:rsidR="000D1CD1" w:rsidRPr="001B0B83" w:rsidRDefault="000D1CD1" w:rsidP="000D1CD1">
      <w:pPr>
        <w:pStyle w:val="Odrky3"/>
        <w:numPr>
          <w:ilvl w:val="2"/>
          <w:numId w:val="6"/>
        </w:numPr>
      </w:pPr>
      <w:r>
        <w:t xml:space="preserve">dojde k porušení povinností dle části </w:t>
      </w:r>
      <w:bookmarkStart w:id="2" w:name="_GoBack"/>
      <w:bookmarkEnd w:id="2"/>
      <w:r>
        <w:t>VI těchto Podmínek,</w:t>
      </w:r>
    </w:p>
    <w:p w:rsidR="000D1CD1" w:rsidRDefault="000D1CD1" w:rsidP="000D1CD1">
      <w:pPr>
        <w:pStyle w:val="slovanseznam"/>
        <w:tabs>
          <w:tab w:val="num" w:pos="1478"/>
        </w:tabs>
        <w:spacing w:after="240"/>
        <w:ind w:left="567"/>
        <w:rPr>
          <w:sz w:val="22"/>
          <w:szCs w:val="22"/>
        </w:rPr>
      </w:pPr>
      <w:r w:rsidRPr="001B0B83">
        <w:rPr>
          <w:sz w:val="22"/>
          <w:szCs w:val="22"/>
        </w:rPr>
        <w:t>nejedná se o porušení rozpočtové kázně ve smyslu rozpočtových pravidel.</w:t>
      </w:r>
    </w:p>
    <w:p w:rsidR="000D1CD1" w:rsidRPr="001B0B83" w:rsidRDefault="000D1CD1" w:rsidP="0086417E">
      <w:pPr>
        <w:pStyle w:val="slovanseznam"/>
        <w:tabs>
          <w:tab w:val="num" w:pos="1478"/>
        </w:tabs>
        <w:spacing w:after="240"/>
        <w:rPr>
          <w:sz w:val="22"/>
          <w:szCs w:val="22"/>
        </w:rPr>
      </w:pPr>
    </w:p>
    <w:p w:rsidR="000D1CD1" w:rsidRPr="001B0B83" w:rsidRDefault="000D1CD1" w:rsidP="000D1CD1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1B0B83">
        <w:rPr>
          <w:rFonts w:ascii="Arial" w:hAnsi="Arial" w:cs="Arial"/>
          <w:b/>
        </w:rPr>
        <w:t>Část VI – Závěrečná ustanovení</w:t>
      </w:r>
    </w:p>
    <w:p w:rsidR="000D1CD1" w:rsidRPr="001B0B83" w:rsidRDefault="000D1CD1" w:rsidP="00975AD9">
      <w:pPr>
        <w:pStyle w:val="slovanseznam"/>
        <w:numPr>
          <w:ilvl w:val="0"/>
          <w:numId w:val="49"/>
        </w:numPr>
        <w:spacing w:before="120" w:after="60"/>
        <w:rPr>
          <w:iCs/>
          <w:snapToGrid w:val="0"/>
          <w:sz w:val="22"/>
          <w:szCs w:val="22"/>
        </w:rPr>
      </w:pPr>
      <w:r w:rsidRPr="001B0B83">
        <w:rPr>
          <w:iCs/>
          <w:snapToGrid w:val="0"/>
          <w:sz w:val="22"/>
          <w:szCs w:val="22"/>
        </w:rPr>
        <w:t xml:space="preserve">Pojmy uvedené v těchto Podmínkách jsou používány ve smyslu, jak jsou definovány </w:t>
      </w:r>
      <w:r w:rsidR="00755822">
        <w:rPr>
          <w:sz w:val="22"/>
          <w:szCs w:val="22"/>
        </w:rPr>
        <w:t>Příručky pro žadatele a příjemce OP PMP</w:t>
      </w:r>
      <w:r w:rsidRPr="001B0B83">
        <w:rPr>
          <w:iCs/>
          <w:snapToGrid w:val="0"/>
          <w:sz w:val="22"/>
          <w:szCs w:val="22"/>
        </w:rPr>
        <w:t>.</w:t>
      </w:r>
    </w:p>
    <w:p w:rsidR="000D1CD1" w:rsidRPr="001B0B83" w:rsidRDefault="000D1CD1" w:rsidP="00975AD9">
      <w:pPr>
        <w:pStyle w:val="slovanseznam"/>
        <w:numPr>
          <w:ilvl w:val="0"/>
          <w:numId w:val="49"/>
        </w:numPr>
        <w:spacing w:after="60"/>
        <w:ind w:left="357" w:hanging="357"/>
        <w:rPr>
          <w:iCs/>
          <w:snapToGrid w:val="0"/>
          <w:sz w:val="22"/>
          <w:szCs w:val="22"/>
        </w:rPr>
      </w:pPr>
      <w:r w:rsidRPr="001B0B83">
        <w:rPr>
          <w:iCs/>
          <w:snapToGrid w:val="0"/>
          <w:sz w:val="22"/>
          <w:szCs w:val="22"/>
        </w:rPr>
        <w:t>Příjemce podpory je povinen řídit se při realizaci projektu ustanoveními příloh uvedených v </w:t>
      </w:r>
      <w:r>
        <w:rPr>
          <w:iCs/>
          <w:snapToGrid w:val="0"/>
          <w:sz w:val="22"/>
          <w:szCs w:val="22"/>
        </w:rPr>
        <w:t>bodě</w:t>
      </w:r>
      <w:r w:rsidRPr="001B0B83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3</w:t>
      </w:r>
      <w:r w:rsidRPr="001B0B83">
        <w:rPr>
          <w:iCs/>
          <w:snapToGrid w:val="0"/>
          <w:sz w:val="22"/>
          <w:szCs w:val="22"/>
        </w:rPr>
        <w:t xml:space="preserve"> této části Podmínek a dále dokumenty, které jsou zmíněny v části II bodě 1 těchto Podmínek.</w:t>
      </w:r>
    </w:p>
    <w:p w:rsidR="000D1CD1" w:rsidRPr="001B0B83" w:rsidRDefault="000D1CD1" w:rsidP="00975AD9">
      <w:pPr>
        <w:pStyle w:val="slovanseznam"/>
        <w:numPr>
          <w:ilvl w:val="0"/>
          <w:numId w:val="49"/>
        </w:numPr>
        <w:spacing w:after="60"/>
        <w:ind w:left="357" w:hanging="357"/>
        <w:rPr>
          <w:iCs/>
          <w:snapToGrid w:val="0"/>
          <w:sz w:val="22"/>
          <w:szCs w:val="22"/>
        </w:rPr>
      </w:pPr>
      <w:r w:rsidRPr="001B0B83">
        <w:rPr>
          <w:iCs/>
          <w:snapToGrid w:val="0"/>
          <w:sz w:val="22"/>
          <w:szCs w:val="22"/>
        </w:rPr>
        <w:t>Součástí Podmínek jsou tyto přílohy:</w:t>
      </w:r>
    </w:p>
    <w:p w:rsidR="000D1CD1" w:rsidRPr="001B0B83" w:rsidRDefault="000D1CD1" w:rsidP="00975AD9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1B0B83">
        <w:rPr>
          <w:iCs/>
          <w:snapToGrid w:val="0"/>
          <w:sz w:val="22"/>
          <w:szCs w:val="22"/>
        </w:rPr>
        <w:t>Příloha č. 1 – Informace o projektu (obsahuje klíčové aktivity, cílovou skupinu, rozpočet projektu, partnery, cílové hodnoty indikátorů výstupů a výsledků, finanční plán)</w:t>
      </w:r>
    </w:p>
    <w:p w:rsidR="000D1CD1" w:rsidRPr="001B0B83" w:rsidRDefault="000D1CD1" w:rsidP="00975AD9">
      <w:pPr>
        <w:pStyle w:val="slovanseznam"/>
        <w:numPr>
          <w:ilvl w:val="0"/>
          <w:numId w:val="49"/>
        </w:numPr>
        <w:spacing w:after="120"/>
        <w:ind w:left="357" w:hanging="357"/>
      </w:pPr>
      <w:r w:rsidRPr="001B0B83">
        <w:rPr>
          <w:sz w:val="22"/>
          <w:szCs w:val="22"/>
        </w:rPr>
        <w:t>Veškeré změny Podmínek je možné provádět pouze na základě žádosti příjemce podpory. Změny projektu lze provádět v režimu nepodstatné změny nebo podstatné změny. Podstatná změna ve vymezených případech dle pravidel OP</w:t>
      </w:r>
      <w:r w:rsidR="00755822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vyžaduje vydání rozhodnutí o změně těchto Podmínek, v ostatních vymezených případech dle pravidel OP</w:t>
      </w:r>
      <w:r w:rsidR="00755822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 je podstatná změna schválena rozhodnutím MPSV, které je k dispozici v MS2014+. Nepodstatné změny lze provádět bez souhlasu MPSV. Podrobnosti stanoví pravidla OP</w:t>
      </w:r>
      <w:r w:rsidR="00755822">
        <w:rPr>
          <w:sz w:val="22"/>
          <w:szCs w:val="22"/>
        </w:rPr>
        <w:t xml:space="preserve"> PMP</w:t>
      </w:r>
      <w:r w:rsidRPr="001B0B83">
        <w:rPr>
          <w:sz w:val="22"/>
          <w:szCs w:val="22"/>
        </w:rPr>
        <w:t xml:space="preserve">. </w:t>
      </w:r>
    </w:p>
    <w:sectPr w:rsidR="000D1CD1" w:rsidRPr="001B0B83" w:rsidSect="000F005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E7ED7">
            <w:rPr>
              <w:noProof/>
            </w:rPr>
            <w:t>9</w:t>
          </w:r>
          <w:r>
            <w:fldChar w:fldCharType="end"/>
          </w:r>
          <w:r>
            <w:t xml:space="preserve"> z </w:t>
          </w:r>
          <w:r w:rsidR="000E7ED7">
            <w:fldChar w:fldCharType="begin"/>
          </w:r>
          <w:r w:rsidR="000E7ED7">
            <w:instrText xml:space="preserve"> NUMPAGES   \* MERGEFORMAT </w:instrText>
          </w:r>
          <w:r w:rsidR="000E7ED7">
            <w:fldChar w:fldCharType="separate"/>
          </w:r>
          <w:r w:rsidR="000E7ED7">
            <w:rPr>
              <w:noProof/>
            </w:rPr>
            <w:t>9</w:t>
          </w:r>
          <w:r w:rsidR="000E7ED7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6417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E7ED7">
            <w:fldChar w:fldCharType="begin"/>
          </w:r>
          <w:r w:rsidR="000E7ED7">
            <w:instrText xml:space="preserve"> NUMPAGES   \* MERGEFORMAT </w:instrText>
          </w:r>
          <w:r w:rsidR="000E7ED7">
            <w:fldChar w:fldCharType="separate"/>
          </w:r>
          <w:r w:rsidR="0086417E">
            <w:rPr>
              <w:noProof/>
            </w:rPr>
            <w:t>9</w:t>
          </w:r>
          <w:r w:rsidR="000E7ED7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0D1CD1" w:rsidRDefault="000D1CD1" w:rsidP="000D1CD1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Případně podle zvláštního zákona, pokud zvláštní zákon obsahuje vlastní úpravu vypořádání.</w:t>
      </w:r>
    </w:p>
  </w:footnote>
  <w:footnote w:id="2">
    <w:p w:rsidR="000D1CD1" w:rsidRDefault="000D1CD1" w:rsidP="000D1CD1">
      <w:pPr>
        <w:pStyle w:val="Textpoznpodarou"/>
        <w:tabs>
          <w:tab w:val="left" w:pos="36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Ustanovení se použije, pouze pokud má příjemce v projektu alespoň jednoho partnera s finančním příspěvkem.</w:t>
      </w:r>
    </w:p>
  </w:footnote>
  <w:footnote w:id="3">
    <w:p w:rsidR="000D1CD1" w:rsidRDefault="000D1CD1" w:rsidP="000D1CD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Lze doplnit i v negativním smyslu, tj. uvést činnosti, které byly v příslušné výzvě zakázány. Formuluje se univerzálně dle výzvy, nikoli dle konkrétní žádosti o podporu (příp. dle části výzvy, pokud výzva byla členěná na části a tyto části měly specificky vymezeny uváděné parametry).</w:t>
      </w:r>
    </w:p>
  </w:footnote>
  <w:footnote w:id="4">
    <w:p w:rsidR="000D1CD1" w:rsidRDefault="000D1CD1" w:rsidP="000D1CD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Textaci je nutné upravit, pokud je s ohledem na zahájení realizace projektu před vydáním právního aktu nemožné dodržet standardní lhůty předložení zpráv.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0F03EC">
    <w:pPr>
      <w:pStyle w:val="Zhlav"/>
    </w:pPr>
    <w:r>
      <w:rPr>
        <w:noProof/>
        <w:lang w:eastAsia="cs-CZ"/>
      </w:rPr>
      <w:drawing>
        <wp:inline distT="0" distB="0" distL="0" distR="0" wp14:anchorId="26E4A2E6" wp14:editId="2C4A2A0C">
          <wp:extent cx="5759450" cy="744056"/>
          <wp:effectExtent l="0" t="0" r="0" b="0"/>
          <wp:docPr id="2" name="Obrázek 2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2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8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336F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2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4B25B72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5419C6"/>
    <w:multiLevelType w:val="hybridMultilevel"/>
    <w:tmpl w:val="57B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AA1BB6"/>
    <w:multiLevelType w:val="hybridMultilevel"/>
    <w:tmpl w:val="AD9022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1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6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>
    <w:nsid w:val="767A65E6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1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39"/>
  </w:num>
  <w:num w:numId="5">
    <w:abstractNumId w:val="20"/>
  </w:num>
  <w:num w:numId="6">
    <w:abstractNumId w:val="13"/>
  </w:num>
  <w:num w:numId="7">
    <w:abstractNumId w:val="0"/>
  </w:num>
  <w:num w:numId="8">
    <w:abstractNumId w:val="54"/>
  </w:num>
  <w:num w:numId="9">
    <w:abstractNumId w:val="27"/>
  </w:num>
  <w:num w:numId="10">
    <w:abstractNumId w:val="44"/>
  </w:num>
  <w:num w:numId="11">
    <w:abstractNumId w:val="21"/>
  </w:num>
  <w:num w:numId="12">
    <w:abstractNumId w:val="55"/>
  </w:num>
  <w:num w:numId="13">
    <w:abstractNumId w:val="23"/>
  </w:num>
  <w:num w:numId="14">
    <w:abstractNumId w:val="50"/>
  </w:num>
  <w:num w:numId="15">
    <w:abstractNumId w:val="2"/>
  </w:num>
  <w:num w:numId="16">
    <w:abstractNumId w:val="6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7"/>
  </w:num>
  <w:num w:numId="20">
    <w:abstractNumId w:val="59"/>
  </w:num>
  <w:num w:numId="21">
    <w:abstractNumId w:val="36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41"/>
  </w:num>
  <w:num w:numId="26">
    <w:abstractNumId w:val="22"/>
  </w:num>
  <w:num w:numId="27">
    <w:abstractNumId w:val="12"/>
  </w:num>
  <w:num w:numId="28">
    <w:abstractNumId w:val="38"/>
  </w:num>
  <w:num w:numId="29">
    <w:abstractNumId w:val="1"/>
  </w:num>
  <w:num w:numId="30">
    <w:abstractNumId w:val="45"/>
  </w:num>
  <w:num w:numId="31">
    <w:abstractNumId w:val="48"/>
  </w:num>
  <w:num w:numId="32">
    <w:abstractNumId w:val="25"/>
  </w:num>
  <w:num w:numId="33">
    <w:abstractNumId w:val="14"/>
  </w:num>
  <w:num w:numId="34">
    <w:abstractNumId w:val="51"/>
  </w:num>
  <w:num w:numId="35">
    <w:abstractNumId w:val="31"/>
  </w:num>
  <w:num w:numId="36">
    <w:abstractNumId w:val="7"/>
  </w:num>
  <w:num w:numId="37">
    <w:abstractNumId w:val="19"/>
  </w:num>
  <w:num w:numId="38">
    <w:abstractNumId w:val="46"/>
  </w:num>
  <w:num w:numId="39">
    <w:abstractNumId w:val="18"/>
  </w:num>
  <w:num w:numId="40">
    <w:abstractNumId w:val="62"/>
  </w:num>
  <w:num w:numId="41">
    <w:abstractNumId w:val="30"/>
  </w:num>
  <w:num w:numId="42">
    <w:abstractNumId w:val="43"/>
  </w:num>
  <w:num w:numId="43">
    <w:abstractNumId w:val="40"/>
  </w:num>
  <w:num w:numId="44">
    <w:abstractNumId w:val="6"/>
  </w:num>
  <w:num w:numId="45">
    <w:abstractNumId w:val="29"/>
  </w:num>
  <w:num w:numId="46">
    <w:abstractNumId w:val="58"/>
  </w:num>
  <w:num w:numId="47">
    <w:abstractNumId w:val="15"/>
  </w:num>
  <w:num w:numId="48">
    <w:abstractNumId w:val="53"/>
  </w:num>
  <w:num w:numId="49">
    <w:abstractNumId w:val="42"/>
  </w:num>
  <w:num w:numId="50">
    <w:abstractNumId w:val="34"/>
  </w:num>
  <w:num w:numId="51">
    <w:abstractNumId w:val="52"/>
  </w:num>
  <w:num w:numId="52">
    <w:abstractNumId w:val="56"/>
  </w:num>
  <w:num w:numId="53">
    <w:abstractNumId w:val="17"/>
  </w:num>
  <w:num w:numId="54">
    <w:abstractNumId w:val="47"/>
  </w:num>
  <w:num w:numId="55">
    <w:abstractNumId w:val="32"/>
  </w:num>
  <w:num w:numId="56">
    <w:abstractNumId w:val="26"/>
  </w:num>
  <w:num w:numId="57">
    <w:abstractNumId w:val="3"/>
  </w:num>
  <w:num w:numId="58">
    <w:abstractNumId w:val="49"/>
  </w:num>
  <w:num w:numId="59">
    <w:abstractNumId w:val="33"/>
  </w:num>
  <w:num w:numId="60">
    <w:abstractNumId w:val="60"/>
  </w:num>
  <w:num w:numId="61">
    <w:abstractNumId w:val="11"/>
  </w:num>
  <w:num w:numId="62">
    <w:abstractNumId w:val="24"/>
  </w:num>
  <w:num w:numId="63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D1CD1"/>
    <w:rsid w:val="000E11BF"/>
    <w:rsid w:val="000E7ED7"/>
    <w:rsid w:val="000F0056"/>
    <w:rsid w:val="000F03EC"/>
    <w:rsid w:val="000F5592"/>
    <w:rsid w:val="0011753D"/>
    <w:rsid w:val="00121E84"/>
    <w:rsid w:val="001641A3"/>
    <w:rsid w:val="001673AF"/>
    <w:rsid w:val="001776A7"/>
    <w:rsid w:val="001819EE"/>
    <w:rsid w:val="0018282A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C4D02"/>
    <w:rsid w:val="003C67A4"/>
    <w:rsid w:val="003D107E"/>
    <w:rsid w:val="003D3872"/>
    <w:rsid w:val="003E5795"/>
    <w:rsid w:val="003F02C5"/>
    <w:rsid w:val="003F7E4C"/>
    <w:rsid w:val="004162EF"/>
    <w:rsid w:val="004354DE"/>
    <w:rsid w:val="004415B1"/>
    <w:rsid w:val="004461FB"/>
    <w:rsid w:val="004548E9"/>
    <w:rsid w:val="00455567"/>
    <w:rsid w:val="00463A09"/>
    <w:rsid w:val="00497ED7"/>
    <w:rsid w:val="004C721F"/>
    <w:rsid w:val="004D73F0"/>
    <w:rsid w:val="004E466F"/>
    <w:rsid w:val="004E5D87"/>
    <w:rsid w:val="00512C01"/>
    <w:rsid w:val="00536184"/>
    <w:rsid w:val="00536CEE"/>
    <w:rsid w:val="0055203F"/>
    <w:rsid w:val="00556F01"/>
    <w:rsid w:val="0056663D"/>
    <w:rsid w:val="00567C05"/>
    <w:rsid w:val="00570622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3CAC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5822"/>
    <w:rsid w:val="007566EB"/>
    <w:rsid w:val="00773D72"/>
    <w:rsid w:val="00782D4C"/>
    <w:rsid w:val="00797E60"/>
    <w:rsid w:val="007A0075"/>
    <w:rsid w:val="007B1C3C"/>
    <w:rsid w:val="007D0935"/>
    <w:rsid w:val="007E732D"/>
    <w:rsid w:val="007E75C1"/>
    <w:rsid w:val="007F0CD8"/>
    <w:rsid w:val="007F59A4"/>
    <w:rsid w:val="008053D8"/>
    <w:rsid w:val="00815F47"/>
    <w:rsid w:val="008255F6"/>
    <w:rsid w:val="00844670"/>
    <w:rsid w:val="008470CC"/>
    <w:rsid w:val="00847203"/>
    <w:rsid w:val="0086417E"/>
    <w:rsid w:val="008647B8"/>
    <w:rsid w:val="008819E7"/>
    <w:rsid w:val="008842D3"/>
    <w:rsid w:val="00885E92"/>
    <w:rsid w:val="00890FAA"/>
    <w:rsid w:val="008B607A"/>
    <w:rsid w:val="008C6214"/>
    <w:rsid w:val="008D4A7F"/>
    <w:rsid w:val="008F7D9B"/>
    <w:rsid w:val="00905711"/>
    <w:rsid w:val="00910732"/>
    <w:rsid w:val="009117F1"/>
    <w:rsid w:val="009343A7"/>
    <w:rsid w:val="00934A32"/>
    <w:rsid w:val="00942E26"/>
    <w:rsid w:val="00942F74"/>
    <w:rsid w:val="009574F9"/>
    <w:rsid w:val="00967D4A"/>
    <w:rsid w:val="00975AD9"/>
    <w:rsid w:val="00982AC4"/>
    <w:rsid w:val="00987A5D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3E80"/>
    <w:rsid w:val="00A87668"/>
    <w:rsid w:val="00A934CE"/>
    <w:rsid w:val="00AA3E99"/>
    <w:rsid w:val="00AC3356"/>
    <w:rsid w:val="00AD04D6"/>
    <w:rsid w:val="00B04C20"/>
    <w:rsid w:val="00B07597"/>
    <w:rsid w:val="00B11883"/>
    <w:rsid w:val="00B32C5C"/>
    <w:rsid w:val="00B41402"/>
    <w:rsid w:val="00B50733"/>
    <w:rsid w:val="00B539D6"/>
    <w:rsid w:val="00B56267"/>
    <w:rsid w:val="00B56786"/>
    <w:rsid w:val="00B57C7F"/>
    <w:rsid w:val="00B57DA4"/>
    <w:rsid w:val="00B6373E"/>
    <w:rsid w:val="00B70C0C"/>
    <w:rsid w:val="00B90AFE"/>
    <w:rsid w:val="00B921E9"/>
    <w:rsid w:val="00B9435E"/>
    <w:rsid w:val="00BA0F0F"/>
    <w:rsid w:val="00BA3C81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6054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3BB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D5FB3"/>
    <w:rsid w:val="00DE6802"/>
    <w:rsid w:val="00E073EC"/>
    <w:rsid w:val="00E201FD"/>
    <w:rsid w:val="00E20828"/>
    <w:rsid w:val="00E303D1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04560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4EA7"/>
    <w:rsid w:val="00FA5583"/>
    <w:rsid w:val="00FA5BE7"/>
    <w:rsid w:val="00FC0AE3"/>
    <w:rsid w:val="00FC4FB9"/>
    <w:rsid w:val="00FC7F62"/>
    <w:rsid w:val="00FE1471"/>
    <w:rsid w:val="00FE4F9D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9</Pages>
  <Words>3042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2015-10-16T12:33:00Z</dcterms:created>
  <dcterms:modified xsi:type="dcterms:W3CDTF">2015-10-16T12:33:00Z</dcterms:modified>
</cp:coreProperties>
</file>