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96" w:rsidRDefault="00356196" w:rsidP="00B3162D">
      <w:pPr>
        <w:spacing w:line="240" w:lineRule="auto"/>
        <w:jc w:val="center"/>
        <w:rPr>
          <w:b/>
          <w:u w:val="single"/>
        </w:rPr>
      </w:pPr>
    </w:p>
    <w:p w:rsidR="00356196" w:rsidRDefault="00356196" w:rsidP="00B3162D">
      <w:pPr>
        <w:spacing w:line="240" w:lineRule="auto"/>
        <w:jc w:val="center"/>
        <w:rPr>
          <w:b/>
          <w:u w:val="single"/>
        </w:rPr>
      </w:pPr>
    </w:p>
    <w:p w:rsidR="00B333BD" w:rsidRPr="00B333BD" w:rsidRDefault="00B333BD" w:rsidP="00B333BD"/>
    <w:p w:rsidR="00B333BD" w:rsidRPr="00B333BD" w:rsidRDefault="00B333BD" w:rsidP="00B333BD"/>
    <w:p w:rsidR="002A02CD" w:rsidRDefault="002A02CD" w:rsidP="002A02CD">
      <w:pPr>
        <w:jc w:val="center"/>
      </w:pPr>
      <w:r>
        <w:rPr>
          <w:noProof/>
          <w:lang w:eastAsia="cs-CZ"/>
        </w:rPr>
        <w:drawing>
          <wp:inline distT="0" distB="0" distL="0" distR="0" wp14:anchorId="52AC4514" wp14:editId="35E2FA71">
            <wp:extent cx="1009650" cy="971550"/>
            <wp:effectExtent l="0" t="0" r="0" b="0"/>
            <wp:docPr id="519" name="Obrázek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2CD" w:rsidRDefault="002A02CD" w:rsidP="002A02CD">
      <w:pPr>
        <w:jc w:val="center"/>
      </w:pPr>
    </w:p>
    <w:p w:rsidR="002A02CD" w:rsidRDefault="002A02CD" w:rsidP="002A02CD">
      <w:pPr>
        <w:jc w:val="center"/>
      </w:pPr>
    </w:p>
    <w:p w:rsidR="002A02CD" w:rsidRDefault="002A02CD" w:rsidP="002A02CD">
      <w:pPr>
        <w:jc w:val="center"/>
      </w:pPr>
    </w:p>
    <w:p w:rsidR="002A02CD" w:rsidRPr="006C25CB" w:rsidRDefault="002A02CD" w:rsidP="002A02CD">
      <w:pPr>
        <w:spacing w:line="240" w:lineRule="auto"/>
        <w:jc w:val="center"/>
        <w:rPr>
          <w:caps/>
          <w:spacing w:val="60"/>
        </w:rPr>
      </w:pPr>
      <w:r w:rsidRPr="006C25CB">
        <w:rPr>
          <w:caps/>
          <w:spacing w:val="60"/>
        </w:rPr>
        <w:t>Ministerstvo práce a sociálních věcí</w:t>
      </w:r>
    </w:p>
    <w:p w:rsidR="002A02CD" w:rsidRDefault="002A02CD" w:rsidP="002A02CD">
      <w:pPr>
        <w:tabs>
          <w:tab w:val="left" w:pos="1134"/>
          <w:tab w:val="center" w:pos="4536"/>
          <w:tab w:val="right" w:pos="9072"/>
        </w:tabs>
        <w:spacing w:line="240" w:lineRule="auto"/>
        <w:jc w:val="center"/>
      </w:pPr>
      <w:r w:rsidRPr="006C25C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FAE8349" wp14:editId="44EF773D">
                <wp:simplePos x="0" y="0"/>
                <wp:positionH relativeFrom="column">
                  <wp:posOffset>992505</wp:posOffset>
                </wp:positionH>
                <wp:positionV relativeFrom="paragraph">
                  <wp:posOffset>102235</wp:posOffset>
                </wp:positionV>
                <wp:extent cx="5054600" cy="0"/>
                <wp:effectExtent l="0" t="0" r="0" b="0"/>
                <wp:wrapNone/>
                <wp:docPr id="31" name="Přímá spojnic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5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15pt,8.05pt" to="476.1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" o:allowincell="f"/>
            </w:pict>
          </mc:Fallback>
        </mc:AlternateContent>
      </w:r>
    </w:p>
    <w:p w:rsidR="002A02CD" w:rsidRDefault="002A02CD" w:rsidP="002A02CD"/>
    <w:p w:rsidR="002A02CD" w:rsidRDefault="002A02CD" w:rsidP="002A02CD"/>
    <w:p w:rsidR="002A02CD" w:rsidRDefault="002A02CD" w:rsidP="002A02CD"/>
    <w:p w:rsidR="002A02CD" w:rsidRPr="00B333BD" w:rsidRDefault="002A02CD" w:rsidP="002A02CD"/>
    <w:p w:rsidR="006C25CB" w:rsidRDefault="002A02CD" w:rsidP="002A02CD">
      <w:r>
        <w:rPr>
          <w:b/>
          <w:sz w:val="36"/>
        </w:rPr>
        <w:t>ANALÝZA NABÍDKY A POPTÁVKY NA TRHU PRÁCE</w:t>
      </w:r>
    </w:p>
    <w:p w:rsidR="006C25CB" w:rsidRDefault="006C25CB" w:rsidP="00B333BD"/>
    <w:p w:rsidR="006C25CB" w:rsidRDefault="006C25CB" w:rsidP="00B333BD"/>
    <w:p w:rsidR="006C25CB" w:rsidRPr="002A02CD" w:rsidRDefault="006C25CB" w:rsidP="00B333BD">
      <w:pPr>
        <w:rPr>
          <w:b/>
        </w:rPr>
      </w:pPr>
    </w:p>
    <w:p w:rsidR="006C25CB" w:rsidRPr="00B333BD" w:rsidRDefault="006C25CB" w:rsidP="00B333BD"/>
    <w:p w:rsidR="00B333BD" w:rsidRPr="00B333BD" w:rsidRDefault="00B333BD" w:rsidP="00B333BD"/>
    <w:p w:rsidR="00B333BD" w:rsidRPr="00B333BD" w:rsidRDefault="00B333BD" w:rsidP="00B333BD"/>
    <w:p w:rsidR="00B333BD" w:rsidRPr="00B333BD" w:rsidRDefault="002A02CD" w:rsidP="00B333BD">
      <w:pPr>
        <w:jc w:val="center"/>
        <w:rPr>
          <w:b/>
          <w:sz w:val="36"/>
        </w:rPr>
      </w:pPr>
      <w:r>
        <w:rPr>
          <w:b/>
          <w:sz w:val="36"/>
        </w:rPr>
        <w:t xml:space="preserve"> Příloha č. 3: P</w:t>
      </w:r>
      <w:r w:rsidRPr="00B333BD">
        <w:rPr>
          <w:b/>
          <w:sz w:val="36"/>
        </w:rPr>
        <w:t>růběžné vyhodnocení opatření směřujících k odstranění nerovnováhy na trhu práce</w:t>
      </w:r>
    </w:p>
    <w:p w:rsidR="00B333BD" w:rsidRPr="00B333BD" w:rsidRDefault="00B333BD" w:rsidP="00B333BD">
      <w:pPr>
        <w:jc w:val="center"/>
        <w:rPr>
          <w:b/>
          <w:sz w:val="36"/>
        </w:rPr>
      </w:pPr>
    </w:p>
    <w:p w:rsidR="00B333BD" w:rsidRPr="00B333BD" w:rsidRDefault="00B333BD" w:rsidP="00B333BD">
      <w:pPr>
        <w:jc w:val="center"/>
        <w:rPr>
          <w:b/>
          <w:sz w:val="36"/>
        </w:rPr>
      </w:pPr>
    </w:p>
    <w:p w:rsidR="00B333BD" w:rsidRPr="00B333BD" w:rsidRDefault="00B333BD" w:rsidP="00B333BD">
      <w:pPr>
        <w:jc w:val="center"/>
        <w:rPr>
          <w:b/>
          <w:sz w:val="36"/>
        </w:rPr>
      </w:pPr>
    </w:p>
    <w:p w:rsidR="00B333BD" w:rsidRPr="00B333BD" w:rsidRDefault="00B333BD" w:rsidP="00B333BD">
      <w:pPr>
        <w:jc w:val="center"/>
        <w:rPr>
          <w:b/>
          <w:sz w:val="36"/>
        </w:rPr>
        <w:sectPr w:rsidR="00B333BD" w:rsidRPr="00B333BD" w:rsidSect="00C148D3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2383A" w:rsidRPr="00141B9B" w:rsidRDefault="0012383A" w:rsidP="0012383A">
      <w:pPr>
        <w:spacing w:line="240" w:lineRule="auto"/>
        <w:ind w:right="-426"/>
        <w:jc w:val="center"/>
        <w:rPr>
          <w:b/>
          <w:sz w:val="28"/>
          <w:szCs w:val="28"/>
          <w:u w:val="single"/>
        </w:rPr>
      </w:pPr>
      <w:r w:rsidRPr="00141B9B">
        <w:rPr>
          <w:b/>
          <w:sz w:val="28"/>
          <w:szCs w:val="28"/>
          <w:u w:val="single"/>
        </w:rPr>
        <w:lastRenderedPageBreak/>
        <w:t>Vyhodnocení opatření</w:t>
      </w:r>
    </w:p>
    <w:p w:rsidR="00CD2D54" w:rsidRPr="0012383A" w:rsidRDefault="00CD2D54" w:rsidP="0012383A">
      <w:pPr>
        <w:spacing w:line="240" w:lineRule="auto"/>
        <w:ind w:right="-426"/>
        <w:jc w:val="center"/>
        <w:rPr>
          <w:b/>
          <w:u w:val="single"/>
        </w:rPr>
      </w:pPr>
    </w:p>
    <w:p w:rsidR="0012383A" w:rsidRDefault="0012383A" w:rsidP="00586936">
      <w:pPr>
        <w:spacing w:line="240" w:lineRule="auto"/>
        <w:rPr>
          <w:b/>
        </w:rPr>
      </w:pPr>
    </w:p>
    <w:p w:rsidR="00CD2D54" w:rsidRDefault="00CD2D54" w:rsidP="00586936">
      <w:pPr>
        <w:spacing w:line="240" w:lineRule="auto"/>
        <w:rPr>
          <w:b/>
        </w:rPr>
      </w:pPr>
      <w:r w:rsidRPr="00CD2D54">
        <w:t xml:space="preserve">V červenci </w:t>
      </w:r>
      <w:r>
        <w:t xml:space="preserve">2016 byl na jednání Vlády ČR i v rámci </w:t>
      </w:r>
      <w:r w:rsidR="00D60245">
        <w:t>Rady hospodářské a asociální dohody České republiky (</w:t>
      </w:r>
      <w:r>
        <w:t xml:space="preserve">RHSD </w:t>
      </w:r>
      <w:r w:rsidR="00D60245">
        <w:t xml:space="preserve">ČR) </w:t>
      </w:r>
      <w:r>
        <w:t>diskuto</w:t>
      </w:r>
      <w:r w:rsidR="005C2BF5">
        <w:t>ván materiál „Analýza nabídky a </w:t>
      </w:r>
      <w:r>
        <w:t>poptávky na trhu práce“, v</w:t>
      </w:r>
      <w:r w:rsidR="000C653B">
        <w:t> jehož rámci</w:t>
      </w:r>
      <w:r>
        <w:t xml:space="preserve"> byla navrhnuta řada opatření ke zlepšení situace na trhu práce. </w:t>
      </w:r>
      <w:r w:rsidRPr="00CD2D54">
        <w:rPr>
          <w:b/>
        </w:rPr>
        <w:t>Průběžné vyhodnocení jednotlivých opatření uvádíme v této části materiálu.</w:t>
      </w:r>
    </w:p>
    <w:p w:rsidR="000C653B" w:rsidRPr="00CD2D54" w:rsidRDefault="000C653B" w:rsidP="00586936">
      <w:pPr>
        <w:spacing w:line="240" w:lineRule="auto"/>
        <w:rPr>
          <w:b/>
        </w:rPr>
      </w:pPr>
    </w:p>
    <w:p w:rsidR="00F927F2" w:rsidRPr="00E6252E" w:rsidRDefault="00F927F2" w:rsidP="004F7EFC">
      <w:pPr>
        <w:spacing w:line="240" w:lineRule="auto"/>
        <w:rPr>
          <w:rFonts w:cs="Arial"/>
          <w:b/>
          <w:szCs w:val="24"/>
        </w:rPr>
      </w:pPr>
      <w:r w:rsidRPr="00E6252E">
        <w:rPr>
          <w:b/>
        </w:rPr>
        <w:t xml:space="preserve">1. </w:t>
      </w:r>
      <w:r w:rsidRPr="00E6252E">
        <w:rPr>
          <w:rFonts w:cs="Arial"/>
          <w:b/>
          <w:szCs w:val="24"/>
        </w:rPr>
        <w:t>Intenzifikace zprostředko</w:t>
      </w:r>
      <w:r w:rsidRPr="00E6252E">
        <w:rPr>
          <w:rFonts w:cs="Arial"/>
          <w:b/>
          <w:szCs w:val="24"/>
        </w:rPr>
        <w:softHyphen/>
        <w:t>vatelské činnosti ÚP ČR</w:t>
      </w:r>
    </w:p>
    <w:p w:rsidR="00586936" w:rsidRDefault="00586936" w:rsidP="00586936">
      <w:pPr>
        <w:spacing w:line="240" w:lineRule="auto"/>
        <w:rPr>
          <w:rFonts w:cs="Arial"/>
          <w:b/>
          <w:szCs w:val="24"/>
        </w:rPr>
      </w:pPr>
    </w:p>
    <w:p w:rsidR="00F927F2" w:rsidRDefault="00F927F2" w:rsidP="00586936">
      <w:pPr>
        <w:spacing w:line="240" w:lineRule="auto"/>
        <w:rPr>
          <w:b/>
          <w:u w:val="single"/>
        </w:rPr>
      </w:pPr>
      <w:r w:rsidRPr="00F927F2">
        <w:rPr>
          <w:b/>
          <w:u w:val="single"/>
        </w:rPr>
        <w:t>Popis</w:t>
      </w:r>
      <w:r>
        <w:rPr>
          <w:b/>
          <w:u w:val="single"/>
        </w:rPr>
        <w:t xml:space="preserve"> opatření:</w:t>
      </w:r>
    </w:p>
    <w:p w:rsidR="00586936" w:rsidRDefault="00586936" w:rsidP="00586936">
      <w:pPr>
        <w:spacing w:line="240" w:lineRule="auto"/>
        <w:rPr>
          <w:b/>
          <w:u w:val="single"/>
        </w:rPr>
      </w:pPr>
    </w:p>
    <w:p w:rsidR="00835A93" w:rsidRDefault="00F927F2" w:rsidP="00586936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 xml:space="preserve">Intenzivní realizace zprostředkovatelských služeb </w:t>
      </w:r>
      <w:r w:rsidR="00D06C61">
        <w:rPr>
          <w:rFonts w:cs="Arial"/>
          <w:szCs w:val="24"/>
        </w:rPr>
        <w:t>Úřadu práce České republiky (</w:t>
      </w:r>
      <w:r w:rsidRPr="00C605D8">
        <w:rPr>
          <w:rFonts w:cs="Arial"/>
          <w:szCs w:val="24"/>
        </w:rPr>
        <w:t>ÚP ČR</w:t>
      </w:r>
      <w:r w:rsidR="00D06C61">
        <w:rPr>
          <w:rFonts w:cs="Arial"/>
          <w:szCs w:val="24"/>
        </w:rPr>
        <w:t>)</w:t>
      </w:r>
      <w:r w:rsidRPr="00C605D8">
        <w:rPr>
          <w:rFonts w:cs="Arial"/>
          <w:szCs w:val="24"/>
        </w:rPr>
        <w:t>, tj. včasná a kvalitní reakce na poptávku zaměstnavatelů po nových zaměstnancích. Zejména se jedná o organizaci cílených výběrových řízení za účelem obsazení hlášených volných pracovních míst</w:t>
      </w:r>
      <w:r w:rsidR="00D06C61">
        <w:rPr>
          <w:rFonts w:cs="Arial"/>
          <w:szCs w:val="24"/>
        </w:rPr>
        <w:t xml:space="preserve"> (VPM)</w:t>
      </w:r>
      <w:r w:rsidRPr="00C605D8">
        <w:rPr>
          <w:rFonts w:cs="Arial"/>
          <w:szCs w:val="24"/>
        </w:rPr>
        <w:t xml:space="preserve">. Výběrová řízení probíhají jak </w:t>
      </w:r>
      <w:r w:rsidR="00D06C61">
        <w:rPr>
          <w:rFonts w:cs="Arial"/>
          <w:szCs w:val="24"/>
        </w:rPr>
        <w:br/>
      </w:r>
      <w:r w:rsidRPr="00C605D8">
        <w:rPr>
          <w:rFonts w:cs="Arial"/>
          <w:szCs w:val="24"/>
        </w:rPr>
        <w:t>v prostorách ÚP ČR, tak i přímo v prostorách zaměstnavatelů. V obou případech za aktivní asistence zaměstnanců ÚP ČR v souvislosti s nutnou zpětn</w:t>
      </w:r>
      <w:r>
        <w:rPr>
          <w:rFonts w:cs="Arial"/>
          <w:szCs w:val="24"/>
        </w:rPr>
        <w:t xml:space="preserve">ou vazbou </w:t>
      </w:r>
      <w:r w:rsidR="00D06C61">
        <w:rPr>
          <w:rFonts w:cs="Arial"/>
          <w:szCs w:val="24"/>
        </w:rPr>
        <w:br/>
      </w:r>
      <w:r>
        <w:rPr>
          <w:rFonts w:cs="Arial"/>
          <w:szCs w:val="24"/>
        </w:rPr>
        <w:t>o přístupu uchazečů o </w:t>
      </w:r>
      <w:r w:rsidRPr="00C605D8">
        <w:rPr>
          <w:rFonts w:cs="Arial"/>
          <w:szCs w:val="24"/>
        </w:rPr>
        <w:t>zaměstnání v</w:t>
      </w:r>
      <w:r>
        <w:rPr>
          <w:rFonts w:cs="Arial"/>
          <w:szCs w:val="24"/>
        </w:rPr>
        <w:t>e věci jejich aktivního zájmu o </w:t>
      </w:r>
      <w:r w:rsidRPr="00C605D8">
        <w:rPr>
          <w:rFonts w:cs="Arial"/>
          <w:szCs w:val="24"/>
        </w:rPr>
        <w:t xml:space="preserve">pracovní uplatnění na trhu práce. </w:t>
      </w:r>
    </w:p>
    <w:p w:rsidR="00E6252E" w:rsidRDefault="00E6252E" w:rsidP="00586936">
      <w:pPr>
        <w:spacing w:line="240" w:lineRule="auto"/>
        <w:rPr>
          <w:rFonts w:cs="Arial"/>
          <w:szCs w:val="24"/>
        </w:rPr>
      </w:pPr>
    </w:p>
    <w:p w:rsidR="00F927F2" w:rsidRDefault="00F927F2" w:rsidP="00586936">
      <w:pPr>
        <w:spacing w:line="240" w:lineRule="auto"/>
        <w:rPr>
          <w:b/>
          <w:u w:val="single"/>
        </w:rPr>
      </w:pPr>
      <w:r w:rsidRPr="00F927F2">
        <w:rPr>
          <w:b/>
          <w:u w:val="single"/>
        </w:rPr>
        <w:t>Plnění</w:t>
      </w:r>
      <w:r w:rsidR="00835A93">
        <w:rPr>
          <w:b/>
          <w:u w:val="single"/>
        </w:rPr>
        <w:t xml:space="preserve"> opatření</w:t>
      </w:r>
      <w:r>
        <w:rPr>
          <w:b/>
          <w:u w:val="single"/>
        </w:rPr>
        <w:t>:</w:t>
      </w:r>
    </w:p>
    <w:p w:rsidR="00586936" w:rsidRDefault="00586936" w:rsidP="00586936">
      <w:pPr>
        <w:spacing w:line="240" w:lineRule="auto"/>
        <w:rPr>
          <w:b/>
          <w:u w:val="single"/>
        </w:rPr>
      </w:pPr>
    </w:p>
    <w:p w:rsidR="00615C70" w:rsidRDefault="00835A93" w:rsidP="001A397F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Ze strany ÚP ČR dochází k p</w:t>
      </w:r>
      <w:r w:rsidRPr="00DC4B65">
        <w:rPr>
          <w:rFonts w:cs="Arial"/>
          <w:szCs w:val="24"/>
        </w:rPr>
        <w:t xml:space="preserve">osilování spolupráce mezi útvary zprostředkování a trhu práce v oblastech organizace výběrových řízení pro zaměstnavatele, pořádání firemních dnů, seminářů a burz práce. </w:t>
      </w:r>
      <w:r w:rsidR="00615C70" w:rsidRPr="00615C70">
        <w:rPr>
          <w:rFonts w:cs="Arial"/>
          <w:szCs w:val="24"/>
        </w:rPr>
        <w:t>V rámci realizovaných monitorovacích návštěv, ale také při hlášení volných pracovních míst, jsou zaměstnavatelé informováni o možnosti pře</w:t>
      </w:r>
      <w:r w:rsidR="00586936">
        <w:rPr>
          <w:rFonts w:cs="Arial"/>
          <w:szCs w:val="24"/>
        </w:rPr>
        <w:t>dvýběrových a výběrových řízení</w:t>
      </w:r>
      <w:r w:rsidR="00615C70" w:rsidRPr="00615C70">
        <w:rPr>
          <w:rFonts w:cs="Arial"/>
          <w:szCs w:val="24"/>
        </w:rPr>
        <w:t>.</w:t>
      </w:r>
    </w:p>
    <w:p w:rsidR="00615C70" w:rsidRPr="00615C70" w:rsidRDefault="00615C70" w:rsidP="001A397F">
      <w:pPr>
        <w:spacing w:line="240" w:lineRule="auto"/>
        <w:rPr>
          <w:rFonts w:cs="Arial"/>
          <w:szCs w:val="24"/>
        </w:rPr>
      </w:pPr>
    </w:p>
    <w:p w:rsidR="00586936" w:rsidRDefault="00835A93" w:rsidP="001A397F">
      <w:pPr>
        <w:spacing w:line="240" w:lineRule="auto"/>
        <w:rPr>
          <w:rFonts w:cs="Arial"/>
          <w:szCs w:val="24"/>
        </w:rPr>
      </w:pPr>
      <w:r w:rsidRPr="00586936">
        <w:rPr>
          <w:rFonts w:cs="Arial"/>
          <w:b/>
          <w:szCs w:val="24"/>
        </w:rPr>
        <w:t>Ve druhém čtvrtletí 2016 bylo realizováno 1415 předvýběrových a 647 výběrových řízení.</w:t>
      </w:r>
      <w:r w:rsidRPr="00DC4B65">
        <w:rPr>
          <w:rFonts w:cs="Arial"/>
          <w:szCs w:val="24"/>
        </w:rPr>
        <w:t xml:space="preserve"> </w:t>
      </w:r>
    </w:p>
    <w:p w:rsidR="00586936" w:rsidRDefault="00586936" w:rsidP="001A397F">
      <w:pPr>
        <w:spacing w:line="240" w:lineRule="auto"/>
        <w:rPr>
          <w:rFonts w:cs="Arial"/>
          <w:szCs w:val="24"/>
        </w:rPr>
      </w:pPr>
    </w:p>
    <w:p w:rsidR="00586936" w:rsidRDefault="00615C70" w:rsidP="001A397F">
      <w:pPr>
        <w:spacing w:line="240" w:lineRule="auto"/>
        <w:rPr>
          <w:rFonts w:cs="Arial"/>
          <w:szCs w:val="24"/>
        </w:rPr>
      </w:pPr>
      <w:r w:rsidRPr="00615C70">
        <w:rPr>
          <w:rFonts w:cs="Arial"/>
          <w:szCs w:val="24"/>
        </w:rPr>
        <w:t>Uchazeči o zaměstnání jsou na výběrová řízení zváni převážně prostřednictvím</w:t>
      </w:r>
      <w:r>
        <w:rPr>
          <w:rFonts w:cs="Arial"/>
          <w:szCs w:val="24"/>
        </w:rPr>
        <w:t xml:space="preserve"> tzv.</w:t>
      </w:r>
      <w:r w:rsidRPr="00615C70">
        <w:rPr>
          <w:rFonts w:cs="Arial"/>
          <w:szCs w:val="24"/>
        </w:rPr>
        <w:t xml:space="preserve"> doporučenky, což vede k poměrně vysokému poměru zúčastněných vůči pozvaným, viz </w:t>
      </w:r>
      <w:r>
        <w:rPr>
          <w:rFonts w:cs="Arial"/>
          <w:szCs w:val="24"/>
        </w:rPr>
        <w:t xml:space="preserve">níže uvedená </w:t>
      </w:r>
      <w:r w:rsidRPr="00615C70">
        <w:rPr>
          <w:rFonts w:cs="Arial"/>
          <w:szCs w:val="24"/>
        </w:rPr>
        <w:t xml:space="preserve">tabulka. </w:t>
      </w:r>
    </w:p>
    <w:p w:rsidR="00586936" w:rsidRDefault="00586936" w:rsidP="001A397F">
      <w:pPr>
        <w:spacing w:line="240" w:lineRule="auto"/>
        <w:rPr>
          <w:rFonts w:cs="Arial"/>
          <w:szCs w:val="24"/>
        </w:rPr>
      </w:pPr>
    </w:p>
    <w:p w:rsidR="00615C70" w:rsidRPr="00586936" w:rsidRDefault="00586936" w:rsidP="001A397F">
      <w:pPr>
        <w:spacing w:line="240" w:lineRule="auto"/>
        <w:rPr>
          <w:rFonts w:cs="Arial"/>
          <w:b/>
          <w:szCs w:val="24"/>
        </w:rPr>
      </w:pPr>
      <w:r>
        <w:rPr>
          <w:rFonts w:cs="Arial"/>
          <w:szCs w:val="24"/>
        </w:rPr>
        <w:t>Na výběrová řízení bylo ve II. č</w:t>
      </w:r>
      <w:r w:rsidR="00615C70" w:rsidRPr="00615C70">
        <w:rPr>
          <w:rFonts w:cs="Arial"/>
          <w:szCs w:val="24"/>
        </w:rPr>
        <w:t xml:space="preserve">tvrtletí 2016 pozváno </w:t>
      </w:r>
      <w:r w:rsidR="00EB1BB2">
        <w:rPr>
          <w:rFonts w:cs="Arial"/>
          <w:b/>
          <w:szCs w:val="24"/>
        </w:rPr>
        <w:t>11 903 uchazečů o </w:t>
      </w:r>
      <w:r w:rsidR="00615C70" w:rsidRPr="00586936">
        <w:rPr>
          <w:rFonts w:cs="Arial"/>
          <w:b/>
          <w:szCs w:val="24"/>
        </w:rPr>
        <w:t>zaměstnání</w:t>
      </w:r>
      <w:r w:rsidR="00615C70" w:rsidRPr="00615C70">
        <w:rPr>
          <w:rFonts w:cs="Arial"/>
          <w:szCs w:val="24"/>
        </w:rPr>
        <w:t xml:space="preserve">, z toho </w:t>
      </w:r>
      <w:r w:rsidR="00615C70" w:rsidRPr="00586936">
        <w:rPr>
          <w:rFonts w:cs="Arial"/>
          <w:b/>
          <w:szCs w:val="24"/>
        </w:rPr>
        <w:t>9 189 se jich výběrových řízení zúčastnilo a celkem 889</w:t>
      </w:r>
      <w:r w:rsidR="00960B45">
        <w:rPr>
          <w:rFonts w:cs="Arial"/>
          <w:b/>
          <w:szCs w:val="24"/>
        </w:rPr>
        <w:t xml:space="preserve"> </w:t>
      </w:r>
      <w:r w:rsidR="00615C70" w:rsidRPr="00586936">
        <w:rPr>
          <w:rFonts w:cs="Arial"/>
          <w:b/>
          <w:szCs w:val="24"/>
        </w:rPr>
        <w:t>VPM bylo prostřednictvím výběrových řízení obsazeno.</w:t>
      </w:r>
    </w:p>
    <w:p w:rsidR="00615C70" w:rsidRPr="00615C70" w:rsidRDefault="00615C70" w:rsidP="001A397F">
      <w:pPr>
        <w:spacing w:line="240" w:lineRule="auto"/>
        <w:rPr>
          <w:rFonts w:cs="Arial"/>
          <w:b/>
          <w:szCs w:val="24"/>
        </w:rPr>
      </w:pPr>
    </w:p>
    <w:p w:rsidR="00F927F2" w:rsidRPr="00615C70" w:rsidRDefault="00F927F2" w:rsidP="001A397F">
      <w:pPr>
        <w:spacing w:line="240" w:lineRule="auto"/>
        <w:rPr>
          <w:b/>
        </w:rPr>
      </w:pPr>
      <w:r w:rsidRPr="00615C70">
        <w:rPr>
          <w:b/>
        </w:rPr>
        <w:t>Statistika vyřazení/ukončení evidence</w:t>
      </w:r>
      <w:r w:rsidR="00615C70" w:rsidRPr="00615C70">
        <w:rPr>
          <w:b/>
        </w:rPr>
        <w:t xml:space="preserve"> na ÚP ČR</w:t>
      </w:r>
      <w:r w:rsidRPr="00615C70">
        <w:rPr>
          <w:b/>
        </w:rPr>
        <w:t>:</w:t>
      </w:r>
    </w:p>
    <w:p w:rsidR="00615C70" w:rsidRDefault="00615C70" w:rsidP="001A397F">
      <w:pPr>
        <w:spacing w:line="240" w:lineRule="auto"/>
      </w:pPr>
    </w:p>
    <w:p w:rsidR="00F927F2" w:rsidRPr="00586936" w:rsidRDefault="00F927F2" w:rsidP="001A397F">
      <w:pPr>
        <w:spacing w:line="240" w:lineRule="auto"/>
        <w:rPr>
          <w:b/>
        </w:rPr>
      </w:pPr>
      <w:r w:rsidRPr="00586936">
        <w:rPr>
          <w:b/>
        </w:rPr>
        <w:t xml:space="preserve">V průběhu 1. poloviny roku 2016 bylo z evidence </w:t>
      </w:r>
      <w:r w:rsidR="00586936" w:rsidRPr="00586936">
        <w:rPr>
          <w:b/>
        </w:rPr>
        <w:t>uchazečů o zaměstnání</w:t>
      </w:r>
      <w:r w:rsidRPr="00586936">
        <w:rPr>
          <w:b/>
        </w:rPr>
        <w:t xml:space="preserve"> celkem vyřazeno 342 696 osob, z toho do zaměstnání odešlo 236 677 osob, tj. 69 %. Z toho bylo přímo umístěno ÚP ČR 56 327 osob, tj. 23,8 % umístěných. </w:t>
      </w:r>
    </w:p>
    <w:p w:rsidR="00615C70" w:rsidRDefault="00615C70" w:rsidP="001A397F">
      <w:pPr>
        <w:spacing w:line="240" w:lineRule="auto"/>
      </w:pPr>
    </w:p>
    <w:p w:rsidR="002A02CD" w:rsidRDefault="002A02CD" w:rsidP="001A397F">
      <w:pPr>
        <w:spacing w:line="240" w:lineRule="auto"/>
      </w:pPr>
    </w:p>
    <w:p w:rsidR="00F30EC0" w:rsidRDefault="00F30EC0" w:rsidP="001A397F">
      <w:pPr>
        <w:spacing w:line="240" w:lineRule="auto"/>
      </w:pPr>
    </w:p>
    <w:p w:rsidR="002A02CD" w:rsidRDefault="002A02CD" w:rsidP="001A397F">
      <w:pPr>
        <w:spacing w:line="240" w:lineRule="auto"/>
      </w:pPr>
    </w:p>
    <w:p w:rsidR="002A02CD" w:rsidRDefault="002A02CD" w:rsidP="001A397F">
      <w:pPr>
        <w:spacing w:line="240" w:lineRule="auto"/>
      </w:pPr>
    </w:p>
    <w:p w:rsidR="00D06C61" w:rsidRDefault="00D06C61" w:rsidP="001A397F">
      <w:pPr>
        <w:spacing w:line="240" w:lineRule="auto"/>
      </w:pPr>
    </w:p>
    <w:p w:rsidR="00F927F2" w:rsidRPr="00615C70" w:rsidRDefault="00F927F2" w:rsidP="00F927F2">
      <w:pPr>
        <w:rPr>
          <w:rFonts w:asciiTheme="minorHAnsi" w:hAnsiTheme="minorHAnsi"/>
          <w:sz w:val="20"/>
          <w:szCs w:val="20"/>
        </w:rPr>
      </w:pPr>
      <w:r w:rsidRPr="00615C70">
        <w:rPr>
          <w:rFonts w:cs="Arial"/>
          <w:b/>
          <w:sz w:val="20"/>
          <w:szCs w:val="20"/>
        </w:rPr>
        <w:t>Tabulka: Přehled realizovaných předvýběrových a výběrových řízení ve 2. čtvrtletí 2016</w:t>
      </w:r>
    </w:p>
    <w:tbl>
      <w:tblPr>
        <w:tblStyle w:val="Stednstnovn1zvraznn1"/>
        <w:tblpPr w:leftFromText="141" w:rightFromText="141" w:vertAnchor="text" w:horzAnchor="page" w:tblpX="1525" w:tblpY="604"/>
        <w:tblW w:w="9606" w:type="dxa"/>
        <w:tblLook w:val="04A0" w:firstRow="1" w:lastRow="0" w:firstColumn="1" w:lastColumn="0" w:noHBand="0" w:noVBand="1"/>
      </w:tblPr>
      <w:tblGrid>
        <w:gridCol w:w="1918"/>
        <w:gridCol w:w="1370"/>
        <w:gridCol w:w="1374"/>
        <w:gridCol w:w="1142"/>
        <w:gridCol w:w="1374"/>
        <w:gridCol w:w="1116"/>
        <w:gridCol w:w="1312"/>
      </w:tblGrid>
      <w:tr w:rsidR="00F927F2" w:rsidRPr="00F927F2" w:rsidTr="005869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vMerge w:val="restart"/>
            <w:noWrap/>
            <w:vAlign w:val="center"/>
            <w:hideMark/>
          </w:tcPr>
          <w:p w:rsidR="00F927F2" w:rsidRPr="00F927F2" w:rsidRDefault="00F927F2" w:rsidP="00586936">
            <w:pPr>
              <w:jc w:val="center"/>
              <w:rPr>
                <w:rFonts w:eastAsia="Times New Roman" w:cs="Arial"/>
                <w:color w:val="FFFFFF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FFFFFF"/>
                <w:sz w:val="16"/>
                <w:lang w:eastAsia="cs-CZ"/>
              </w:rPr>
              <w:t>Kraj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927F2" w:rsidRPr="00F927F2" w:rsidRDefault="00F927F2" w:rsidP="005869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FFFF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FFFFFF"/>
                <w:sz w:val="16"/>
                <w:lang w:eastAsia="cs-CZ"/>
              </w:rPr>
              <w:t>Předvýběrová řízení</w:t>
            </w:r>
          </w:p>
        </w:tc>
        <w:tc>
          <w:tcPr>
            <w:tcW w:w="0" w:type="auto"/>
            <w:gridSpan w:val="5"/>
            <w:hideMark/>
          </w:tcPr>
          <w:p w:rsidR="00F927F2" w:rsidRPr="00F927F2" w:rsidRDefault="00F927F2" w:rsidP="005869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FFFF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FFFFFF"/>
                <w:sz w:val="16"/>
                <w:lang w:eastAsia="cs-CZ"/>
              </w:rPr>
              <w:t xml:space="preserve">Výběrová řízení </w:t>
            </w:r>
          </w:p>
        </w:tc>
      </w:tr>
      <w:tr w:rsidR="00F927F2" w:rsidRPr="00F927F2" w:rsidTr="0058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vMerge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FFFFFF"/>
                <w:sz w:val="16"/>
                <w:lang w:eastAsia="cs-CZ"/>
              </w:rPr>
            </w:pPr>
          </w:p>
        </w:tc>
        <w:tc>
          <w:tcPr>
            <w:tcW w:w="0" w:type="auto"/>
            <w:vMerge/>
            <w:hideMark/>
          </w:tcPr>
          <w:p w:rsidR="00F927F2" w:rsidRPr="00F927F2" w:rsidRDefault="00F927F2" w:rsidP="0058693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FFFFFF"/>
                <w:sz w:val="16"/>
                <w:lang w:eastAsia="cs-CZ"/>
              </w:rPr>
            </w:pP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16"/>
                <w:lang w:eastAsia="cs-CZ"/>
              </w:rPr>
            </w:pPr>
            <w:r w:rsidRPr="00F927F2">
              <w:rPr>
                <w:rFonts w:eastAsia="Times New Roman" w:cs="Arial"/>
                <w:b/>
                <w:bCs/>
                <w:sz w:val="16"/>
                <w:lang w:eastAsia="cs-CZ"/>
              </w:rPr>
              <w:t>Počet realizovaných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16"/>
                <w:lang w:eastAsia="cs-CZ"/>
              </w:rPr>
            </w:pPr>
            <w:r w:rsidRPr="00F927F2">
              <w:rPr>
                <w:rFonts w:eastAsia="Times New Roman" w:cs="Arial"/>
                <w:b/>
                <w:bCs/>
                <w:sz w:val="16"/>
                <w:lang w:eastAsia="cs-CZ"/>
              </w:rPr>
              <w:t>Počet pozvaných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16"/>
                <w:lang w:eastAsia="cs-CZ"/>
              </w:rPr>
            </w:pPr>
            <w:r w:rsidRPr="00F927F2">
              <w:rPr>
                <w:rFonts w:eastAsia="Times New Roman" w:cs="Arial"/>
                <w:b/>
                <w:bCs/>
                <w:sz w:val="16"/>
                <w:lang w:eastAsia="cs-CZ"/>
              </w:rPr>
              <w:t>Počet zúčastněných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16"/>
                <w:lang w:eastAsia="cs-CZ"/>
              </w:rPr>
            </w:pPr>
            <w:r w:rsidRPr="00F927F2">
              <w:rPr>
                <w:rFonts w:eastAsia="Times New Roman" w:cs="Arial"/>
                <w:b/>
                <w:bCs/>
                <w:sz w:val="16"/>
                <w:lang w:eastAsia="cs-CZ"/>
              </w:rPr>
              <w:t>Počet vybraných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16"/>
                <w:lang w:eastAsia="cs-CZ"/>
              </w:rPr>
            </w:pPr>
            <w:r w:rsidRPr="00F927F2">
              <w:rPr>
                <w:rFonts w:eastAsia="Times New Roman" w:cs="Arial"/>
                <w:b/>
                <w:bCs/>
                <w:sz w:val="16"/>
                <w:lang w:eastAsia="cs-CZ"/>
              </w:rPr>
              <w:t>Počet obsazených VPM</w:t>
            </w:r>
          </w:p>
        </w:tc>
      </w:tr>
      <w:tr w:rsidR="00F927F2" w:rsidRPr="00F927F2" w:rsidTr="0058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Hlavní město Praha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63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23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399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291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86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15</w:t>
            </w:r>
          </w:p>
        </w:tc>
      </w:tr>
      <w:tr w:rsidR="00F927F2" w:rsidRPr="00F927F2" w:rsidTr="0058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Středočeský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44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96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2 098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1 569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349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178</w:t>
            </w:r>
          </w:p>
        </w:tc>
      </w:tr>
      <w:tr w:rsidR="00F927F2" w:rsidRPr="00F927F2" w:rsidTr="0058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Jihočeský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275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75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851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645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186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77</w:t>
            </w:r>
          </w:p>
        </w:tc>
      </w:tr>
      <w:tr w:rsidR="00F927F2" w:rsidRPr="00F927F2" w:rsidTr="0058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Plzeňský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45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41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597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489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162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57</w:t>
            </w:r>
          </w:p>
        </w:tc>
      </w:tr>
      <w:tr w:rsidR="00F927F2" w:rsidRPr="00F927F2" w:rsidTr="0058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Karlovarský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76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25 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539 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393 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81 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20 </w:t>
            </w:r>
          </w:p>
        </w:tc>
      </w:tr>
      <w:tr w:rsidR="00F927F2" w:rsidRPr="00F927F2" w:rsidTr="0058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Ústecký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57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100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1 400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1 086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433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147</w:t>
            </w:r>
          </w:p>
        </w:tc>
      </w:tr>
      <w:tr w:rsidR="00F927F2" w:rsidRPr="00F927F2" w:rsidTr="0058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Liberecký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 41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37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487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332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98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32 </w:t>
            </w:r>
          </w:p>
        </w:tc>
      </w:tr>
      <w:tr w:rsidR="00F927F2" w:rsidRPr="00F927F2" w:rsidTr="0058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Královehradecký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24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55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743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712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179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19</w:t>
            </w:r>
          </w:p>
        </w:tc>
      </w:tr>
      <w:tr w:rsidR="00F927F2" w:rsidRPr="00F927F2" w:rsidTr="0058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Pardubický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126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25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0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0</w:t>
            </w:r>
          </w:p>
        </w:tc>
      </w:tr>
      <w:tr w:rsidR="00F927F2" w:rsidRPr="00F927F2" w:rsidTr="0058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Kraj Vysočina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154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19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441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337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100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25</w:t>
            </w:r>
          </w:p>
        </w:tc>
      </w:tr>
      <w:tr w:rsidR="00F927F2" w:rsidRPr="00F927F2" w:rsidTr="0058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Jihomoravský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305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39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1 494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1 073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73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5</w:t>
            </w:r>
          </w:p>
        </w:tc>
      </w:tr>
      <w:tr w:rsidR="00F927F2" w:rsidRPr="00F927F2" w:rsidTr="0058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Olomoucký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14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41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1 300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1 050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295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240</w:t>
            </w:r>
          </w:p>
        </w:tc>
      </w:tr>
      <w:tr w:rsidR="00F927F2" w:rsidRPr="00F927F2" w:rsidTr="0058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Zlínský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 176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 39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 454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 261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 91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0</w:t>
            </w:r>
          </w:p>
        </w:tc>
      </w:tr>
      <w:tr w:rsidR="00F927F2" w:rsidRPr="00F927F2" w:rsidTr="0058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  <w:hideMark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Moravskoslezský kraj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15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56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1 075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931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150</w:t>
            </w:r>
          </w:p>
        </w:tc>
        <w:tc>
          <w:tcPr>
            <w:tcW w:w="0" w:type="auto"/>
            <w:noWrap/>
            <w:hideMark/>
          </w:tcPr>
          <w:p w:rsidR="00F927F2" w:rsidRPr="00F927F2" w:rsidRDefault="00F927F2" w:rsidP="005869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lang w:eastAsia="cs-CZ"/>
              </w:rPr>
            </w:pPr>
            <w:r w:rsidRPr="00F927F2">
              <w:rPr>
                <w:rFonts w:eastAsia="Times New Roman" w:cs="Arial"/>
                <w:sz w:val="16"/>
                <w:lang w:eastAsia="cs-CZ"/>
              </w:rPr>
              <w:t>74</w:t>
            </w:r>
          </w:p>
        </w:tc>
      </w:tr>
      <w:tr w:rsidR="00F927F2" w:rsidRPr="00F927F2" w:rsidTr="0058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8" w:type="dxa"/>
          </w:tcPr>
          <w:p w:rsidR="00F927F2" w:rsidRPr="00F927F2" w:rsidRDefault="00F927F2" w:rsidP="00586936">
            <w:pPr>
              <w:jc w:val="left"/>
              <w:rPr>
                <w:rFonts w:eastAsia="Times New Roman" w:cs="Arial"/>
                <w:color w:val="000000"/>
                <w:sz w:val="1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6"/>
                <w:lang w:eastAsia="cs-CZ"/>
              </w:rPr>
              <w:t>Celkem ČR</w:t>
            </w:r>
          </w:p>
        </w:tc>
        <w:tc>
          <w:tcPr>
            <w:tcW w:w="0" w:type="auto"/>
            <w:noWrap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6"/>
                <w:lang w:eastAsia="cs-CZ"/>
              </w:rPr>
            </w:pPr>
            <w:r w:rsidRPr="00F927F2">
              <w:rPr>
                <w:rFonts w:eastAsia="Times New Roman" w:cs="Arial"/>
                <w:b/>
                <w:sz w:val="16"/>
                <w:lang w:eastAsia="cs-CZ"/>
              </w:rPr>
              <w:t>1 415</w:t>
            </w:r>
          </w:p>
        </w:tc>
        <w:tc>
          <w:tcPr>
            <w:tcW w:w="0" w:type="auto"/>
            <w:noWrap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6"/>
                <w:lang w:eastAsia="cs-CZ"/>
              </w:rPr>
            </w:pPr>
            <w:r w:rsidRPr="00F927F2">
              <w:rPr>
                <w:rFonts w:eastAsia="Times New Roman" w:cs="Arial"/>
                <w:b/>
                <w:sz w:val="16"/>
                <w:lang w:eastAsia="cs-CZ"/>
              </w:rPr>
              <w:t>647</w:t>
            </w:r>
          </w:p>
        </w:tc>
        <w:tc>
          <w:tcPr>
            <w:tcW w:w="0" w:type="auto"/>
            <w:noWrap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6"/>
                <w:lang w:eastAsia="cs-CZ"/>
              </w:rPr>
            </w:pPr>
            <w:r w:rsidRPr="00F927F2">
              <w:rPr>
                <w:rFonts w:eastAsia="Times New Roman" w:cs="Arial"/>
                <w:b/>
                <w:sz w:val="16"/>
                <w:lang w:eastAsia="cs-CZ"/>
              </w:rPr>
              <w:t>11 903</w:t>
            </w:r>
          </w:p>
        </w:tc>
        <w:tc>
          <w:tcPr>
            <w:tcW w:w="0" w:type="auto"/>
            <w:noWrap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6"/>
                <w:lang w:eastAsia="cs-CZ"/>
              </w:rPr>
            </w:pPr>
            <w:r w:rsidRPr="00F927F2">
              <w:rPr>
                <w:rFonts w:eastAsia="Times New Roman" w:cs="Arial"/>
                <w:b/>
                <w:sz w:val="16"/>
                <w:lang w:eastAsia="cs-CZ"/>
              </w:rPr>
              <w:t>9 189</w:t>
            </w:r>
          </w:p>
        </w:tc>
        <w:tc>
          <w:tcPr>
            <w:tcW w:w="0" w:type="auto"/>
            <w:noWrap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6"/>
                <w:lang w:eastAsia="cs-CZ"/>
              </w:rPr>
            </w:pPr>
            <w:r w:rsidRPr="00F927F2">
              <w:rPr>
                <w:rFonts w:eastAsia="Times New Roman" w:cs="Arial"/>
                <w:b/>
                <w:sz w:val="16"/>
                <w:lang w:eastAsia="cs-CZ"/>
              </w:rPr>
              <w:t>2 283</w:t>
            </w:r>
          </w:p>
        </w:tc>
        <w:tc>
          <w:tcPr>
            <w:tcW w:w="0" w:type="auto"/>
            <w:noWrap/>
          </w:tcPr>
          <w:p w:rsidR="00F927F2" w:rsidRPr="00F927F2" w:rsidRDefault="00F927F2" w:rsidP="005869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6"/>
                <w:lang w:eastAsia="cs-CZ"/>
              </w:rPr>
            </w:pPr>
            <w:r w:rsidRPr="00F927F2">
              <w:rPr>
                <w:rFonts w:eastAsia="Times New Roman" w:cs="Arial"/>
                <w:b/>
                <w:sz w:val="16"/>
                <w:lang w:eastAsia="cs-CZ"/>
              </w:rPr>
              <w:t>889</w:t>
            </w:r>
          </w:p>
        </w:tc>
      </w:tr>
    </w:tbl>
    <w:p w:rsidR="00F927F2" w:rsidRPr="00F927F2" w:rsidRDefault="00F927F2" w:rsidP="00F927F2">
      <w:pPr>
        <w:spacing w:after="200" w:line="240" w:lineRule="auto"/>
        <w:jc w:val="left"/>
        <w:rPr>
          <w:rFonts w:cs="Arial"/>
          <w:b/>
          <w:sz w:val="18"/>
          <w:szCs w:val="18"/>
        </w:rPr>
      </w:pPr>
    </w:p>
    <w:p w:rsidR="00D06C61" w:rsidRDefault="00D06C61" w:rsidP="00CD2D54">
      <w:pPr>
        <w:spacing w:after="200"/>
        <w:jc w:val="left"/>
        <w:rPr>
          <w:rFonts w:asciiTheme="minorHAnsi" w:hAnsiTheme="minorHAnsi"/>
          <w:sz w:val="22"/>
        </w:rPr>
      </w:pPr>
    </w:p>
    <w:p w:rsidR="00CD2D54" w:rsidRPr="00615C70" w:rsidRDefault="00CD2D54" w:rsidP="00CD2D54">
      <w:pPr>
        <w:spacing w:after="200"/>
        <w:jc w:val="left"/>
        <w:rPr>
          <w:rFonts w:asciiTheme="minorHAnsi" w:hAnsiTheme="minorHAnsi"/>
          <w:sz w:val="22"/>
        </w:rPr>
      </w:pPr>
      <w:r w:rsidRPr="00615C70">
        <w:rPr>
          <w:rFonts w:asciiTheme="minorHAnsi" w:hAnsiTheme="minorHAnsi"/>
          <w:sz w:val="22"/>
        </w:rPr>
        <w:t>Graf zobrazuje počty realizovaných předvýběrových a výběrových řízení v jednotlivých krajích ve II. čtvrtletí roku 2016.</w:t>
      </w:r>
    </w:p>
    <w:p w:rsidR="00F927F2" w:rsidRDefault="00F927F2" w:rsidP="00F927F2">
      <w:pPr>
        <w:spacing w:after="200" w:line="240" w:lineRule="auto"/>
        <w:rPr>
          <w:b/>
          <w:u w:val="single"/>
        </w:rPr>
      </w:pPr>
      <w:r>
        <w:rPr>
          <w:noProof/>
          <w:lang w:eastAsia="cs-CZ"/>
        </w:rPr>
        <w:lastRenderedPageBreak/>
        <w:drawing>
          <wp:inline distT="0" distB="0" distL="0" distR="0" wp14:anchorId="0539690B" wp14:editId="067F7017">
            <wp:extent cx="6048375" cy="3762375"/>
            <wp:effectExtent l="0" t="0" r="9525" b="9525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15C70" w:rsidRDefault="00F927F2" w:rsidP="00960B45">
      <w:pPr>
        <w:spacing w:line="240" w:lineRule="auto"/>
        <w:rPr>
          <w:rFonts w:cs="Arial"/>
          <w:szCs w:val="24"/>
        </w:rPr>
      </w:pPr>
      <w:r w:rsidRPr="00615C70">
        <w:rPr>
          <w:rFonts w:cs="Arial"/>
          <w:b/>
          <w:szCs w:val="24"/>
        </w:rPr>
        <w:t xml:space="preserve">Ke zvýšení zaměstnanosti </w:t>
      </w:r>
      <w:r w:rsidR="00615C70" w:rsidRPr="00615C70">
        <w:rPr>
          <w:rFonts w:cs="Arial"/>
          <w:b/>
          <w:szCs w:val="24"/>
        </w:rPr>
        <w:t>uchazečů o zaměstnání</w:t>
      </w:r>
      <w:r w:rsidRPr="00615C70">
        <w:rPr>
          <w:rFonts w:cs="Arial"/>
          <w:b/>
          <w:szCs w:val="24"/>
        </w:rPr>
        <w:t xml:space="preserve"> pobírajících nepojistné sociální dávky zejména pak dávky pomoci v hmotné</w:t>
      </w:r>
      <w:r w:rsidRPr="00615C70">
        <w:rPr>
          <w:rFonts w:cs="Arial"/>
          <w:szCs w:val="24"/>
        </w:rPr>
        <w:t xml:space="preserve"> </w:t>
      </w:r>
      <w:r w:rsidRPr="00960B45">
        <w:rPr>
          <w:rFonts w:cs="Arial"/>
          <w:b/>
          <w:szCs w:val="24"/>
        </w:rPr>
        <w:t>nouzi</w:t>
      </w:r>
      <w:r w:rsidRPr="00615C70">
        <w:rPr>
          <w:rFonts w:cs="Arial"/>
          <w:szCs w:val="24"/>
        </w:rPr>
        <w:t xml:space="preserve"> přispělo zintenzivnění spolupráce útvarů zaměstnanosti a nepojistných sociálních dávek UP ČR. Její nastavení se stalo koordinované a cíleně zaměřené. </w:t>
      </w:r>
      <w:r w:rsidRPr="00960B45">
        <w:rPr>
          <w:rFonts w:cs="Arial"/>
          <w:b/>
          <w:szCs w:val="24"/>
        </w:rPr>
        <w:t xml:space="preserve">Účelem intenzivní práce s uvedenými </w:t>
      </w:r>
      <w:r w:rsidR="00615C70" w:rsidRPr="00960B45">
        <w:rPr>
          <w:rFonts w:cs="Arial"/>
          <w:b/>
          <w:szCs w:val="24"/>
        </w:rPr>
        <w:t>uchazeč</w:t>
      </w:r>
      <w:r w:rsidR="006D0E38">
        <w:rPr>
          <w:rFonts w:cs="Arial"/>
          <w:b/>
          <w:szCs w:val="24"/>
        </w:rPr>
        <w:t>i</w:t>
      </w:r>
      <w:r w:rsidR="00615C70" w:rsidRPr="00960B45">
        <w:rPr>
          <w:rFonts w:cs="Arial"/>
          <w:b/>
          <w:szCs w:val="24"/>
        </w:rPr>
        <w:t xml:space="preserve"> o zaměstnání</w:t>
      </w:r>
      <w:r w:rsidRPr="00960B45">
        <w:rPr>
          <w:rFonts w:cs="Arial"/>
          <w:b/>
          <w:szCs w:val="24"/>
        </w:rPr>
        <w:t xml:space="preserve"> je nabídnout jim vhodné aktivity, zejména poradenské činnosti a rekvalifikace, které zvýší jejich možnost uplatnění na trhu práce, a to i za pomoci </w:t>
      </w:r>
      <w:r w:rsidR="00615C70" w:rsidRPr="00960B45">
        <w:rPr>
          <w:rFonts w:cs="Arial"/>
          <w:b/>
          <w:szCs w:val="24"/>
        </w:rPr>
        <w:t>aktivní politiky zaměstnanosti</w:t>
      </w:r>
      <w:r w:rsidR="00D06C61">
        <w:rPr>
          <w:rFonts w:cs="Arial"/>
          <w:b/>
          <w:szCs w:val="24"/>
        </w:rPr>
        <w:t xml:space="preserve"> (APZ)</w:t>
      </w:r>
      <w:r w:rsidRPr="00960B45">
        <w:rPr>
          <w:rFonts w:cs="Arial"/>
          <w:b/>
          <w:szCs w:val="24"/>
        </w:rPr>
        <w:t>.</w:t>
      </w:r>
      <w:r w:rsidRPr="00615C70">
        <w:rPr>
          <w:rFonts w:cs="Arial"/>
          <w:szCs w:val="24"/>
        </w:rPr>
        <w:t xml:space="preserve"> </w:t>
      </w:r>
    </w:p>
    <w:p w:rsidR="00B157B2" w:rsidRPr="00615C70" w:rsidRDefault="00B157B2" w:rsidP="00960B45">
      <w:pPr>
        <w:spacing w:line="240" w:lineRule="auto"/>
        <w:rPr>
          <w:rFonts w:cs="Arial"/>
          <w:szCs w:val="24"/>
        </w:rPr>
      </w:pPr>
    </w:p>
    <w:p w:rsidR="00F927F2" w:rsidRDefault="00F927F2" w:rsidP="00960B45">
      <w:pPr>
        <w:spacing w:line="240" w:lineRule="auto"/>
        <w:rPr>
          <w:rFonts w:cs="Arial"/>
          <w:szCs w:val="24"/>
        </w:rPr>
      </w:pPr>
      <w:r w:rsidRPr="00615C70">
        <w:rPr>
          <w:rFonts w:cs="Arial"/>
          <w:szCs w:val="24"/>
        </w:rPr>
        <w:t xml:space="preserve">Do výběru jsou zařazováni zejména </w:t>
      </w:r>
      <w:r w:rsidR="00615C70">
        <w:rPr>
          <w:rFonts w:cs="Arial"/>
          <w:szCs w:val="24"/>
        </w:rPr>
        <w:t>uchazeči o zaměstnání</w:t>
      </w:r>
      <w:r w:rsidRPr="00615C70">
        <w:rPr>
          <w:rFonts w:cs="Arial"/>
          <w:szCs w:val="24"/>
        </w:rPr>
        <w:t xml:space="preserve"> pobírající dávky pomoci v hmotné nouzi ohrožení dlouhodobou nezaměstnaností, ztrátou pracovních návyků a </w:t>
      </w:r>
      <w:r w:rsidR="00EA1EB0">
        <w:rPr>
          <w:rFonts w:cs="Arial"/>
          <w:szCs w:val="24"/>
        </w:rPr>
        <w:t>uchazeči o zaměstnání,</w:t>
      </w:r>
      <w:r w:rsidRPr="00615C70">
        <w:rPr>
          <w:rFonts w:cs="Arial"/>
          <w:szCs w:val="24"/>
        </w:rPr>
        <w:t xml:space="preserve"> u kterých mohou vznikat pochybnosti o výši jimi přiznávaných příjmů pro účely posouzení nároku na</w:t>
      </w:r>
      <w:r w:rsidR="00EB1BB2">
        <w:rPr>
          <w:rFonts w:cs="Arial"/>
          <w:szCs w:val="24"/>
        </w:rPr>
        <w:t xml:space="preserve"> dávky pomoci v hmotné nouzi, s </w:t>
      </w:r>
      <w:r w:rsidRPr="00615C70">
        <w:rPr>
          <w:rFonts w:cs="Arial"/>
          <w:szCs w:val="24"/>
        </w:rPr>
        <w:t>předpokladem jejich možné zaměstnatelnosti.</w:t>
      </w:r>
    </w:p>
    <w:p w:rsidR="00B157B2" w:rsidRPr="00615C70" w:rsidRDefault="00B157B2" w:rsidP="00960B45">
      <w:pPr>
        <w:spacing w:line="240" w:lineRule="auto"/>
        <w:rPr>
          <w:rFonts w:cs="Arial"/>
          <w:szCs w:val="24"/>
        </w:rPr>
      </w:pPr>
    </w:p>
    <w:p w:rsidR="00F927F2" w:rsidRDefault="00F927F2" w:rsidP="00960B45">
      <w:pPr>
        <w:spacing w:line="240" w:lineRule="auto"/>
        <w:rPr>
          <w:rFonts w:cs="Arial"/>
          <w:b/>
          <w:szCs w:val="24"/>
        </w:rPr>
      </w:pPr>
      <w:r w:rsidRPr="00EA1EB0">
        <w:rPr>
          <w:rFonts w:cs="Arial"/>
          <w:szCs w:val="24"/>
        </w:rPr>
        <w:t xml:space="preserve">Ve 2. čtvrtletí roku 2016 se počet </w:t>
      </w:r>
      <w:r w:rsidR="00EA1EB0">
        <w:rPr>
          <w:rFonts w:cs="Arial"/>
          <w:szCs w:val="24"/>
        </w:rPr>
        <w:t>uchazečů o zaměstnání</w:t>
      </w:r>
      <w:r w:rsidRPr="00EA1EB0">
        <w:rPr>
          <w:rFonts w:cs="Arial"/>
          <w:szCs w:val="24"/>
        </w:rPr>
        <w:t xml:space="preserve"> pobírajících alespoň jeden den v měsíci dávky pomoci hmotné nouzi </w:t>
      </w:r>
      <w:r w:rsidRPr="00960B45">
        <w:rPr>
          <w:rFonts w:cs="Arial"/>
          <w:b/>
          <w:szCs w:val="24"/>
        </w:rPr>
        <w:t>pohyboval v průměru kolem 100 tis.</w:t>
      </w:r>
      <w:r w:rsidRPr="00EA1EB0">
        <w:rPr>
          <w:rFonts w:cs="Arial"/>
          <w:szCs w:val="24"/>
        </w:rPr>
        <w:t xml:space="preserve"> </w:t>
      </w:r>
      <w:r w:rsidR="00EA1EB0">
        <w:rPr>
          <w:rFonts w:cs="Arial"/>
          <w:szCs w:val="24"/>
        </w:rPr>
        <w:br/>
      </w:r>
      <w:r w:rsidRPr="00960B45">
        <w:rPr>
          <w:rFonts w:cs="Arial"/>
          <w:b/>
          <w:szCs w:val="24"/>
        </w:rPr>
        <w:t xml:space="preserve">Ve 2. pololetí roku 2016 proto </w:t>
      </w:r>
      <w:r w:rsidR="00EA1EB0" w:rsidRPr="00960B45">
        <w:rPr>
          <w:rFonts w:cs="Arial"/>
          <w:b/>
          <w:szCs w:val="24"/>
        </w:rPr>
        <w:t>bude</w:t>
      </w:r>
      <w:r w:rsidRPr="00960B45">
        <w:rPr>
          <w:rFonts w:cs="Arial"/>
          <w:b/>
          <w:szCs w:val="24"/>
        </w:rPr>
        <w:t xml:space="preserve"> intenzit</w:t>
      </w:r>
      <w:r w:rsidR="00EB1BB2">
        <w:rPr>
          <w:rFonts w:cs="Arial"/>
          <w:b/>
          <w:szCs w:val="24"/>
        </w:rPr>
        <w:t>a spolupráce dále prohloubena a </w:t>
      </w:r>
      <w:r w:rsidRPr="00960B45">
        <w:rPr>
          <w:rFonts w:cs="Arial"/>
          <w:b/>
          <w:szCs w:val="24"/>
        </w:rPr>
        <w:t xml:space="preserve">počet </w:t>
      </w:r>
      <w:r w:rsidR="00EA1EB0" w:rsidRPr="00960B45">
        <w:rPr>
          <w:rFonts w:cs="Arial"/>
          <w:b/>
          <w:szCs w:val="24"/>
        </w:rPr>
        <w:t>uchazečů o zaměstnání</w:t>
      </w:r>
      <w:r w:rsidRPr="00960B45">
        <w:rPr>
          <w:rFonts w:cs="Arial"/>
          <w:b/>
          <w:szCs w:val="24"/>
        </w:rPr>
        <w:t xml:space="preserve"> pobírajících</w:t>
      </w:r>
      <w:r w:rsidR="00EB1BB2">
        <w:rPr>
          <w:rFonts w:cs="Arial"/>
          <w:b/>
          <w:szCs w:val="24"/>
        </w:rPr>
        <w:t xml:space="preserve"> dávky </w:t>
      </w:r>
      <w:r w:rsidR="00D06C61">
        <w:rPr>
          <w:rFonts w:cs="Arial"/>
          <w:b/>
          <w:szCs w:val="24"/>
        </w:rPr>
        <w:t xml:space="preserve">pomoci v </w:t>
      </w:r>
      <w:r w:rsidR="00EB1BB2">
        <w:rPr>
          <w:rFonts w:cs="Arial"/>
          <w:b/>
          <w:szCs w:val="24"/>
        </w:rPr>
        <w:t>hmotné nouz</w:t>
      </w:r>
      <w:r w:rsidR="00D06C61">
        <w:rPr>
          <w:rFonts w:cs="Arial"/>
          <w:b/>
          <w:szCs w:val="24"/>
        </w:rPr>
        <w:t>i</w:t>
      </w:r>
      <w:r w:rsidR="00EB1BB2">
        <w:rPr>
          <w:rFonts w:cs="Arial"/>
          <w:b/>
          <w:szCs w:val="24"/>
        </w:rPr>
        <w:t xml:space="preserve"> předaných k </w:t>
      </w:r>
      <w:r w:rsidRPr="00960B45">
        <w:rPr>
          <w:rFonts w:cs="Arial"/>
          <w:b/>
          <w:szCs w:val="24"/>
        </w:rPr>
        <w:t>intenzivní péči postupně zvyšován.</w:t>
      </w:r>
      <w:r w:rsidR="00EA1EB0" w:rsidRPr="00960B45">
        <w:rPr>
          <w:rFonts w:cs="Arial"/>
          <w:b/>
          <w:szCs w:val="24"/>
        </w:rPr>
        <w:t xml:space="preserve"> </w:t>
      </w:r>
    </w:p>
    <w:p w:rsidR="00B157B2" w:rsidRPr="00960B45" w:rsidRDefault="00B157B2" w:rsidP="00960B45">
      <w:pPr>
        <w:spacing w:line="240" w:lineRule="auto"/>
        <w:rPr>
          <w:rFonts w:cs="Arial"/>
          <w:b/>
          <w:szCs w:val="24"/>
        </w:rPr>
      </w:pPr>
    </w:p>
    <w:p w:rsidR="00F927F2" w:rsidRDefault="00F927F2" w:rsidP="00960B45">
      <w:pPr>
        <w:spacing w:line="240" w:lineRule="auto"/>
        <w:rPr>
          <w:rFonts w:cs="Arial"/>
          <w:szCs w:val="24"/>
        </w:rPr>
      </w:pPr>
      <w:r w:rsidRPr="00EA1EB0">
        <w:rPr>
          <w:rFonts w:cs="Arial"/>
          <w:szCs w:val="24"/>
        </w:rPr>
        <w:t xml:space="preserve">Níže uvedená tabulka zobrazuje vyhodnocení intenzivní spolupráce za období duben až srpen 2016. Z uvedených dat je patrné, že se touto spoluprací daří u vybraných </w:t>
      </w:r>
      <w:r w:rsidR="00EA1EB0">
        <w:rPr>
          <w:rFonts w:cs="Arial"/>
          <w:szCs w:val="24"/>
        </w:rPr>
        <w:t>uchazečů o zaměstnání</w:t>
      </w:r>
      <w:r w:rsidRPr="00EA1EB0">
        <w:rPr>
          <w:rFonts w:cs="Arial"/>
          <w:szCs w:val="24"/>
        </w:rPr>
        <w:t xml:space="preserve"> pobírajících dávky v hmotné nouzi tyto osoby aktivizovat na trhu práce. V prvním sloupci je uveden počet </w:t>
      </w:r>
      <w:r w:rsidR="00EA1EB0">
        <w:rPr>
          <w:rFonts w:cs="Arial"/>
          <w:szCs w:val="24"/>
        </w:rPr>
        <w:t>uchazečů o zaměstnání</w:t>
      </w:r>
      <w:r w:rsidRPr="00EA1EB0">
        <w:rPr>
          <w:rFonts w:cs="Arial"/>
          <w:szCs w:val="24"/>
        </w:rPr>
        <w:t xml:space="preserve"> pobírajících dávky </w:t>
      </w:r>
      <w:r w:rsidR="00D06C61">
        <w:rPr>
          <w:rFonts w:cs="Arial"/>
          <w:szCs w:val="24"/>
        </w:rPr>
        <w:t xml:space="preserve">pomoci v </w:t>
      </w:r>
      <w:r w:rsidRPr="00EA1EB0">
        <w:rPr>
          <w:rFonts w:cs="Arial"/>
          <w:szCs w:val="24"/>
        </w:rPr>
        <w:t>hmotné nouz</w:t>
      </w:r>
      <w:r w:rsidR="00D06C61">
        <w:rPr>
          <w:rFonts w:cs="Arial"/>
          <w:szCs w:val="24"/>
        </w:rPr>
        <w:t>i</w:t>
      </w:r>
      <w:r w:rsidRPr="00EA1EB0">
        <w:rPr>
          <w:rFonts w:cs="Arial"/>
          <w:szCs w:val="24"/>
        </w:rPr>
        <w:t xml:space="preserve">, kteří byli vytipováni pro intenzivní </w:t>
      </w:r>
      <w:r w:rsidR="00EA1EB0">
        <w:rPr>
          <w:rFonts w:cs="Arial"/>
          <w:szCs w:val="24"/>
        </w:rPr>
        <w:t>činnost</w:t>
      </w:r>
      <w:r w:rsidRPr="00EA1EB0">
        <w:rPr>
          <w:rFonts w:cs="Arial"/>
          <w:szCs w:val="24"/>
        </w:rPr>
        <w:t xml:space="preserve">. </w:t>
      </w:r>
    </w:p>
    <w:p w:rsidR="00F927F2" w:rsidRDefault="00F927F2" w:rsidP="00F927F2">
      <w:pPr>
        <w:spacing w:after="200" w:line="240" w:lineRule="auto"/>
        <w:rPr>
          <w:b/>
          <w:u w:val="single"/>
        </w:rPr>
      </w:pPr>
    </w:p>
    <w:tbl>
      <w:tblPr>
        <w:tblW w:w="8944" w:type="dxa"/>
        <w:jc w:val="center"/>
        <w:tblInd w:w="-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4"/>
        <w:gridCol w:w="933"/>
        <w:gridCol w:w="1250"/>
        <w:gridCol w:w="1163"/>
        <w:gridCol w:w="789"/>
        <w:gridCol w:w="946"/>
        <w:gridCol w:w="789"/>
        <w:gridCol w:w="1119"/>
        <w:gridCol w:w="1011"/>
      </w:tblGrid>
      <w:tr w:rsidR="00F927F2" w:rsidRPr="00F927F2" w:rsidTr="00960B45">
        <w:trPr>
          <w:trHeight w:val="832"/>
          <w:jc w:val="center"/>
        </w:trPr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36"/>
                <w:lang w:eastAsia="cs-CZ"/>
              </w:rPr>
            </w:pPr>
            <w:r w:rsidRPr="00F927F2">
              <w:rPr>
                <w:rFonts w:eastAsia="Times New Roman" w:cs="Arial"/>
                <w:color w:val="000000"/>
                <w:sz w:val="18"/>
                <w:szCs w:val="36"/>
                <w:lang w:eastAsia="cs-CZ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Ke konci měsíce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Nabídnuta Rekvalifikace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 xml:space="preserve">Nabídnuto vhodné </w:t>
            </w:r>
            <w:proofErr w:type="spellStart"/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zam</w:t>
            </w:r>
            <w:proofErr w:type="spellEnd"/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.</w:t>
            </w:r>
          </w:p>
        </w:tc>
        <w:tc>
          <w:tcPr>
            <w:tcW w:w="36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Ukončení evidence nástupem do zaměstnání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Sankce</w:t>
            </w:r>
          </w:p>
        </w:tc>
      </w:tr>
      <w:tr w:rsidR="00F927F2" w:rsidRPr="00F927F2" w:rsidTr="00960B45">
        <w:trPr>
          <w:trHeight w:val="832"/>
          <w:jc w:val="center"/>
        </w:trPr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left"/>
              <w:rPr>
                <w:rFonts w:eastAsia="Times New Roman" w:cs="Arial"/>
                <w:color w:val="000000"/>
                <w:sz w:val="18"/>
                <w:szCs w:val="36"/>
                <w:lang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Celkem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Umístěn ÚP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Z toho APZ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Ostatní</w:t>
            </w: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</w:p>
        </w:tc>
      </w:tr>
      <w:tr w:rsidR="00F927F2" w:rsidRPr="00F927F2" w:rsidTr="00960B45">
        <w:trPr>
          <w:trHeight w:val="832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4.16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7 530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158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2 034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877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662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563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215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272</w:t>
            </w:r>
          </w:p>
        </w:tc>
      </w:tr>
      <w:tr w:rsidR="00F927F2" w:rsidRPr="00F927F2" w:rsidTr="00960B45">
        <w:trPr>
          <w:trHeight w:val="832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5.16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7 567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1 909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803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573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441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230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389</w:t>
            </w:r>
          </w:p>
        </w:tc>
      </w:tr>
      <w:tr w:rsidR="00F927F2" w:rsidRPr="00F927F2" w:rsidTr="00960B45">
        <w:trPr>
          <w:trHeight w:val="832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6.16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7 425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91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1 678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524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350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206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174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367</w:t>
            </w:r>
          </w:p>
        </w:tc>
      </w:tr>
      <w:tr w:rsidR="00F927F2" w:rsidRPr="00F927F2" w:rsidTr="00960B45">
        <w:trPr>
          <w:trHeight w:val="832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7.16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7 520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63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1 164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351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208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143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254</w:t>
            </w:r>
          </w:p>
        </w:tc>
      </w:tr>
      <w:tr w:rsidR="00F927F2" w:rsidRPr="00F927F2" w:rsidTr="00960B45">
        <w:trPr>
          <w:trHeight w:val="832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24"/>
                <w:lang w:eastAsia="cs-CZ"/>
              </w:rPr>
              <w:t>8.16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7 523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1 357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419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241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178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EDF4"/>
            <w:vAlign w:val="center"/>
            <w:hideMark/>
          </w:tcPr>
          <w:p w:rsidR="00F927F2" w:rsidRPr="00F927F2" w:rsidRDefault="00F927F2" w:rsidP="00F927F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</w:pPr>
            <w:r w:rsidRPr="00F927F2">
              <w:rPr>
                <w:rFonts w:ascii="Calibri" w:eastAsia="Times New Roman" w:hAnsi="Calibri" w:cs="Times New Roman"/>
                <w:color w:val="000000"/>
                <w:sz w:val="18"/>
                <w:szCs w:val="24"/>
                <w:lang w:eastAsia="cs-CZ"/>
              </w:rPr>
              <w:t>270</w:t>
            </w:r>
          </w:p>
        </w:tc>
      </w:tr>
    </w:tbl>
    <w:p w:rsidR="00F927F2" w:rsidRDefault="00F927F2" w:rsidP="00F927F2">
      <w:pPr>
        <w:spacing w:after="200" w:line="240" w:lineRule="auto"/>
        <w:rPr>
          <w:b/>
          <w:u w:val="single"/>
        </w:rPr>
      </w:pPr>
    </w:p>
    <w:p w:rsidR="002A02CD" w:rsidRDefault="002A02CD" w:rsidP="00F927F2">
      <w:pPr>
        <w:spacing w:after="200" w:line="240" w:lineRule="auto"/>
        <w:rPr>
          <w:b/>
          <w:u w:val="single"/>
        </w:rPr>
      </w:pPr>
    </w:p>
    <w:p w:rsidR="008C50A0" w:rsidRDefault="008C50A0" w:rsidP="00F927F2">
      <w:pPr>
        <w:spacing w:after="200" w:line="240" w:lineRule="auto"/>
        <w:rPr>
          <w:b/>
          <w:u w:val="single"/>
        </w:rPr>
      </w:pPr>
    </w:p>
    <w:p w:rsidR="00F927F2" w:rsidRPr="005706BF" w:rsidRDefault="00F927F2" w:rsidP="004F7EFC">
      <w:pPr>
        <w:spacing w:line="240" w:lineRule="auto"/>
        <w:rPr>
          <w:rFonts w:cs="Arial"/>
          <w:b/>
          <w:szCs w:val="24"/>
        </w:rPr>
      </w:pPr>
      <w:r w:rsidRPr="005706BF">
        <w:rPr>
          <w:b/>
        </w:rPr>
        <w:t>2</w:t>
      </w:r>
      <w:r w:rsidR="004F7EFC">
        <w:rPr>
          <w:b/>
        </w:rPr>
        <w:t>.</w:t>
      </w:r>
      <w:r w:rsidRPr="005706BF">
        <w:rPr>
          <w:b/>
        </w:rPr>
        <w:t xml:space="preserve"> </w:t>
      </w:r>
      <w:r w:rsidRPr="005706BF">
        <w:rPr>
          <w:rFonts w:cs="Arial"/>
          <w:b/>
          <w:szCs w:val="24"/>
        </w:rPr>
        <w:t>Párování uchazečů o zaměstnání a volných pracovních míst</w:t>
      </w:r>
    </w:p>
    <w:p w:rsidR="00960B45" w:rsidRDefault="00960B45" w:rsidP="00960B45">
      <w:pPr>
        <w:spacing w:line="240" w:lineRule="auto"/>
        <w:rPr>
          <w:rFonts w:cs="Arial"/>
          <w:b/>
          <w:szCs w:val="24"/>
          <w:u w:val="single"/>
        </w:rPr>
      </w:pPr>
    </w:p>
    <w:p w:rsidR="00F927F2" w:rsidRDefault="00F927F2" w:rsidP="00960B45">
      <w:pPr>
        <w:spacing w:line="240" w:lineRule="auto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t>Popis opatření:</w:t>
      </w:r>
    </w:p>
    <w:p w:rsidR="00960B45" w:rsidRDefault="00960B45" w:rsidP="00960B45">
      <w:pPr>
        <w:spacing w:line="240" w:lineRule="auto"/>
        <w:rPr>
          <w:rFonts w:cs="Arial"/>
          <w:b/>
          <w:szCs w:val="24"/>
          <w:u w:val="single"/>
        </w:rPr>
      </w:pPr>
    </w:p>
    <w:p w:rsidR="00960B45" w:rsidRDefault="00F927F2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 xml:space="preserve">V rámci </w:t>
      </w:r>
      <w:r>
        <w:rPr>
          <w:rFonts w:cs="Arial"/>
          <w:szCs w:val="24"/>
        </w:rPr>
        <w:t>individuální práce s uchazeči o </w:t>
      </w:r>
      <w:r w:rsidRPr="00C605D8">
        <w:rPr>
          <w:rFonts w:cs="Arial"/>
          <w:szCs w:val="24"/>
        </w:rPr>
        <w:t xml:space="preserve">zaměstnání </w:t>
      </w:r>
      <w:r>
        <w:rPr>
          <w:rFonts w:cs="Arial"/>
          <w:szCs w:val="24"/>
        </w:rPr>
        <w:t>se nadále zaměřovat</w:t>
      </w:r>
      <w:r w:rsidRPr="00C605D8">
        <w:rPr>
          <w:rFonts w:cs="Arial"/>
          <w:szCs w:val="24"/>
        </w:rPr>
        <w:t xml:space="preserve"> na vydávání konkrétních doporučenek do </w:t>
      </w:r>
      <w:r w:rsidR="00383CD3">
        <w:rPr>
          <w:rFonts w:cs="Arial"/>
          <w:szCs w:val="24"/>
        </w:rPr>
        <w:t xml:space="preserve">konkrétních </w:t>
      </w:r>
      <w:r w:rsidRPr="00C605D8">
        <w:rPr>
          <w:rFonts w:cs="Arial"/>
          <w:szCs w:val="24"/>
        </w:rPr>
        <w:t xml:space="preserve">zaměstnání </w:t>
      </w:r>
      <w:r w:rsidR="00383CD3">
        <w:rPr>
          <w:rFonts w:cs="Arial"/>
          <w:szCs w:val="24"/>
        </w:rPr>
        <w:t>tzn.</w:t>
      </w:r>
      <w:r w:rsidRPr="00C605D8">
        <w:rPr>
          <w:rFonts w:cs="Arial"/>
          <w:szCs w:val="24"/>
        </w:rPr>
        <w:t xml:space="preserve"> kvalitní výběr vhodných uchazečů o zaměstnání, doporučovaných na hlášená </w:t>
      </w:r>
      <w:r w:rsidR="00CD2D54">
        <w:rPr>
          <w:rFonts w:cs="Arial"/>
          <w:szCs w:val="24"/>
        </w:rPr>
        <w:t>VPM</w:t>
      </w:r>
    </w:p>
    <w:p w:rsidR="00960B45" w:rsidRDefault="00960B45" w:rsidP="000C653B">
      <w:pPr>
        <w:spacing w:line="240" w:lineRule="auto"/>
        <w:rPr>
          <w:rFonts w:cs="Arial"/>
          <w:szCs w:val="24"/>
        </w:rPr>
      </w:pPr>
    </w:p>
    <w:p w:rsidR="00F927F2" w:rsidRDefault="00F927F2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 xml:space="preserve">Zde je </w:t>
      </w:r>
      <w:r w:rsidR="00383CD3">
        <w:rPr>
          <w:rFonts w:cs="Arial"/>
          <w:szCs w:val="24"/>
        </w:rPr>
        <w:t xml:space="preserve">také </w:t>
      </w:r>
      <w:r w:rsidRPr="00C605D8">
        <w:rPr>
          <w:rFonts w:cs="Arial"/>
          <w:szCs w:val="24"/>
        </w:rPr>
        <w:t>důležitá spolupráce ze strany zaměst</w:t>
      </w:r>
      <w:r>
        <w:rPr>
          <w:rFonts w:cs="Arial"/>
          <w:szCs w:val="24"/>
        </w:rPr>
        <w:softHyphen/>
      </w:r>
      <w:r w:rsidRPr="00C605D8">
        <w:rPr>
          <w:rFonts w:cs="Arial"/>
          <w:szCs w:val="24"/>
        </w:rPr>
        <w:t>navatelů spočívající v pečlivém vyplňování výsledku kontaktu uchazeče o zaměstnání se zaměstnavatelem, zejména pokud jde o zájem uchazeče o zaměstnání nastoupit do zprostředkovaného zaměstnání.</w:t>
      </w:r>
    </w:p>
    <w:p w:rsidR="00960B45" w:rsidRDefault="00960B45" w:rsidP="000C653B">
      <w:pPr>
        <w:spacing w:line="240" w:lineRule="auto"/>
        <w:rPr>
          <w:rFonts w:cs="Arial"/>
          <w:szCs w:val="24"/>
        </w:rPr>
      </w:pPr>
    </w:p>
    <w:p w:rsidR="00F927F2" w:rsidRDefault="00F927F2" w:rsidP="000C653B">
      <w:pPr>
        <w:spacing w:line="240" w:lineRule="auto"/>
        <w:rPr>
          <w:b/>
          <w:u w:val="single"/>
        </w:rPr>
      </w:pPr>
      <w:r>
        <w:rPr>
          <w:b/>
          <w:u w:val="single"/>
        </w:rPr>
        <w:t>Plnění opatření:</w:t>
      </w:r>
    </w:p>
    <w:p w:rsidR="00960B45" w:rsidRDefault="00960B45" w:rsidP="000C653B">
      <w:pPr>
        <w:spacing w:line="240" w:lineRule="auto"/>
        <w:rPr>
          <w:b/>
          <w:u w:val="single"/>
        </w:rPr>
      </w:pPr>
    </w:p>
    <w:p w:rsidR="00383CD3" w:rsidRDefault="00F927F2" w:rsidP="000C653B">
      <w:pPr>
        <w:spacing w:line="240" w:lineRule="auto"/>
        <w:rPr>
          <w:rFonts w:cs="Arial"/>
          <w:szCs w:val="24"/>
        </w:rPr>
      </w:pPr>
      <w:r w:rsidRPr="00383CD3">
        <w:rPr>
          <w:rFonts w:cs="Arial"/>
          <w:szCs w:val="24"/>
        </w:rPr>
        <w:t xml:space="preserve">Pro lepší slaďování poptávky a nabídky na trhu práce se zaměstnanci ÚP ČR zaměřují mimo jiné na </w:t>
      </w:r>
      <w:r w:rsidRPr="00960B45">
        <w:rPr>
          <w:rFonts w:cs="Arial"/>
          <w:b/>
          <w:szCs w:val="24"/>
        </w:rPr>
        <w:t>realizaci seminářů pro zaměstnavatel</w:t>
      </w:r>
      <w:r w:rsidR="00960B45">
        <w:rPr>
          <w:rFonts w:cs="Arial"/>
          <w:b/>
          <w:szCs w:val="24"/>
        </w:rPr>
        <w:t xml:space="preserve">e, představitele </w:t>
      </w:r>
      <w:r w:rsidR="00960B45" w:rsidRPr="00960B45">
        <w:rPr>
          <w:rFonts w:cs="Arial"/>
          <w:b/>
          <w:szCs w:val="24"/>
        </w:rPr>
        <w:t>obcí a měst, zástupce vzdělávacích zařízení</w:t>
      </w:r>
      <w:r w:rsidR="00BB4734">
        <w:rPr>
          <w:rFonts w:cs="Arial"/>
          <w:b/>
          <w:szCs w:val="24"/>
        </w:rPr>
        <w:t>.</w:t>
      </w:r>
    </w:p>
    <w:p w:rsidR="00960B45" w:rsidRPr="00383CD3" w:rsidRDefault="00960B45" w:rsidP="000C653B">
      <w:pPr>
        <w:spacing w:line="240" w:lineRule="auto"/>
        <w:rPr>
          <w:rFonts w:cs="Arial"/>
          <w:szCs w:val="24"/>
        </w:rPr>
      </w:pPr>
    </w:p>
    <w:p w:rsidR="00F927F2" w:rsidRDefault="00F927F2" w:rsidP="000C653B">
      <w:pPr>
        <w:spacing w:line="240" w:lineRule="auto"/>
        <w:rPr>
          <w:rFonts w:cs="Arial"/>
          <w:szCs w:val="24"/>
        </w:rPr>
      </w:pPr>
      <w:r w:rsidRPr="00960B45">
        <w:rPr>
          <w:rFonts w:cs="Arial"/>
          <w:b/>
          <w:szCs w:val="24"/>
        </w:rPr>
        <w:t xml:space="preserve">Ve </w:t>
      </w:r>
      <w:r w:rsidR="00D06C61">
        <w:rPr>
          <w:rFonts w:cs="Arial"/>
          <w:b/>
          <w:szCs w:val="24"/>
        </w:rPr>
        <w:t xml:space="preserve">2. </w:t>
      </w:r>
      <w:r w:rsidRPr="00960B45">
        <w:rPr>
          <w:rFonts w:cs="Arial"/>
          <w:b/>
          <w:szCs w:val="24"/>
        </w:rPr>
        <w:t xml:space="preserve">čtvrtletí </w:t>
      </w:r>
      <w:r w:rsidR="00D06C61">
        <w:rPr>
          <w:rFonts w:cs="Arial"/>
          <w:b/>
          <w:szCs w:val="24"/>
        </w:rPr>
        <w:t xml:space="preserve">roku </w:t>
      </w:r>
      <w:r w:rsidRPr="00960B45">
        <w:rPr>
          <w:rFonts w:cs="Arial"/>
          <w:b/>
          <w:szCs w:val="24"/>
        </w:rPr>
        <w:t xml:space="preserve">2016 bylo realizováno 19 </w:t>
      </w:r>
      <w:proofErr w:type="spellStart"/>
      <w:r w:rsidRPr="00960B45">
        <w:rPr>
          <w:rFonts w:cs="Arial"/>
          <w:b/>
          <w:szCs w:val="24"/>
        </w:rPr>
        <w:t>miniburz</w:t>
      </w:r>
      <w:proofErr w:type="spellEnd"/>
      <w:r w:rsidRPr="00960B45">
        <w:rPr>
          <w:rFonts w:cs="Arial"/>
          <w:b/>
          <w:szCs w:val="24"/>
        </w:rPr>
        <w:t xml:space="preserve"> a burz práce</w:t>
      </w:r>
      <w:r w:rsidRPr="00383CD3">
        <w:rPr>
          <w:rFonts w:cs="Arial"/>
          <w:szCs w:val="24"/>
        </w:rPr>
        <w:t xml:space="preserve">. Na </w:t>
      </w:r>
      <w:proofErr w:type="spellStart"/>
      <w:r w:rsidRPr="00383CD3">
        <w:rPr>
          <w:rFonts w:cs="Arial"/>
          <w:szCs w:val="24"/>
        </w:rPr>
        <w:t>miniburzy</w:t>
      </w:r>
      <w:proofErr w:type="spellEnd"/>
      <w:r w:rsidRPr="00383CD3">
        <w:rPr>
          <w:rFonts w:cs="Arial"/>
          <w:szCs w:val="24"/>
        </w:rPr>
        <w:t xml:space="preserve"> a burzy práce jsou zváni zaměstnavatelé, kteří projevili zájem o účast na podobných akcích, a především zaměstnavatelé vybraní na základě dlouhodobější spolupráce </w:t>
      </w:r>
      <w:r w:rsidR="00D06C61">
        <w:rPr>
          <w:rFonts w:cs="Arial"/>
          <w:szCs w:val="24"/>
        </w:rPr>
        <w:br/>
      </w:r>
      <w:r w:rsidRPr="00383CD3">
        <w:rPr>
          <w:rFonts w:cs="Arial"/>
          <w:szCs w:val="24"/>
        </w:rPr>
        <w:t xml:space="preserve">s ÚP ČR. </w:t>
      </w:r>
    </w:p>
    <w:p w:rsidR="00960B45" w:rsidRPr="00383CD3" w:rsidRDefault="00960B45" w:rsidP="000C653B">
      <w:pPr>
        <w:spacing w:line="240" w:lineRule="auto"/>
        <w:rPr>
          <w:rFonts w:cs="Arial"/>
          <w:szCs w:val="24"/>
        </w:rPr>
      </w:pPr>
    </w:p>
    <w:p w:rsidR="00BB4734" w:rsidRDefault="00383CD3" w:rsidP="000C653B">
      <w:pPr>
        <w:spacing w:line="240" w:lineRule="auto"/>
        <w:rPr>
          <w:rFonts w:cs="Arial"/>
          <w:szCs w:val="24"/>
        </w:rPr>
      </w:pPr>
      <w:r w:rsidRPr="00960B45">
        <w:rPr>
          <w:rFonts w:cs="Arial"/>
          <w:b/>
          <w:szCs w:val="24"/>
        </w:rPr>
        <w:t>ÚP ČR</w:t>
      </w:r>
      <w:r w:rsidR="00F927F2" w:rsidRPr="00960B45">
        <w:rPr>
          <w:rFonts w:cs="Arial"/>
          <w:b/>
          <w:szCs w:val="24"/>
        </w:rPr>
        <w:t xml:space="preserve"> </w:t>
      </w:r>
      <w:r w:rsidR="00960B45" w:rsidRPr="00960B45">
        <w:rPr>
          <w:rFonts w:cs="Arial"/>
          <w:b/>
          <w:szCs w:val="24"/>
        </w:rPr>
        <w:t xml:space="preserve">současně </w:t>
      </w:r>
      <w:r w:rsidR="00F927F2" w:rsidRPr="00960B45">
        <w:rPr>
          <w:rFonts w:cs="Arial"/>
          <w:b/>
          <w:szCs w:val="24"/>
        </w:rPr>
        <w:t>využív</w:t>
      </w:r>
      <w:r w:rsidRPr="00960B45">
        <w:rPr>
          <w:rFonts w:cs="Arial"/>
          <w:b/>
          <w:szCs w:val="24"/>
        </w:rPr>
        <w:t>á</w:t>
      </w:r>
      <w:r w:rsidR="00F927F2" w:rsidRPr="00960B45">
        <w:rPr>
          <w:rFonts w:cs="Arial"/>
          <w:b/>
          <w:szCs w:val="24"/>
        </w:rPr>
        <w:t xml:space="preserve"> databáze N</w:t>
      </w:r>
      <w:r w:rsidR="00D06C61">
        <w:rPr>
          <w:rFonts w:cs="Arial"/>
          <w:b/>
          <w:szCs w:val="24"/>
        </w:rPr>
        <w:t>árodní soustava povolání (NSK)</w:t>
      </w:r>
      <w:r w:rsidR="00F927F2" w:rsidRPr="00960B45">
        <w:rPr>
          <w:rFonts w:cs="Arial"/>
          <w:b/>
          <w:szCs w:val="24"/>
        </w:rPr>
        <w:t xml:space="preserve"> </w:t>
      </w:r>
      <w:r w:rsidR="00D06C61">
        <w:rPr>
          <w:rFonts w:cs="Arial"/>
          <w:b/>
          <w:szCs w:val="24"/>
        </w:rPr>
        <w:br/>
      </w:r>
      <w:r w:rsidR="00F927F2" w:rsidRPr="00960B45">
        <w:rPr>
          <w:rFonts w:cs="Arial"/>
          <w:b/>
          <w:szCs w:val="24"/>
        </w:rPr>
        <w:t>a N</w:t>
      </w:r>
      <w:r w:rsidR="00D06C61">
        <w:rPr>
          <w:rFonts w:cs="Arial"/>
          <w:b/>
          <w:szCs w:val="24"/>
        </w:rPr>
        <w:t>árodní soustava kvalifikací (</w:t>
      </w:r>
      <w:proofErr w:type="gramStart"/>
      <w:r w:rsidR="00D06C61">
        <w:rPr>
          <w:rFonts w:cs="Arial"/>
          <w:b/>
          <w:szCs w:val="24"/>
        </w:rPr>
        <w:t>NSK)</w:t>
      </w:r>
      <w:r w:rsidR="00F927F2" w:rsidRPr="00383CD3">
        <w:rPr>
          <w:rFonts w:cs="Arial"/>
          <w:szCs w:val="24"/>
        </w:rPr>
        <w:t xml:space="preserve"> (</w:t>
      </w:r>
      <w:r w:rsidRPr="00383CD3">
        <w:rPr>
          <w:rFonts w:cs="Arial"/>
          <w:szCs w:val="24"/>
        </w:rPr>
        <w:t>jejich</w:t>
      </w:r>
      <w:proofErr w:type="gramEnd"/>
      <w:r w:rsidRPr="00383CD3">
        <w:rPr>
          <w:rFonts w:cs="Arial"/>
          <w:szCs w:val="24"/>
        </w:rPr>
        <w:t xml:space="preserve"> </w:t>
      </w:r>
      <w:r w:rsidR="00F927F2" w:rsidRPr="00383CD3">
        <w:rPr>
          <w:rFonts w:cs="Arial"/>
          <w:szCs w:val="24"/>
        </w:rPr>
        <w:t xml:space="preserve">využití závisí zejména na tom, jak je charakterizován požadavek zaměstnavatele na </w:t>
      </w:r>
      <w:r w:rsidR="00D06C61">
        <w:rPr>
          <w:rFonts w:cs="Arial"/>
          <w:szCs w:val="24"/>
        </w:rPr>
        <w:t>VPM</w:t>
      </w:r>
      <w:r w:rsidR="00F927F2" w:rsidRPr="00383CD3">
        <w:rPr>
          <w:rFonts w:cs="Arial"/>
          <w:szCs w:val="24"/>
        </w:rPr>
        <w:t>).</w:t>
      </w:r>
    </w:p>
    <w:p w:rsidR="00BB4734" w:rsidRDefault="00BB4734" w:rsidP="000C653B">
      <w:pPr>
        <w:spacing w:line="240" w:lineRule="auto"/>
        <w:rPr>
          <w:rFonts w:cs="Arial"/>
          <w:szCs w:val="24"/>
        </w:rPr>
      </w:pPr>
    </w:p>
    <w:p w:rsidR="00F927F2" w:rsidRDefault="00F927F2" w:rsidP="000C653B">
      <w:pPr>
        <w:spacing w:line="240" w:lineRule="auto"/>
        <w:rPr>
          <w:rFonts w:cs="Arial"/>
          <w:szCs w:val="24"/>
        </w:rPr>
      </w:pPr>
      <w:r w:rsidRPr="00383CD3">
        <w:rPr>
          <w:rFonts w:cs="Arial"/>
          <w:szCs w:val="24"/>
        </w:rPr>
        <w:t xml:space="preserve">Zejména široká databáze NSP prvotně slouží jako zdroj informací pro zaměstnavatele, kteří hlásí </w:t>
      </w:r>
      <w:r w:rsidR="00960B45">
        <w:rPr>
          <w:rFonts w:cs="Arial"/>
          <w:szCs w:val="24"/>
        </w:rPr>
        <w:t>VPM</w:t>
      </w:r>
      <w:r w:rsidRPr="00383CD3">
        <w:rPr>
          <w:rFonts w:cs="Arial"/>
          <w:szCs w:val="24"/>
        </w:rPr>
        <w:t xml:space="preserve">, dále slouží v případě potřeby zprostředkovatelům, aby se zorientovali v požadavcích na VPM a správně vybrali vhodné </w:t>
      </w:r>
      <w:r w:rsidR="00EB1BB2">
        <w:rPr>
          <w:rFonts w:cs="Arial"/>
          <w:szCs w:val="24"/>
        </w:rPr>
        <w:t>uchazeče o </w:t>
      </w:r>
      <w:r w:rsidR="00383CD3" w:rsidRPr="00383CD3">
        <w:rPr>
          <w:rFonts w:cs="Arial"/>
          <w:szCs w:val="24"/>
        </w:rPr>
        <w:t>zaměstnání</w:t>
      </w:r>
      <w:r w:rsidRPr="00383CD3">
        <w:rPr>
          <w:rFonts w:cs="Arial"/>
          <w:szCs w:val="24"/>
        </w:rPr>
        <w:t xml:space="preserve">. V neposlední řadě slouží </w:t>
      </w:r>
      <w:r w:rsidR="00960B45">
        <w:rPr>
          <w:rFonts w:cs="Arial"/>
          <w:szCs w:val="24"/>
        </w:rPr>
        <w:t>uchazečům o zaměstnání</w:t>
      </w:r>
      <w:r w:rsidRPr="00383CD3">
        <w:rPr>
          <w:rFonts w:cs="Arial"/>
          <w:szCs w:val="24"/>
        </w:rPr>
        <w:t xml:space="preserve"> pro lepší představu, jaké jsou na VPM kladeny požadavky (informace o kvalifikačních, osobnostních, zdravotních a pracovních podmínkách, o průměrné mzdě).</w:t>
      </w:r>
    </w:p>
    <w:p w:rsidR="00960B45" w:rsidRPr="00383CD3" w:rsidRDefault="00960B45" w:rsidP="000C653B">
      <w:pPr>
        <w:spacing w:line="240" w:lineRule="auto"/>
        <w:rPr>
          <w:rFonts w:cs="Arial"/>
          <w:szCs w:val="24"/>
        </w:rPr>
      </w:pPr>
    </w:p>
    <w:p w:rsidR="00383CD3" w:rsidRDefault="00F927F2" w:rsidP="000C653B">
      <w:pPr>
        <w:spacing w:line="240" w:lineRule="auto"/>
        <w:rPr>
          <w:rFonts w:cs="Arial"/>
          <w:szCs w:val="24"/>
        </w:rPr>
      </w:pPr>
      <w:r w:rsidRPr="00383CD3">
        <w:rPr>
          <w:rFonts w:cs="Arial"/>
          <w:szCs w:val="24"/>
        </w:rPr>
        <w:t>Využívání NSK umožňuje zájemcům získat celostátně uznávané osvědčení o jejich profesní kvalifikaci, aniž by museli dlouhou dobu studovat.</w:t>
      </w:r>
    </w:p>
    <w:p w:rsidR="00960B45" w:rsidRPr="00383CD3" w:rsidRDefault="00960B45" w:rsidP="000C653B">
      <w:pPr>
        <w:spacing w:line="240" w:lineRule="auto"/>
        <w:rPr>
          <w:rFonts w:cs="Arial"/>
          <w:szCs w:val="24"/>
        </w:rPr>
      </w:pPr>
    </w:p>
    <w:p w:rsidR="00F927F2" w:rsidRPr="005706BF" w:rsidRDefault="00F927F2" w:rsidP="004F7EFC">
      <w:pPr>
        <w:spacing w:line="240" w:lineRule="auto"/>
        <w:rPr>
          <w:rFonts w:cs="Arial"/>
          <w:b/>
          <w:szCs w:val="24"/>
        </w:rPr>
      </w:pPr>
      <w:r w:rsidRPr="005706BF">
        <w:rPr>
          <w:b/>
        </w:rPr>
        <w:t xml:space="preserve">3. </w:t>
      </w:r>
      <w:r w:rsidRPr="005706BF">
        <w:rPr>
          <w:rFonts w:cs="Arial"/>
          <w:b/>
          <w:szCs w:val="24"/>
        </w:rPr>
        <w:t>Příspěvek na podporu regionální mobility</w:t>
      </w:r>
    </w:p>
    <w:p w:rsidR="0069278C" w:rsidRPr="000C653B" w:rsidRDefault="0069278C" w:rsidP="000C653B">
      <w:pPr>
        <w:spacing w:line="240" w:lineRule="auto"/>
        <w:rPr>
          <w:rFonts w:cs="Arial"/>
          <w:b/>
          <w:i/>
          <w:szCs w:val="24"/>
          <w:u w:val="single"/>
        </w:rPr>
      </w:pPr>
    </w:p>
    <w:p w:rsidR="00D40D54" w:rsidRDefault="00D40D54" w:rsidP="000C653B">
      <w:pPr>
        <w:spacing w:line="240" w:lineRule="auto"/>
        <w:rPr>
          <w:rFonts w:cs="Arial"/>
          <w:b/>
          <w:szCs w:val="24"/>
          <w:u w:val="single"/>
        </w:rPr>
      </w:pPr>
      <w:r w:rsidRPr="00D40D54">
        <w:rPr>
          <w:rFonts w:cs="Arial"/>
          <w:b/>
          <w:szCs w:val="24"/>
          <w:u w:val="single"/>
        </w:rPr>
        <w:t>Popis opatření</w:t>
      </w:r>
      <w:r>
        <w:rPr>
          <w:rFonts w:cs="Arial"/>
          <w:b/>
          <w:szCs w:val="24"/>
          <w:u w:val="single"/>
        </w:rPr>
        <w:t>:</w:t>
      </w:r>
    </w:p>
    <w:p w:rsidR="0069278C" w:rsidRDefault="0069278C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D40D54" w:rsidRDefault="00D40D54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>V souladu s Akčním plánem vlády na podporu hospodářskéh</w:t>
      </w:r>
      <w:r w:rsidR="00383CD3">
        <w:rPr>
          <w:rFonts w:cs="Arial"/>
          <w:szCs w:val="24"/>
        </w:rPr>
        <w:t>o růstu a zaměstnanosti připrav</w:t>
      </w:r>
      <w:r w:rsidR="0069278C">
        <w:rPr>
          <w:rFonts w:cs="Arial"/>
          <w:szCs w:val="24"/>
        </w:rPr>
        <w:t>ilo M</w:t>
      </w:r>
      <w:r w:rsidR="00D06C61">
        <w:rPr>
          <w:rFonts w:cs="Arial"/>
          <w:szCs w:val="24"/>
        </w:rPr>
        <w:t>inisterstvo práce a sociálních věcí (M</w:t>
      </w:r>
      <w:r w:rsidR="0069278C">
        <w:rPr>
          <w:rFonts w:cs="Arial"/>
          <w:szCs w:val="24"/>
        </w:rPr>
        <w:t>PSV</w:t>
      </w:r>
      <w:r w:rsidR="00D06C61">
        <w:rPr>
          <w:rFonts w:cs="Arial"/>
          <w:szCs w:val="24"/>
        </w:rPr>
        <w:t>)</w:t>
      </w:r>
      <w:r w:rsidRPr="00C605D8">
        <w:rPr>
          <w:rFonts w:cs="Arial"/>
          <w:szCs w:val="24"/>
        </w:rPr>
        <w:t xml:space="preserve"> návrh nového nástroje </w:t>
      </w:r>
      <w:r w:rsidR="00D06C61">
        <w:rPr>
          <w:rFonts w:cs="Arial"/>
          <w:szCs w:val="24"/>
        </w:rPr>
        <w:t>APZ</w:t>
      </w:r>
      <w:r w:rsidRPr="00C605D8">
        <w:rPr>
          <w:rFonts w:cs="Arial"/>
          <w:szCs w:val="24"/>
        </w:rPr>
        <w:t xml:space="preserve"> a jeho pilotní ověření.</w:t>
      </w:r>
    </w:p>
    <w:p w:rsidR="0069278C" w:rsidRPr="00C605D8" w:rsidRDefault="0069278C" w:rsidP="000C653B">
      <w:pPr>
        <w:spacing w:line="240" w:lineRule="auto"/>
        <w:rPr>
          <w:rFonts w:cs="Arial"/>
          <w:szCs w:val="24"/>
        </w:rPr>
      </w:pPr>
    </w:p>
    <w:p w:rsidR="00D40D54" w:rsidRDefault="00D40D54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 xml:space="preserve">Uchazečům o zaměstnání, kteří si naleznou pracovní uplatnění mimo místo svého bydliště, </w:t>
      </w:r>
      <w:r w:rsidR="00383CD3">
        <w:rPr>
          <w:rFonts w:cs="Arial"/>
          <w:szCs w:val="24"/>
        </w:rPr>
        <w:t>je</w:t>
      </w:r>
      <w:r w:rsidRPr="00C605D8">
        <w:rPr>
          <w:rFonts w:cs="Arial"/>
          <w:szCs w:val="24"/>
        </w:rPr>
        <w:t xml:space="preserve"> poskytován v závislosti na vzdálenosti dojížďky finanční příspěvek. Příspěvek </w:t>
      </w:r>
      <w:r w:rsidR="00383CD3">
        <w:rPr>
          <w:rFonts w:cs="Arial"/>
          <w:szCs w:val="24"/>
        </w:rPr>
        <w:t>je</w:t>
      </w:r>
      <w:r w:rsidRPr="00C605D8">
        <w:rPr>
          <w:rFonts w:cs="Arial"/>
          <w:szCs w:val="24"/>
        </w:rPr>
        <w:t xml:space="preserve"> paušální, podpořená osoba jej </w:t>
      </w:r>
      <w:r w:rsidR="00383CD3">
        <w:rPr>
          <w:rFonts w:cs="Arial"/>
          <w:szCs w:val="24"/>
        </w:rPr>
        <w:t>může</w:t>
      </w:r>
      <w:r w:rsidRPr="00C605D8">
        <w:rPr>
          <w:rFonts w:cs="Arial"/>
          <w:szCs w:val="24"/>
        </w:rPr>
        <w:t xml:space="preserve"> využít na úhradu jak nákladů za dopravu, tak dalších nákladů souvisejících s dojížďkou do zaměstnání (či přestěhováním).</w:t>
      </w:r>
    </w:p>
    <w:p w:rsidR="00BB4734" w:rsidRDefault="00BB4734" w:rsidP="000C653B">
      <w:pPr>
        <w:spacing w:line="240" w:lineRule="auto"/>
        <w:rPr>
          <w:rFonts w:cs="Arial"/>
          <w:szCs w:val="24"/>
        </w:rPr>
      </w:pPr>
    </w:p>
    <w:p w:rsidR="00F927F2" w:rsidRDefault="00D40D54" w:rsidP="000C653B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Poskytování příspěvku bylo pilotně zahájeno v dubnu 2016. </w:t>
      </w:r>
    </w:p>
    <w:p w:rsidR="00383CD3" w:rsidRDefault="00383CD3" w:rsidP="000C653B">
      <w:pPr>
        <w:spacing w:line="240" w:lineRule="auto"/>
        <w:rPr>
          <w:b/>
          <w:u w:val="single"/>
        </w:rPr>
      </w:pPr>
    </w:p>
    <w:p w:rsidR="00F927F2" w:rsidRDefault="00D40D54" w:rsidP="000C653B">
      <w:pPr>
        <w:spacing w:line="240" w:lineRule="auto"/>
        <w:rPr>
          <w:b/>
          <w:u w:val="single"/>
        </w:rPr>
      </w:pPr>
      <w:r>
        <w:rPr>
          <w:b/>
          <w:u w:val="single"/>
        </w:rPr>
        <w:t>Plnění opatření:</w:t>
      </w:r>
    </w:p>
    <w:p w:rsidR="0069278C" w:rsidRDefault="0069278C" w:rsidP="000C653B">
      <w:pPr>
        <w:spacing w:line="240" w:lineRule="auto"/>
        <w:rPr>
          <w:b/>
          <w:u w:val="single"/>
        </w:rPr>
      </w:pPr>
    </w:p>
    <w:p w:rsidR="0069278C" w:rsidRDefault="00D40D54" w:rsidP="000C653B">
      <w:pPr>
        <w:spacing w:line="240" w:lineRule="auto"/>
      </w:pPr>
      <w:r>
        <w:t xml:space="preserve">V dubnu 2016 bylo zahájeno pilotní ověřování nového nástroje APZ „Příspěvek na podporu regionální mobility“. Působnost opatření </w:t>
      </w:r>
      <w:r w:rsidR="0069278C">
        <w:t xml:space="preserve">byla </w:t>
      </w:r>
      <w:r>
        <w:t xml:space="preserve">postupně </w:t>
      </w:r>
      <w:r w:rsidRPr="0069278C">
        <w:rPr>
          <w:b/>
        </w:rPr>
        <w:t>rozšířena na kraj Královehradecký, Karlovarský, Ústecký, Jihomoravský, Moravskoslezský a Olomoucký.</w:t>
      </w:r>
      <w:r>
        <w:t xml:space="preserve"> </w:t>
      </w:r>
    </w:p>
    <w:p w:rsidR="0069278C" w:rsidRDefault="0069278C" w:rsidP="000C653B">
      <w:pPr>
        <w:spacing w:line="240" w:lineRule="auto"/>
      </w:pPr>
    </w:p>
    <w:p w:rsidR="00D40D54" w:rsidRPr="0069278C" w:rsidRDefault="00D40D54" w:rsidP="000C653B">
      <w:pPr>
        <w:spacing w:line="240" w:lineRule="auto"/>
        <w:rPr>
          <w:b/>
        </w:rPr>
      </w:pPr>
      <w:r w:rsidRPr="0069278C">
        <w:rPr>
          <w:b/>
        </w:rPr>
        <w:t>Podporovaným osobám je poskytován příspěvek ve výši 1 000 Kč až 3 500 Kč měsíčně a to až po dobu 12 měsíců podle vzdálenosti místa výkonu práce od místa bydliště. Příspěvek je poskytován paušálně.</w:t>
      </w:r>
    </w:p>
    <w:p w:rsidR="0069278C" w:rsidRDefault="0069278C" w:rsidP="000C653B">
      <w:pPr>
        <w:spacing w:line="240" w:lineRule="auto"/>
      </w:pPr>
    </w:p>
    <w:p w:rsidR="0069278C" w:rsidRDefault="0069278C" w:rsidP="000C653B">
      <w:pPr>
        <w:spacing w:line="240" w:lineRule="auto"/>
        <w:rPr>
          <w:rFonts w:cs="Arial"/>
          <w:szCs w:val="24"/>
        </w:rPr>
      </w:pPr>
      <w:r w:rsidRPr="0069278C">
        <w:rPr>
          <w:rFonts w:cs="Arial"/>
          <w:b/>
          <w:szCs w:val="24"/>
        </w:rPr>
        <w:t xml:space="preserve">Od začátku realizace pilotáže </w:t>
      </w:r>
      <w:r w:rsidR="00D31526">
        <w:rPr>
          <w:rFonts w:cs="Arial"/>
          <w:b/>
          <w:szCs w:val="24"/>
        </w:rPr>
        <w:t>ž</w:t>
      </w:r>
      <w:r w:rsidR="00D31526" w:rsidRPr="00D31526">
        <w:rPr>
          <w:rFonts w:cs="Arial"/>
          <w:b/>
          <w:szCs w:val="24"/>
        </w:rPr>
        <w:t>ádost o příspěvek na podporu regionální mobility podalo od dubna do konce září 201</w:t>
      </w:r>
      <w:r w:rsidR="00D31526">
        <w:rPr>
          <w:rFonts w:cs="Arial"/>
          <w:b/>
          <w:szCs w:val="24"/>
        </w:rPr>
        <w:t>6 celkem 555 zájemců, nejvíce v </w:t>
      </w:r>
      <w:r w:rsidR="00D31526" w:rsidRPr="00D31526">
        <w:rPr>
          <w:rFonts w:cs="Arial"/>
          <w:b/>
          <w:szCs w:val="24"/>
        </w:rPr>
        <w:t>Moravskoslezském (192), Olomouckém (188) a Jihomoravském (66) kraji. Podpoření uchazeči nejčastěji dojíždí do práce 10 – 25 km.</w:t>
      </w:r>
      <w:r w:rsidRPr="00383CD3">
        <w:rPr>
          <w:rFonts w:cs="Arial"/>
          <w:szCs w:val="24"/>
        </w:rPr>
        <w:t xml:space="preserve"> </w:t>
      </w:r>
    </w:p>
    <w:p w:rsidR="0069278C" w:rsidRDefault="0069278C" w:rsidP="000C653B">
      <w:pPr>
        <w:spacing w:line="240" w:lineRule="auto"/>
        <w:rPr>
          <w:rFonts w:cs="Arial"/>
          <w:szCs w:val="24"/>
        </w:rPr>
      </w:pPr>
    </w:p>
    <w:p w:rsidR="0069278C" w:rsidRDefault="0069278C" w:rsidP="000C653B">
      <w:pPr>
        <w:spacing w:line="240" w:lineRule="auto"/>
        <w:rPr>
          <w:rFonts w:cs="Arial"/>
          <w:szCs w:val="24"/>
        </w:rPr>
      </w:pPr>
      <w:r w:rsidRPr="00383CD3">
        <w:rPr>
          <w:rFonts w:cs="Arial"/>
          <w:szCs w:val="24"/>
        </w:rPr>
        <w:t xml:space="preserve">Jednou z bariér pro ještě větší využití </w:t>
      </w:r>
      <w:r>
        <w:rPr>
          <w:rFonts w:cs="Arial"/>
          <w:szCs w:val="24"/>
        </w:rPr>
        <w:t xml:space="preserve">tohoto </w:t>
      </w:r>
      <w:r w:rsidRPr="00383CD3">
        <w:rPr>
          <w:rFonts w:cs="Arial"/>
          <w:szCs w:val="24"/>
        </w:rPr>
        <w:t>nástroje je nízké povědomí potencionálních žadatelů</w:t>
      </w:r>
      <w:r>
        <w:rPr>
          <w:rFonts w:cs="Arial"/>
          <w:szCs w:val="24"/>
        </w:rPr>
        <w:t xml:space="preserve"> o tomto příspěvku</w:t>
      </w:r>
      <w:r w:rsidRPr="00383CD3">
        <w:rPr>
          <w:rFonts w:cs="Arial"/>
          <w:szCs w:val="24"/>
        </w:rPr>
        <w:t xml:space="preserve">. </w:t>
      </w:r>
      <w:r w:rsidR="00EB1BB2">
        <w:rPr>
          <w:rFonts w:cs="Arial"/>
          <w:b/>
          <w:szCs w:val="24"/>
        </w:rPr>
        <w:t>Ke zvýšení informovanosti o </w:t>
      </w:r>
      <w:r w:rsidRPr="0069278C">
        <w:rPr>
          <w:rFonts w:cs="Arial"/>
          <w:b/>
          <w:szCs w:val="24"/>
        </w:rPr>
        <w:t>možnosti využití nástroje byly pro uchazeče o zaměstnání vytištěny informační letáky a celkově prohloubena informační a poradenská činnost směrem k cílovým skupinám</w:t>
      </w:r>
      <w:r>
        <w:rPr>
          <w:rFonts w:cs="Arial"/>
          <w:szCs w:val="24"/>
        </w:rPr>
        <w:t>.</w:t>
      </w:r>
    </w:p>
    <w:p w:rsidR="0069278C" w:rsidRPr="00D40D54" w:rsidRDefault="0069278C" w:rsidP="000C653B">
      <w:pPr>
        <w:spacing w:line="240" w:lineRule="auto"/>
        <w:rPr>
          <w:rFonts w:asciiTheme="minorHAnsi" w:hAnsiTheme="minorHAnsi"/>
          <w:sz w:val="22"/>
        </w:rPr>
      </w:pPr>
      <w:r w:rsidRPr="00383CD3">
        <w:rPr>
          <w:rFonts w:cs="Arial"/>
          <w:szCs w:val="24"/>
        </w:rPr>
        <w:t xml:space="preserve"> </w:t>
      </w:r>
    </w:p>
    <w:p w:rsidR="00BB4734" w:rsidRPr="0069278C" w:rsidRDefault="00D40D54" w:rsidP="000C653B">
      <w:pPr>
        <w:spacing w:line="240" w:lineRule="auto"/>
        <w:rPr>
          <w:b/>
        </w:rPr>
      </w:pPr>
      <w:r w:rsidRPr="0069278C">
        <w:rPr>
          <w:b/>
        </w:rPr>
        <w:t xml:space="preserve">MPSV </w:t>
      </w:r>
      <w:r w:rsidR="0069278C" w:rsidRPr="0069278C">
        <w:rPr>
          <w:b/>
        </w:rPr>
        <w:t xml:space="preserve">současně </w:t>
      </w:r>
      <w:r w:rsidRPr="0069278C">
        <w:rPr>
          <w:b/>
        </w:rPr>
        <w:t>připravilo návrh na rozšíření „příspěvku na podporu regionální mobility“</w:t>
      </w:r>
      <w:r w:rsidR="0069278C" w:rsidRPr="0069278C">
        <w:rPr>
          <w:b/>
        </w:rPr>
        <w:t xml:space="preserve"> na všechny kraje ČR s výjimkou hlavního města Prahy a </w:t>
      </w:r>
      <w:r w:rsidRPr="0069278C">
        <w:rPr>
          <w:b/>
        </w:rPr>
        <w:t>o nový prvek, kterým je příspěvek na přestěhování</w:t>
      </w:r>
      <w:r>
        <w:t xml:space="preserve">. V případě, že uchazeč o zaměstnání (či zájemce o zaměstnání ohrožený ztrátou zaměstnání v důsledku hromadného propuštění) </w:t>
      </w:r>
      <w:r w:rsidRPr="0069278C">
        <w:rPr>
          <w:b/>
        </w:rPr>
        <w:t>se přestěhuje za prací na vzdálenost přesahující 50 km, bude moci obdržet jednorázový paušální příspěvek ve výši 50 000 Kč.</w:t>
      </w:r>
      <w:r w:rsidR="005706BF">
        <w:rPr>
          <w:b/>
        </w:rPr>
        <w:t xml:space="preserve"> </w:t>
      </w:r>
      <w:r w:rsidR="00D31526">
        <w:rPr>
          <w:b/>
        </w:rPr>
        <w:t>Opatření je realizováno od 1. 11. 2016.</w:t>
      </w:r>
    </w:p>
    <w:p w:rsidR="005706BF" w:rsidRDefault="005706BF" w:rsidP="005706BF">
      <w:pPr>
        <w:spacing w:line="240" w:lineRule="auto"/>
        <w:ind w:firstLine="708"/>
        <w:rPr>
          <w:rFonts w:cs="Arial"/>
          <w:b/>
          <w:szCs w:val="24"/>
        </w:rPr>
      </w:pPr>
    </w:p>
    <w:p w:rsidR="00D40D54" w:rsidRPr="005706BF" w:rsidRDefault="00D40D54" w:rsidP="004F7EFC">
      <w:pPr>
        <w:spacing w:line="240" w:lineRule="auto"/>
        <w:rPr>
          <w:b/>
        </w:rPr>
      </w:pPr>
      <w:r w:rsidRPr="005706BF">
        <w:rPr>
          <w:rFonts w:cs="Arial"/>
          <w:b/>
          <w:szCs w:val="24"/>
        </w:rPr>
        <w:t xml:space="preserve">4. </w:t>
      </w:r>
      <w:r w:rsidRPr="005706BF">
        <w:rPr>
          <w:b/>
        </w:rPr>
        <w:t>Cílené poskytování příspěvků APZ</w:t>
      </w:r>
    </w:p>
    <w:p w:rsidR="0069278C" w:rsidRDefault="0069278C" w:rsidP="000C653B">
      <w:pPr>
        <w:spacing w:line="240" w:lineRule="auto"/>
        <w:rPr>
          <w:b/>
          <w:u w:val="single"/>
        </w:rPr>
      </w:pPr>
    </w:p>
    <w:p w:rsidR="00D40D54" w:rsidRDefault="00D40D54" w:rsidP="000C653B">
      <w:pPr>
        <w:spacing w:line="240" w:lineRule="auto"/>
        <w:rPr>
          <w:b/>
          <w:u w:val="single"/>
        </w:rPr>
      </w:pPr>
      <w:r>
        <w:rPr>
          <w:b/>
          <w:u w:val="single"/>
        </w:rPr>
        <w:t>Popis opatření:</w:t>
      </w:r>
    </w:p>
    <w:p w:rsidR="0069278C" w:rsidRDefault="0069278C" w:rsidP="000C653B">
      <w:pPr>
        <w:spacing w:line="240" w:lineRule="auto"/>
        <w:rPr>
          <w:b/>
          <w:u w:val="single"/>
        </w:rPr>
      </w:pPr>
    </w:p>
    <w:p w:rsidR="005B4C0F" w:rsidRDefault="00D40D54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>Významně eliminovat tzv. „</w:t>
      </w:r>
      <w:proofErr w:type="spellStart"/>
      <w:r w:rsidRPr="00C605D8">
        <w:rPr>
          <w:rFonts w:cs="Arial"/>
          <w:szCs w:val="24"/>
        </w:rPr>
        <w:t>cream-off</w:t>
      </w:r>
      <w:proofErr w:type="spellEnd"/>
      <w:r w:rsidRPr="00C605D8">
        <w:rPr>
          <w:rFonts w:cs="Arial"/>
          <w:szCs w:val="24"/>
        </w:rPr>
        <w:t xml:space="preserve"> </w:t>
      </w:r>
      <w:proofErr w:type="spellStart"/>
      <w:r w:rsidRPr="00C605D8">
        <w:rPr>
          <w:rFonts w:cs="Arial"/>
          <w:szCs w:val="24"/>
        </w:rPr>
        <w:t>effect</w:t>
      </w:r>
      <w:proofErr w:type="spellEnd"/>
      <w:r w:rsidRPr="00C605D8">
        <w:rPr>
          <w:rFonts w:cs="Arial"/>
          <w:szCs w:val="24"/>
        </w:rPr>
        <w:t>“ u nástrojů APZ – tzn. při poskytování příspěvků zaměstnavatelům na podporu zaměstnanosti uchazečů o zaměstnání cíleně reflektovat míru znevýhodnění uchazeče o zaměstnání na trhu práce.</w:t>
      </w:r>
    </w:p>
    <w:p w:rsidR="0069278C" w:rsidRDefault="0069278C" w:rsidP="000C653B">
      <w:pPr>
        <w:spacing w:line="240" w:lineRule="auto"/>
        <w:rPr>
          <w:rFonts w:cs="Arial"/>
          <w:szCs w:val="24"/>
        </w:rPr>
      </w:pPr>
    </w:p>
    <w:p w:rsidR="00D40D54" w:rsidRDefault="00D40D54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>APZ využívat k motivaci zaměstnavatelů zaměstnávat nejvíce znevýhodněné skupiny osob (dlouhodobě nezaměstnané, kumulace hendikepů).</w:t>
      </w:r>
    </w:p>
    <w:p w:rsidR="0069278C" w:rsidRPr="00C605D8" w:rsidRDefault="0069278C" w:rsidP="000C653B">
      <w:pPr>
        <w:spacing w:line="240" w:lineRule="auto"/>
        <w:rPr>
          <w:rFonts w:cs="Arial"/>
          <w:szCs w:val="24"/>
        </w:rPr>
      </w:pPr>
    </w:p>
    <w:p w:rsidR="00D40D54" w:rsidRDefault="00D40D54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>Zvýšený zájem zaměstnavatelů o nové zaměstnance vytváří prostor, resp. šanci pro pracovní uplatnění uchazečů o zaměstnání, kteří pro svůj zdravotní s</w:t>
      </w:r>
      <w:r w:rsidR="00EB1BB2">
        <w:rPr>
          <w:rFonts w:cs="Arial"/>
          <w:szCs w:val="24"/>
        </w:rPr>
        <w:t>tav, věk, péči o </w:t>
      </w:r>
      <w:r w:rsidRPr="00C605D8">
        <w:rPr>
          <w:rFonts w:cs="Arial"/>
          <w:szCs w:val="24"/>
        </w:rPr>
        <w:t>dítě nebo z jiných vážných důvodů mají zho</w:t>
      </w:r>
      <w:r w:rsidR="00EB1BB2">
        <w:rPr>
          <w:rFonts w:cs="Arial"/>
          <w:szCs w:val="24"/>
        </w:rPr>
        <w:t>ršené uplatnění na trhu práce a </w:t>
      </w:r>
      <w:r w:rsidRPr="00C605D8">
        <w:rPr>
          <w:rFonts w:cs="Arial"/>
          <w:szCs w:val="24"/>
        </w:rPr>
        <w:t>potřebují zvýšenou péči při zprostředkování zaměstnání.</w:t>
      </w:r>
    </w:p>
    <w:p w:rsidR="00D40D54" w:rsidRDefault="00D40D54" w:rsidP="000C653B">
      <w:pPr>
        <w:spacing w:line="240" w:lineRule="auto"/>
        <w:rPr>
          <w:rFonts w:cs="Arial"/>
          <w:szCs w:val="24"/>
        </w:rPr>
      </w:pPr>
    </w:p>
    <w:p w:rsidR="00D40D54" w:rsidRDefault="00D40D54" w:rsidP="000C653B">
      <w:pPr>
        <w:spacing w:line="240" w:lineRule="auto"/>
        <w:rPr>
          <w:rFonts w:cs="Arial"/>
          <w:b/>
          <w:szCs w:val="24"/>
          <w:u w:val="single"/>
        </w:rPr>
      </w:pPr>
      <w:r w:rsidRPr="00D40D54">
        <w:rPr>
          <w:rFonts w:cs="Arial"/>
          <w:b/>
          <w:szCs w:val="24"/>
          <w:u w:val="single"/>
        </w:rPr>
        <w:t>Plnění opatření:</w:t>
      </w:r>
    </w:p>
    <w:p w:rsidR="0069278C" w:rsidRDefault="0069278C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1105B2" w:rsidRDefault="001105B2" w:rsidP="000C653B">
      <w:pPr>
        <w:spacing w:line="240" w:lineRule="auto"/>
      </w:pPr>
      <w:r>
        <w:t xml:space="preserve">Dle Instrukce č. 15/2014, která upravuje z pozice MPSV postup ÚP ČR při realizaci nástrojů APZ musí být nástroji APZ přednostně podporováni </w:t>
      </w:r>
      <w:r w:rsidR="0069278C">
        <w:t>uchazeči o zaměstnání</w:t>
      </w:r>
      <w:r>
        <w:t xml:space="preserve"> dlouhodobě nezaměstnaní či </w:t>
      </w:r>
      <w:r w:rsidR="0069278C">
        <w:t>uchazeči o zaměstnání</w:t>
      </w:r>
      <w:r>
        <w:t xml:space="preserve"> s výraznými hendikepy na trhu práce.</w:t>
      </w:r>
    </w:p>
    <w:p w:rsidR="0069278C" w:rsidRDefault="0069278C" w:rsidP="000C653B">
      <w:pPr>
        <w:spacing w:line="240" w:lineRule="auto"/>
      </w:pPr>
    </w:p>
    <w:p w:rsidR="001105B2" w:rsidRPr="00B157B2" w:rsidRDefault="0069278C" w:rsidP="000C653B">
      <w:pPr>
        <w:spacing w:line="240" w:lineRule="auto"/>
      </w:pPr>
      <w:r>
        <w:t xml:space="preserve">Mezi hlavní nástroje APZ jsou veřejně prospěšné práce (VPP) a společensky účelná pracovní místa (SÚPM). </w:t>
      </w:r>
      <w:r w:rsidR="001105B2" w:rsidRPr="0069278C">
        <w:rPr>
          <w:b/>
        </w:rPr>
        <w:t xml:space="preserve">Od začátku roku do konce </w:t>
      </w:r>
      <w:r w:rsidR="00D31526">
        <w:rPr>
          <w:b/>
        </w:rPr>
        <w:t>září</w:t>
      </w:r>
      <w:r w:rsidR="001105B2" w:rsidRPr="0069278C">
        <w:rPr>
          <w:b/>
        </w:rPr>
        <w:t xml:space="preserve"> bylo v rámci VPP vytvořen</w:t>
      </w:r>
      <w:r w:rsidR="005B4C0F" w:rsidRPr="0069278C">
        <w:rPr>
          <w:b/>
        </w:rPr>
        <w:t xml:space="preserve">o celkem </w:t>
      </w:r>
      <w:r w:rsidR="00D31526">
        <w:rPr>
          <w:b/>
        </w:rPr>
        <w:t>18 863</w:t>
      </w:r>
      <w:r w:rsidR="005B4C0F" w:rsidRPr="0069278C">
        <w:rPr>
          <w:b/>
        </w:rPr>
        <w:t xml:space="preserve"> pracovních míst. </w:t>
      </w:r>
      <w:r w:rsidR="001105B2" w:rsidRPr="0069278C">
        <w:rPr>
          <w:b/>
        </w:rPr>
        <w:t>Celkem bylo na tento druh pracovních míst umístě</w:t>
      </w:r>
      <w:r w:rsidR="005B4C0F" w:rsidRPr="0069278C">
        <w:rPr>
          <w:b/>
        </w:rPr>
        <w:t xml:space="preserve">no </w:t>
      </w:r>
      <w:r w:rsidR="00D31526">
        <w:rPr>
          <w:b/>
        </w:rPr>
        <w:t>19 827</w:t>
      </w:r>
      <w:r w:rsidR="005B4C0F" w:rsidRPr="0069278C">
        <w:rPr>
          <w:b/>
        </w:rPr>
        <w:t xml:space="preserve"> uchazečů o zaměstnání.</w:t>
      </w:r>
      <w:r w:rsidR="001105B2" w:rsidRPr="0069278C">
        <w:rPr>
          <w:b/>
        </w:rPr>
        <w:t xml:space="preserve"> </w:t>
      </w:r>
      <w:r w:rsidR="001105B2" w:rsidRPr="00B157B2">
        <w:t>Kladen je důraz zejména na umísťování osob, které jsou pro svou osobní charakteristiku dlouhodobě neuplatnitelné na nepodporovaném trhu práce a osob, které pobírají dávky hmotné nouze.</w:t>
      </w:r>
    </w:p>
    <w:p w:rsidR="001105B2" w:rsidRDefault="001105B2" w:rsidP="000C653B">
      <w:pPr>
        <w:spacing w:line="240" w:lineRule="auto"/>
      </w:pPr>
    </w:p>
    <w:p w:rsidR="005B4C0F" w:rsidRPr="00B157B2" w:rsidRDefault="001105B2" w:rsidP="000C653B">
      <w:pPr>
        <w:spacing w:line="240" w:lineRule="auto"/>
        <w:rPr>
          <w:b/>
        </w:rPr>
      </w:pPr>
      <w:r w:rsidRPr="00B157B2">
        <w:rPr>
          <w:b/>
        </w:rPr>
        <w:t xml:space="preserve">Od začátku roku do konce srpna ÚP ČR poskytl příspěvek na </w:t>
      </w:r>
      <w:r w:rsidR="005B4C0F" w:rsidRPr="00B157B2">
        <w:rPr>
          <w:b/>
        </w:rPr>
        <w:t xml:space="preserve">vyhrazení </w:t>
      </w:r>
      <w:r w:rsidR="00D31526">
        <w:rPr>
          <w:b/>
        </w:rPr>
        <w:t>20 739</w:t>
      </w:r>
      <w:r w:rsidR="005B4C0F" w:rsidRPr="00B157B2">
        <w:rPr>
          <w:b/>
        </w:rPr>
        <w:t xml:space="preserve"> </w:t>
      </w:r>
      <w:r w:rsidRPr="00B157B2">
        <w:rPr>
          <w:b/>
        </w:rPr>
        <w:t>SÚPM. Příspěvek na zřízení SÚPM byl do srp</w:t>
      </w:r>
      <w:r w:rsidR="00E43741">
        <w:rPr>
          <w:b/>
        </w:rPr>
        <w:t>na 2016 poskytnut na vybavení 1 </w:t>
      </w:r>
      <w:r w:rsidR="00D31526">
        <w:rPr>
          <w:b/>
        </w:rPr>
        <w:t>535</w:t>
      </w:r>
      <w:r w:rsidRPr="00B157B2">
        <w:rPr>
          <w:b/>
        </w:rPr>
        <w:t xml:space="preserve"> pracovních míst pro uchazeče o zaměstnání</w:t>
      </w:r>
      <w:r w:rsidR="00D31526">
        <w:rPr>
          <w:b/>
        </w:rPr>
        <w:t>, přičemž výrazně dominovaly příspěvky na zahájení samostatně výdělečné činnosti</w:t>
      </w:r>
      <w:r w:rsidRPr="00B157B2">
        <w:rPr>
          <w:b/>
        </w:rPr>
        <w:t xml:space="preserve">. </w:t>
      </w:r>
    </w:p>
    <w:p w:rsidR="0093305B" w:rsidRDefault="0093305B" w:rsidP="000C653B">
      <w:pPr>
        <w:spacing w:line="240" w:lineRule="auto"/>
      </w:pPr>
    </w:p>
    <w:p w:rsidR="00B157B2" w:rsidRDefault="0093305B" w:rsidP="000C653B">
      <w:pPr>
        <w:spacing w:line="240" w:lineRule="auto"/>
        <w:rPr>
          <w:rFonts w:cs="Arial"/>
          <w:szCs w:val="24"/>
        </w:rPr>
      </w:pPr>
      <w:r w:rsidRPr="00B157B2">
        <w:rPr>
          <w:rFonts w:cs="Arial"/>
          <w:b/>
          <w:szCs w:val="24"/>
        </w:rPr>
        <w:t>V řadě případů se také jedná o podporu tvorby pracovních míst na zkrácený pracovní úvazek.</w:t>
      </w:r>
      <w:r w:rsidRPr="0093305B">
        <w:rPr>
          <w:rFonts w:cs="Arial"/>
          <w:szCs w:val="24"/>
        </w:rPr>
        <w:t xml:space="preserve"> Důvodem k tomuto kroku je jednak snaha o poskytnutí podpory co nejširšímu okruhu problémově umístitelných uchazečů o zaměstnání, tak i snaha optimalizovat podporu i pro ty uchazeče o zaměstnání, kteří z různých důvodů nejsou schopni vykonávat pracovní činnost na plný úvazek.</w:t>
      </w:r>
    </w:p>
    <w:p w:rsidR="0093305B" w:rsidRDefault="0093305B" w:rsidP="000C653B">
      <w:pPr>
        <w:spacing w:line="240" w:lineRule="auto"/>
        <w:rPr>
          <w:rFonts w:cs="Arial"/>
          <w:szCs w:val="24"/>
        </w:rPr>
      </w:pPr>
      <w:r w:rsidRPr="0093305B">
        <w:rPr>
          <w:rFonts w:cs="Arial"/>
          <w:szCs w:val="24"/>
        </w:rPr>
        <w:t xml:space="preserve"> </w:t>
      </w:r>
    </w:p>
    <w:p w:rsidR="0093305B" w:rsidRDefault="0093305B" w:rsidP="000C653B">
      <w:pPr>
        <w:spacing w:line="240" w:lineRule="auto"/>
        <w:rPr>
          <w:rFonts w:cs="Arial"/>
          <w:b/>
          <w:szCs w:val="24"/>
        </w:rPr>
      </w:pPr>
      <w:r w:rsidRPr="00B157B2">
        <w:rPr>
          <w:rFonts w:cs="Arial"/>
          <w:b/>
          <w:szCs w:val="24"/>
        </w:rPr>
        <w:t xml:space="preserve">Nástroje a opatření APZ byly v roce 2016 přednostně financovány z prostředků ESF, částečně z národních zdrojů. Ročně je vynakládáno na </w:t>
      </w:r>
      <w:r w:rsidR="00D60245">
        <w:rPr>
          <w:rFonts w:cs="Arial"/>
          <w:b/>
          <w:szCs w:val="24"/>
        </w:rPr>
        <w:t>APZ</w:t>
      </w:r>
      <w:r w:rsidRPr="00B157B2">
        <w:rPr>
          <w:rFonts w:cs="Arial"/>
          <w:b/>
          <w:szCs w:val="24"/>
        </w:rPr>
        <w:t xml:space="preserve"> cca 7 mld. Kč.</w:t>
      </w:r>
    </w:p>
    <w:p w:rsidR="005706BF" w:rsidRDefault="005706BF" w:rsidP="000C653B">
      <w:pPr>
        <w:spacing w:line="240" w:lineRule="auto"/>
        <w:rPr>
          <w:rFonts w:cs="Arial"/>
          <w:b/>
          <w:szCs w:val="24"/>
        </w:rPr>
      </w:pPr>
    </w:p>
    <w:p w:rsidR="00D40D54" w:rsidRPr="00D40D54" w:rsidRDefault="00E43741" w:rsidP="00D40D54">
      <w:pPr>
        <w:spacing w:after="200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T</w:t>
      </w:r>
      <w:r w:rsidR="00D40D54" w:rsidRPr="00D40D54">
        <w:rPr>
          <w:rFonts w:asciiTheme="minorHAnsi" w:hAnsiTheme="minorHAnsi"/>
          <w:b/>
          <w:sz w:val="22"/>
        </w:rPr>
        <w:t>abulka: Skupiny – zvýšená péče</w:t>
      </w:r>
    </w:p>
    <w:tbl>
      <w:tblPr>
        <w:tblW w:w="8984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9"/>
        <w:gridCol w:w="1976"/>
        <w:gridCol w:w="1532"/>
        <w:gridCol w:w="1777"/>
      </w:tblGrid>
      <w:tr w:rsidR="00D40D54" w:rsidRPr="00D40D54" w:rsidTr="00B157B2">
        <w:trPr>
          <w:trHeight w:val="320"/>
        </w:trPr>
        <w:tc>
          <w:tcPr>
            <w:tcW w:w="8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DB4E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447201">
            <w:pPr>
              <w:spacing w:after="200"/>
              <w:jc w:val="center"/>
              <w:rPr>
                <w:rFonts w:ascii="Calibri" w:hAnsi="Calibri"/>
                <w:b/>
                <w:bCs/>
                <w:color w:val="000000"/>
                <w:sz w:val="22"/>
                <w:lang w:eastAsia="cs-CZ"/>
              </w:rPr>
            </w:pPr>
            <w:r w:rsidRPr="00D40D54">
              <w:rPr>
                <w:rFonts w:asciiTheme="minorHAnsi" w:hAnsiTheme="minorHAnsi"/>
                <w:b/>
                <w:bCs/>
                <w:color w:val="000000"/>
                <w:sz w:val="22"/>
                <w:lang w:eastAsia="cs-CZ"/>
              </w:rPr>
              <w:t>ÚP ČR k 3</w:t>
            </w:r>
            <w:r w:rsidR="00447201">
              <w:rPr>
                <w:rFonts w:asciiTheme="minorHAnsi" w:hAnsiTheme="minorHAnsi"/>
                <w:b/>
                <w:bCs/>
                <w:color w:val="000000"/>
                <w:sz w:val="22"/>
                <w:lang w:eastAsia="cs-CZ"/>
              </w:rPr>
              <w:t>0</w:t>
            </w:r>
            <w:r w:rsidRPr="00D40D54">
              <w:rPr>
                <w:rFonts w:asciiTheme="minorHAnsi" w:hAnsiTheme="minorHAnsi"/>
                <w:b/>
                <w:bCs/>
                <w:color w:val="000000"/>
                <w:sz w:val="22"/>
                <w:lang w:eastAsia="cs-CZ"/>
              </w:rPr>
              <w:t xml:space="preserve">. </w:t>
            </w:r>
            <w:r w:rsidR="00447201">
              <w:rPr>
                <w:rFonts w:asciiTheme="minorHAnsi" w:hAnsiTheme="minorHAnsi"/>
                <w:b/>
                <w:bCs/>
                <w:color w:val="000000"/>
                <w:sz w:val="22"/>
                <w:lang w:eastAsia="cs-CZ"/>
              </w:rPr>
              <w:t>9</w:t>
            </w:r>
            <w:r w:rsidRPr="00D40D54">
              <w:rPr>
                <w:rFonts w:asciiTheme="minorHAnsi" w:hAnsiTheme="minorHAnsi"/>
                <w:b/>
                <w:bCs/>
                <w:color w:val="000000"/>
                <w:sz w:val="22"/>
                <w:lang w:eastAsia="cs-CZ"/>
              </w:rPr>
              <w:t>. 2016</w:t>
            </w:r>
          </w:p>
        </w:tc>
      </w:tr>
      <w:tr w:rsidR="00D40D54" w:rsidRPr="00D40D54" w:rsidTr="00106D13">
        <w:trPr>
          <w:trHeight w:val="320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4E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CELKEM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8DB4E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center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ABS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4E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center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 xml:space="preserve">Mezi </w:t>
            </w:r>
            <w:proofErr w:type="spellStart"/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měs</w:t>
            </w:r>
            <w:proofErr w:type="spellEnd"/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.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4E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center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Mezi roč.</w:t>
            </w:r>
          </w:p>
        </w:tc>
      </w:tr>
      <w:tr w:rsidR="00D40D54" w:rsidRPr="00D40D54" w:rsidTr="00106D13">
        <w:trPr>
          <w:trHeight w:val="304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 xml:space="preserve">Počet </w:t>
            </w:r>
            <w:proofErr w:type="spellStart"/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UoZ</w:t>
            </w:r>
            <w:proofErr w:type="spellEnd"/>
          </w:p>
        </w:tc>
        <w:tc>
          <w:tcPr>
            <w:tcW w:w="1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8A7BC7" w:rsidP="00D40D54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/>
                <w:color w:val="000000"/>
                <w:szCs w:val="24"/>
                <w:lang w:eastAsia="cs-CZ"/>
              </w:rPr>
              <w:t>378 258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8A7BC7" w:rsidP="008A7BC7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-2</w:t>
            </w:r>
            <w:r w:rsidR="00D40D54" w:rsidRPr="00D40D54">
              <w:rPr>
                <w:rFonts w:asciiTheme="minorHAnsi" w:hAnsiTheme="minorHAnsi"/>
                <w:szCs w:val="24"/>
                <w:lang w:eastAsia="cs-CZ"/>
              </w:rPr>
              <w:t>,</w:t>
            </w:r>
            <w:r>
              <w:rPr>
                <w:rFonts w:asciiTheme="minorHAnsi" w:hAnsiTheme="minorHAnsi"/>
                <w:szCs w:val="24"/>
                <w:lang w:eastAsia="cs-CZ"/>
              </w:rPr>
              <w:t>6 %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8A7BC7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szCs w:val="24"/>
                <w:lang w:eastAsia="cs-CZ"/>
              </w:rPr>
              <w:t>-1</w:t>
            </w:r>
            <w:r w:rsidR="008A7BC7">
              <w:rPr>
                <w:rFonts w:asciiTheme="minorHAnsi" w:hAnsiTheme="minorHAnsi"/>
                <w:szCs w:val="24"/>
                <w:lang w:eastAsia="cs-CZ"/>
              </w:rPr>
              <w:t>4</w:t>
            </w:r>
            <w:r w:rsidRPr="00D40D54">
              <w:rPr>
                <w:rFonts w:asciiTheme="minorHAnsi" w:hAnsiTheme="minorHAnsi"/>
                <w:szCs w:val="24"/>
                <w:lang w:eastAsia="cs-CZ"/>
              </w:rPr>
              <w:t>,</w:t>
            </w:r>
            <w:r w:rsidR="008A7BC7">
              <w:rPr>
                <w:rFonts w:asciiTheme="minorHAnsi" w:hAnsiTheme="minorHAnsi"/>
                <w:szCs w:val="24"/>
                <w:lang w:eastAsia="cs-CZ"/>
              </w:rPr>
              <w:t>4 %</w:t>
            </w:r>
          </w:p>
        </w:tc>
      </w:tr>
      <w:tr w:rsidR="00D40D54" w:rsidRPr="00D40D54" w:rsidTr="00106D13">
        <w:trPr>
          <w:trHeight w:val="304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Počet VPM</w:t>
            </w:r>
          </w:p>
        </w:tc>
        <w:tc>
          <w:tcPr>
            <w:tcW w:w="1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8A7BC7" w:rsidP="00D40D54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/>
                <w:color w:val="000000"/>
                <w:szCs w:val="24"/>
                <w:lang w:eastAsia="cs-CZ"/>
              </w:rPr>
              <w:t>140 993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8A7BC7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1,2 %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8A7BC7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29,9 %</w:t>
            </w:r>
          </w:p>
        </w:tc>
      </w:tr>
      <w:tr w:rsidR="00D40D54" w:rsidRPr="00D40D54" w:rsidTr="00106D13">
        <w:trPr>
          <w:trHeight w:val="304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PNO %</w:t>
            </w:r>
          </w:p>
        </w:tc>
        <w:tc>
          <w:tcPr>
            <w:tcW w:w="1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1F696E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5,</w:t>
            </w:r>
            <w:r w:rsidR="001F696E">
              <w:rPr>
                <w:rFonts w:asciiTheme="minorHAnsi" w:hAnsiTheme="minorHAnsi"/>
                <w:color w:val="000000"/>
                <w:szCs w:val="24"/>
                <w:lang w:eastAsia="cs-CZ"/>
              </w:rPr>
              <w:t>2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szCs w:val="24"/>
                <w:lang w:eastAsia="cs-CZ"/>
              </w:rPr>
              <w:t>-0,1</w:t>
            </w:r>
            <w:r w:rsidR="001F696E">
              <w:rPr>
                <w:rFonts w:asciiTheme="minorHAnsi" w:hAnsiTheme="minorHAnsi"/>
                <w:szCs w:val="24"/>
                <w:lang w:eastAsia="cs-CZ"/>
              </w:rPr>
              <w:t xml:space="preserve"> p. b.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1F696E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-0,8 p. b.</w:t>
            </w:r>
          </w:p>
        </w:tc>
      </w:tr>
      <w:tr w:rsidR="00D40D54" w:rsidRPr="00D40D54" w:rsidTr="00106D13">
        <w:trPr>
          <w:trHeight w:val="304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Nové evidence</w:t>
            </w:r>
          </w:p>
        </w:tc>
        <w:tc>
          <w:tcPr>
            <w:tcW w:w="1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1F696E" w:rsidP="00D40D54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/>
                <w:color w:val="000000"/>
                <w:szCs w:val="24"/>
                <w:lang w:eastAsia="cs-CZ"/>
              </w:rPr>
              <w:t>54 326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1F696E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27,9 %</w:t>
            </w:r>
            <w:r>
              <w:rPr>
                <w:rStyle w:val="Znakapoznpodarou"/>
                <w:rFonts w:asciiTheme="minorHAnsi" w:hAnsiTheme="minorHAnsi"/>
                <w:szCs w:val="24"/>
                <w:lang w:eastAsia="cs-CZ"/>
              </w:rPr>
              <w:footnoteReference w:id="1"/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1F696E" w:rsidRDefault="001F696E" w:rsidP="001F696E">
            <w:pPr>
              <w:pStyle w:val="Odstavecseseznamem"/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="Calibri" w:hAnsi="Calibri"/>
                <w:szCs w:val="24"/>
                <w:lang w:eastAsia="cs-CZ"/>
              </w:rPr>
              <w:t>-8,8 %</w:t>
            </w:r>
          </w:p>
        </w:tc>
      </w:tr>
      <w:tr w:rsidR="00D40D54" w:rsidRPr="00D40D54" w:rsidTr="00106D13">
        <w:trPr>
          <w:trHeight w:val="304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Ukončené evidence</w:t>
            </w:r>
          </w:p>
        </w:tc>
        <w:tc>
          <w:tcPr>
            <w:tcW w:w="1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1F696E" w:rsidP="00D40D54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/>
                <w:color w:val="000000"/>
                <w:szCs w:val="24"/>
                <w:lang w:eastAsia="cs-CZ"/>
              </w:rPr>
              <w:t>64 542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1F696E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38,3 %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5212C7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szCs w:val="24"/>
                <w:lang w:eastAsia="cs-CZ"/>
              </w:rPr>
              <w:t>-</w:t>
            </w:r>
            <w:r w:rsidR="005212C7">
              <w:rPr>
                <w:rFonts w:asciiTheme="minorHAnsi" w:hAnsiTheme="minorHAnsi"/>
                <w:szCs w:val="24"/>
                <w:lang w:eastAsia="cs-CZ"/>
              </w:rPr>
              <w:t>20,5 %</w:t>
            </w:r>
          </w:p>
        </w:tc>
      </w:tr>
      <w:tr w:rsidR="00D40D54" w:rsidRPr="00D40D54" w:rsidTr="00106D13">
        <w:trPr>
          <w:trHeight w:val="304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0A365A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 xml:space="preserve">Absolventi </w:t>
            </w:r>
          </w:p>
        </w:tc>
        <w:tc>
          <w:tcPr>
            <w:tcW w:w="1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0A365A" w:rsidP="00D40D54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/>
                <w:color w:val="000000"/>
                <w:szCs w:val="24"/>
                <w:lang w:eastAsia="cs-CZ"/>
              </w:rPr>
              <w:t>17 514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0A365A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28,1</w:t>
            </w:r>
            <w:r w:rsidR="005212C7">
              <w:rPr>
                <w:rFonts w:asciiTheme="minorHAnsi" w:hAnsiTheme="minorHAnsi"/>
                <w:szCs w:val="24"/>
                <w:lang w:eastAsia="cs-CZ"/>
              </w:rPr>
              <w:t xml:space="preserve"> %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0A365A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szCs w:val="24"/>
                <w:lang w:eastAsia="cs-CZ"/>
              </w:rPr>
              <w:t>-2</w:t>
            </w:r>
            <w:r w:rsidR="000A365A">
              <w:rPr>
                <w:rFonts w:asciiTheme="minorHAnsi" w:hAnsiTheme="minorHAnsi"/>
                <w:szCs w:val="24"/>
                <w:lang w:eastAsia="cs-CZ"/>
              </w:rPr>
              <w:t>4</w:t>
            </w:r>
            <w:r w:rsidRPr="00D40D54">
              <w:rPr>
                <w:rFonts w:asciiTheme="minorHAnsi" w:hAnsiTheme="minorHAnsi"/>
                <w:szCs w:val="24"/>
                <w:lang w:eastAsia="cs-CZ"/>
              </w:rPr>
              <w:t>,</w:t>
            </w:r>
            <w:r w:rsidR="000A365A">
              <w:rPr>
                <w:rFonts w:asciiTheme="minorHAnsi" w:hAnsiTheme="minorHAnsi"/>
                <w:szCs w:val="24"/>
                <w:lang w:eastAsia="cs-CZ"/>
              </w:rPr>
              <w:t>1 %</w:t>
            </w:r>
          </w:p>
        </w:tc>
      </w:tr>
      <w:tr w:rsidR="00D40D54" w:rsidRPr="00D40D54" w:rsidTr="00106D13">
        <w:trPr>
          <w:trHeight w:val="304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OZP</w:t>
            </w:r>
          </w:p>
        </w:tc>
        <w:tc>
          <w:tcPr>
            <w:tcW w:w="1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0A365A" w:rsidP="00D40D54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/>
                <w:color w:val="000000"/>
                <w:szCs w:val="24"/>
                <w:lang w:eastAsia="cs-CZ"/>
              </w:rPr>
              <w:t>54 385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0A365A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szCs w:val="24"/>
                <w:lang w:eastAsia="cs-CZ"/>
              </w:rPr>
              <w:t>-</w:t>
            </w:r>
            <w:r w:rsidR="000A365A">
              <w:rPr>
                <w:rFonts w:asciiTheme="minorHAnsi" w:hAnsiTheme="minorHAnsi"/>
                <w:szCs w:val="24"/>
                <w:lang w:eastAsia="cs-CZ"/>
              </w:rPr>
              <w:t>1</w:t>
            </w:r>
            <w:r w:rsidRPr="00D40D54">
              <w:rPr>
                <w:rFonts w:asciiTheme="minorHAnsi" w:hAnsiTheme="minorHAnsi"/>
                <w:szCs w:val="24"/>
                <w:lang w:eastAsia="cs-CZ"/>
              </w:rPr>
              <w:t>,8</w:t>
            </w:r>
            <w:r w:rsidR="000A365A">
              <w:rPr>
                <w:rFonts w:asciiTheme="minorHAnsi" w:hAnsiTheme="minorHAnsi"/>
                <w:szCs w:val="24"/>
                <w:lang w:eastAsia="cs-CZ"/>
              </w:rPr>
              <w:t xml:space="preserve"> %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0A365A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szCs w:val="24"/>
                <w:lang w:eastAsia="cs-CZ"/>
              </w:rPr>
              <w:t>-5,</w:t>
            </w:r>
            <w:r w:rsidR="000A365A">
              <w:rPr>
                <w:rFonts w:asciiTheme="minorHAnsi" w:hAnsiTheme="minorHAnsi"/>
                <w:szCs w:val="24"/>
                <w:lang w:eastAsia="cs-CZ"/>
              </w:rPr>
              <w:t>2 %</w:t>
            </w:r>
          </w:p>
        </w:tc>
      </w:tr>
      <w:tr w:rsidR="00D40D54" w:rsidRPr="00D40D54" w:rsidTr="00106D13">
        <w:trPr>
          <w:trHeight w:val="304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 xml:space="preserve">Dl. </w:t>
            </w:r>
            <w:proofErr w:type="spellStart"/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nezam</w:t>
            </w:r>
            <w:proofErr w:type="spellEnd"/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.</w:t>
            </w:r>
          </w:p>
        </w:tc>
        <w:tc>
          <w:tcPr>
            <w:tcW w:w="1976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0A365A" w:rsidP="00D40D54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/>
                <w:color w:val="000000"/>
                <w:szCs w:val="24"/>
                <w:lang w:eastAsia="cs-CZ"/>
              </w:rPr>
              <w:t>154 273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0A365A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-2,4 %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0A365A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szCs w:val="24"/>
                <w:lang w:eastAsia="cs-CZ"/>
              </w:rPr>
              <w:t>-22,</w:t>
            </w:r>
            <w:r w:rsidR="000A365A">
              <w:rPr>
                <w:rFonts w:asciiTheme="minorHAnsi" w:hAnsiTheme="minorHAnsi"/>
                <w:szCs w:val="24"/>
                <w:lang w:eastAsia="cs-CZ"/>
              </w:rPr>
              <w:t>5 %</w:t>
            </w:r>
          </w:p>
        </w:tc>
      </w:tr>
      <w:tr w:rsidR="00D40D54" w:rsidRPr="00D40D54" w:rsidTr="00106D13">
        <w:trPr>
          <w:trHeight w:val="320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proofErr w:type="spellStart"/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UoZ</w:t>
            </w:r>
            <w:proofErr w:type="spellEnd"/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 xml:space="preserve"> nad 50 let</w:t>
            </w:r>
          </w:p>
        </w:tc>
        <w:tc>
          <w:tcPr>
            <w:tcW w:w="1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0A365A" w:rsidP="00D40D54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/>
                <w:color w:val="000000"/>
                <w:szCs w:val="24"/>
                <w:lang w:eastAsia="cs-CZ"/>
              </w:rPr>
              <w:t>121 354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0A365A" w:rsidP="000A365A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-2</w:t>
            </w:r>
            <w:r w:rsidR="00D40D54" w:rsidRPr="00D40D54">
              <w:rPr>
                <w:rFonts w:asciiTheme="minorHAnsi" w:hAnsiTheme="minorHAnsi"/>
                <w:szCs w:val="24"/>
                <w:lang w:eastAsia="cs-CZ"/>
              </w:rPr>
              <w:t>,</w:t>
            </w:r>
            <w:r>
              <w:rPr>
                <w:rFonts w:asciiTheme="minorHAnsi" w:hAnsiTheme="minorHAnsi"/>
                <w:szCs w:val="24"/>
                <w:lang w:eastAsia="cs-CZ"/>
              </w:rPr>
              <w:t>9 %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0A365A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-8,9 %</w:t>
            </w:r>
          </w:p>
        </w:tc>
      </w:tr>
      <w:tr w:rsidR="00D40D54" w:rsidRPr="00D40D54" w:rsidTr="00106D13">
        <w:trPr>
          <w:trHeight w:val="304"/>
        </w:trPr>
        <w:tc>
          <w:tcPr>
            <w:tcW w:w="3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proofErr w:type="spellStart"/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UoZ</w:t>
            </w:r>
            <w:proofErr w:type="spellEnd"/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 xml:space="preserve"> do 25 let</w:t>
            </w:r>
          </w:p>
        </w:tc>
        <w:tc>
          <w:tcPr>
            <w:tcW w:w="1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447201" w:rsidP="00D40D54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/>
                <w:color w:val="000000"/>
                <w:szCs w:val="24"/>
                <w:lang w:eastAsia="cs-CZ"/>
              </w:rPr>
              <w:t>54 962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447201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13,2 %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447201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szCs w:val="24"/>
                <w:lang w:eastAsia="cs-CZ"/>
              </w:rPr>
              <w:t>-20,</w:t>
            </w:r>
            <w:r w:rsidR="00447201">
              <w:rPr>
                <w:rFonts w:asciiTheme="minorHAnsi" w:hAnsiTheme="minorHAnsi"/>
                <w:szCs w:val="24"/>
                <w:lang w:eastAsia="cs-CZ"/>
              </w:rPr>
              <w:t>3 %</w:t>
            </w:r>
          </w:p>
        </w:tc>
      </w:tr>
      <w:tr w:rsidR="00D40D54" w:rsidRPr="00D40D54" w:rsidTr="00106D13">
        <w:trPr>
          <w:trHeight w:val="304"/>
        </w:trPr>
        <w:tc>
          <w:tcPr>
            <w:tcW w:w="3699" w:type="dxa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 xml:space="preserve">VPM pro </w:t>
            </w:r>
            <w:proofErr w:type="spellStart"/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absol</w:t>
            </w:r>
            <w:proofErr w:type="spellEnd"/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.</w:t>
            </w:r>
          </w:p>
        </w:tc>
        <w:tc>
          <w:tcPr>
            <w:tcW w:w="1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447201" w:rsidP="00D40D54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/>
                <w:color w:val="000000"/>
                <w:szCs w:val="24"/>
                <w:lang w:eastAsia="cs-CZ"/>
              </w:rPr>
              <w:t>42 099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447201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3,2 %</w:t>
            </w:r>
          </w:p>
        </w:tc>
        <w:tc>
          <w:tcPr>
            <w:tcW w:w="1777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447201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33,6 %</w:t>
            </w:r>
          </w:p>
        </w:tc>
      </w:tr>
      <w:tr w:rsidR="00D40D54" w:rsidRPr="00D40D54" w:rsidTr="00106D13">
        <w:trPr>
          <w:trHeight w:val="304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D40D54">
            <w:pPr>
              <w:spacing w:after="200"/>
              <w:jc w:val="lef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VPM pro OZP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D40D54" w:rsidP="00447201">
            <w:pPr>
              <w:spacing w:after="200"/>
              <w:jc w:val="right"/>
              <w:rPr>
                <w:rFonts w:ascii="Calibri" w:hAnsi="Calibri"/>
                <w:color w:val="000000"/>
                <w:szCs w:val="24"/>
                <w:lang w:eastAsia="cs-CZ"/>
              </w:rPr>
            </w:pP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12 6</w:t>
            </w:r>
            <w:r w:rsidR="00447201">
              <w:rPr>
                <w:rFonts w:asciiTheme="minorHAnsi" w:hAnsiTheme="minorHAnsi"/>
                <w:color w:val="000000"/>
                <w:szCs w:val="24"/>
                <w:lang w:eastAsia="cs-CZ"/>
              </w:rPr>
              <w:t>0</w:t>
            </w:r>
            <w:r w:rsidRPr="00D40D54">
              <w:rPr>
                <w:rFonts w:asciiTheme="minorHAnsi" w:hAnsiTheme="minorHAnsi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447201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0,3 %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0D54" w:rsidRPr="00D40D54" w:rsidRDefault="00447201" w:rsidP="00D40D54">
            <w:pPr>
              <w:spacing w:after="200"/>
              <w:jc w:val="right"/>
              <w:rPr>
                <w:rFonts w:ascii="Calibri" w:hAnsi="Calibri"/>
                <w:szCs w:val="24"/>
                <w:lang w:eastAsia="cs-CZ"/>
              </w:rPr>
            </w:pPr>
            <w:r>
              <w:rPr>
                <w:rFonts w:asciiTheme="minorHAnsi" w:hAnsiTheme="minorHAnsi"/>
                <w:szCs w:val="24"/>
                <w:lang w:eastAsia="cs-CZ"/>
              </w:rPr>
              <w:t>25,0 %</w:t>
            </w:r>
          </w:p>
        </w:tc>
      </w:tr>
    </w:tbl>
    <w:p w:rsidR="004F7EFC" w:rsidRDefault="004F7EFC" w:rsidP="005706BF">
      <w:pPr>
        <w:spacing w:after="200"/>
        <w:jc w:val="center"/>
        <w:rPr>
          <w:rFonts w:asciiTheme="minorHAnsi" w:hAnsiTheme="minorHAnsi" w:cs="Arial"/>
          <w:b/>
          <w:sz w:val="22"/>
        </w:rPr>
      </w:pPr>
    </w:p>
    <w:p w:rsidR="004F7EFC" w:rsidRDefault="004F7EFC" w:rsidP="005706BF">
      <w:pPr>
        <w:spacing w:after="200"/>
        <w:jc w:val="center"/>
        <w:rPr>
          <w:rFonts w:asciiTheme="minorHAnsi" w:hAnsiTheme="minorHAnsi" w:cs="Arial"/>
          <w:b/>
          <w:sz w:val="22"/>
        </w:rPr>
      </w:pPr>
    </w:p>
    <w:p w:rsidR="004F7EFC" w:rsidRDefault="004F7EFC" w:rsidP="005706BF">
      <w:pPr>
        <w:spacing w:after="200"/>
        <w:jc w:val="center"/>
        <w:rPr>
          <w:rFonts w:asciiTheme="minorHAnsi" w:hAnsiTheme="minorHAnsi" w:cs="Arial"/>
          <w:b/>
          <w:sz w:val="22"/>
        </w:rPr>
      </w:pPr>
    </w:p>
    <w:p w:rsidR="004F7EFC" w:rsidRDefault="004F7EFC" w:rsidP="005706BF">
      <w:pPr>
        <w:spacing w:after="200"/>
        <w:jc w:val="center"/>
        <w:rPr>
          <w:rFonts w:asciiTheme="minorHAnsi" w:hAnsiTheme="minorHAnsi" w:cs="Arial"/>
          <w:b/>
          <w:sz w:val="22"/>
        </w:rPr>
      </w:pPr>
    </w:p>
    <w:p w:rsidR="004F7EFC" w:rsidRDefault="004F7EFC" w:rsidP="005706BF">
      <w:pPr>
        <w:spacing w:after="200"/>
        <w:jc w:val="center"/>
        <w:rPr>
          <w:rFonts w:asciiTheme="minorHAnsi" w:hAnsiTheme="minorHAnsi" w:cs="Arial"/>
          <w:b/>
          <w:sz w:val="22"/>
        </w:rPr>
      </w:pPr>
    </w:p>
    <w:p w:rsidR="004F7EFC" w:rsidRDefault="004F7EFC" w:rsidP="005706BF">
      <w:pPr>
        <w:spacing w:after="200"/>
        <w:jc w:val="center"/>
        <w:rPr>
          <w:rFonts w:asciiTheme="minorHAnsi" w:hAnsiTheme="minorHAnsi" w:cs="Arial"/>
          <w:b/>
          <w:sz w:val="22"/>
        </w:rPr>
      </w:pPr>
    </w:p>
    <w:p w:rsidR="004F7EFC" w:rsidRDefault="004F7EFC" w:rsidP="005706BF">
      <w:pPr>
        <w:spacing w:after="200"/>
        <w:jc w:val="center"/>
        <w:rPr>
          <w:rFonts w:asciiTheme="minorHAnsi" w:hAnsiTheme="minorHAnsi" w:cs="Arial"/>
          <w:b/>
          <w:sz w:val="22"/>
        </w:rPr>
      </w:pPr>
    </w:p>
    <w:p w:rsidR="004F7EFC" w:rsidRDefault="004F7EFC" w:rsidP="005706BF">
      <w:pPr>
        <w:spacing w:after="200"/>
        <w:jc w:val="center"/>
        <w:rPr>
          <w:rFonts w:asciiTheme="minorHAnsi" w:hAnsiTheme="minorHAnsi" w:cs="Arial"/>
          <w:b/>
          <w:sz w:val="22"/>
        </w:rPr>
      </w:pPr>
    </w:p>
    <w:p w:rsidR="004F7EFC" w:rsidRDefault="004F7EFC" w:rsidP="005706BF">
      <w:pPr>
        <w:spacing w:after="200"/>
        <w:jc w:val="center"/>
        <w:rPr>
          <w:rFonts w:asciiTheme="minorHAnsi" w:hAnsiTheme="minorHAnsi" w:cs="Arial"/>
          <w:b/>
          <w:sz w:val="22"/>
        </w:rPr>
      </w:pPr>
    </w:p>
    <w:p w:rsidR="00D40D54" w:rsidRDefault="00B157B2" w:rsidP="005706BF">
      <w:pPr>
        <w:spacing w:after="200"/>
        <w:jc w:val="center"/>
        <w:rPr>
          <w:noProof/>
          <w:lang w:eastAsia="cs-CZ"/>
        </w:rPr>
      </w:pPr>
      <w:r w:rsidRPr="00B157B2">
        <w:rPr>
          <w:rFonts w:asciiTheme="minorHAnsi" w:hAnsiTheme="minorHAnsi" w:cs="Arial"/>
          <w:b/>
          <w:sz w:val="22"/>
        </w:rPr>
        <w:t>Graf: VPP</w:t>
      </w:r>
    </w:p>
    <w:p w:rsidR="00E06B35" w:rsidRDefault="00E06B35" w:rsidP="005706BF">
      <w:pPr>
        <w:spacing w:after="200"/>
        <w:jc w:val="center"/>
        <w:rPr>
          <w:rFonts w:cs="Arial"/>
          <w:b/>
          <w:szCs w:val="24"/>
          <w:u w:val="single"/>
        </w:rPr>
      </w:pPr>
      <w:r>
        <w:rPr>
          <w:noProof/>
          <w:lang w:eastAsia="cs-CZ"/>
        </w:rPr>
        <w:drawing>
          <wp:inline distT="0" distB="0" distL="0" distR="0" wp14:anchorId="6D1308D9" wp14:editId="2906D7BE">
            <wp:extent cx="5762625" cy="3695700"/>
            <wp:effectExtent l="0" t="0" r="9525" b="1905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40D54" w:rsidRPr="00D40D54" w:rsidRDefault="00D40D54" w:rsidP="000C653B">
      <w:pPr>
        <w:spacing w:after="200"/>
        <w:jc w:val="center"/>
        <w:rPr>
          <w:rFonts w:asciiTheme="minorHAnsi" w:hAnsiTheme="minorHAnsi"/>
          <w:b/>
          <w:sz w:val="22"/>
        </w:rPr>
      </w:pPr>
      <w:r w:rsidRPr="00D40D54">
        <w:rPr>
          <w:rFonts w:asciiTheme="minorHAnsi" w:hAnsiTheme="minorHAnsi"/>
          <w:b/>
          <w:sz w:val="22"/>
        </w:rPr>
        <w:t>Graf: SÚPM</w:t>
      </w:r>
    </w:p>
    <w:p w:rsidR="00D40D54" w:rsidRDefault="00E06B35" w:rsidP="00D40D54">
      <w:pPr>
        <w:spacing w:after="200"/>
        <w:rPr>
          <w:rFonts w:cs="Arial"/>
          <w:b/>
          <w:szCs w:val="24"/>
          <w:u w:val="single"/>
        </w:rPr>
      </w:pPr>
      <w:r>
        <w:rPr>
          <w:noProof/>
          <w:lang w:eastAsia="cs-CZ"/>
        </w:rPr>
        <w:drawing>
          <wp:inline distT="0" distB="0" distL="0" distR="0" wp14:anchorId="077A66BD" wp14:editId="14DB380A">
            <wp:extent cx="5760720" cy="3237419"/>
            <wp:effectExtent l="0" t="0" r="11430" b="2032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706BF" w:rsidRDefault="005706BF" w:rsidP="00D40D54">
      <w:pPr>
        <w:spacing w:after="200"/>
        <w:rPr>
          <w:rFonts w:cs="Arial"/>
          <w:b/>
          <w:i/>
          <w:szCs w:val="24"/>
          <w:u w:val="single"/>
        </w:rPr>
      </w:pPr>
    </w:p>
    <w:p w:rsidR="004F7EFC" w:rsidRDefault="004F7EFC" w:rsidP="00D40D54">
      <w:pPr>
        <w:spacing w:after="200"/>
        <w:rPr>
          <w:rFonts w:cs="Arial"/>
          <w:b/>
          <w:i/>
          <w:szCs w:val="24"/>
          <w:u w:val="single"/>
        </w:rPr>
      </w:pPr>
    </w:p>
    <w:p w:rsidR="004F7EFC" w:rsidRDefault="004F7EFC" w:rsidP="00D40D54">
      <w:pPr>
        <w:spacing w:after="200"/>
        <w:rPr>
          <w:rFonts w:cs="Arial"/>
          <w:b/>
          <w:i/>
          <w:szCs w:val="24"/>
          <w:u w:val="single"/>
        </w:rPr>
      </w:pPr>
    </w:p>
    <w:p w:rsidR="00D40D54" w:rsidRPr="005706BF" w:rsidRDefault="001105B2" w:rsidP="004F7EFC">
      <w:pPr>
        <w:spacing w:after="200"/>
        <w:rPr>
          <w:b/>
        </w:rPr>
      </w:pPr>
      <w:r w:rsidRPr="005706BF">
        <w:rPr>
          <w:rFonts w:cs="Arial"/>
          <w:b/>
          <w:szCs w:val="24"/>
        </w:rPr>
        <w:t>5</w:t>
      </w:r>
      <w:r w:rsidR="00BB4734" w:rsidRPr="005706BF">
        <w:rPr>
          <w:rFonts w:cs="Arial"/>
          <w:b/>
          <w:szCs w:val="24"/>
        </w:rPr>
        <w:t>.</w:t>
      </w:r>
      <w:r w:rsidRPr="005706BF">
        <w:rPr>
          <w:rFonts w:cs="Arial"/>
          <w:b/>
          <w:szCs w:val="24"/>
        </w:rPr>
        <w:t xml:space="preserve"> </w:t>
      </w:r>
      <w:r w:rsidRPr="005706BF">
        <w:rPr>
          <w:b/>
        </w:rPr>
        <w:t>Veřejná služba</w:t>
      </w:r>
    </w:p>
    <w:p w:rsidR="001105B2" w:rsidRDefault="001105B2" w:rsidP="00D40D54">
      <w:pPr>
        <w:spacing w:after="200"/>
        <w:rPr>
          <w:b/>
          <w:u w:val="single"/>
        </w:rPr>
      </w:pPr>
      <w:r>
        <w:rPr>
          <w:b/>
          <w:u w:val="single"/>
        </w:rPr>
        <w:t>Popis opatření:</w:t>
      </w:r>
    </w:p>
    <w:p w:rsidR="001105B2" w:rsidRDefault="001105B2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>Opětovné zavedení bonifikace výkonu veřejné služby s cílem aktivizovat osoby dlouhodobě nezaměstnané, resp. osoby nacházející se v hmotné nouzi s cílem podpořit uchování, resp. znovuzískání nezbytných pracovních návyků</w:t>
      </w:r>
      <w:r w:rsidR="00BB4734">
        <w:rPr>
          <w:rFonts w:cs="Arial"/>
          <w:szCs w:val="24"/>
        </w:rPr>
        <w:t>.</w:t>
      </w:r>
    </w:p>
    <w:p w:rsidR="00BB4734" w:rsidRDefault="00BB4734" w:rsidP="000C653B">
      <w:pPr>
        <w:spacing w:line="240" w:lineRule="auto"/>
        <w:rPr>
          <w:rFonts w:cs="Arial"/>
          <w:szCs w:val="24"/>
        </w:rPr>
      </w:pPr>
    </w:p>
    <w:p w:rsidR="001105B2" w:rsidRDefault="001105B2" w:rsidP="000C653B">
      <w:pPr>
        <w:spacing w:line="240" w:lineRule="auto"/>
        <w:rPr>
          <w:rFonts w:cs="Arial"/>
          <w:b/>
          <w:szCs w:val="24"/>
          <w:u w:val="single"/>
        </w:rPr>
      </w:pPr>
      <w:r w:rsidRPr="001105B2">
        <w:rPr>
          <w:rFonts w:cs="Arial"/>
          <w:b/>
          <w:szCs w:val="24"/>
          <w:u w:val="single"/>
        </w:rPr>
        <w:t>Plnění opatření:</w:t>
      </w:r>
    </w:p>
    <w:p w:rsidR="000C653B" w:rsidRDefault="000C653B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682458" w:rsidRDefault="00103357" w:rsidP="000C653B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Dne 1. listopadu 2016 podepsal prezident</w:t>
      </w:r>
      <w:r w:rsidR="00682458" w:rsidRPr="004764BB">
        <w:rPr>
          <w:rFonts w:ascii="Arial" w:hAnsi="Arial" w:cs="Arial"/>
        </w:rPr>
        <w:t xml:space="preserve"> návrh</w:t>
      </w:r>
      <w:r w:rsidR="00EB1BB2">
        <w:rPr>
          <w:rFonts w:ascii="Arial" w:hAnsi="Arial" w:cs="Arial"/>
        </w:rPr>
        <w:t xml:space="preserve"> zákona</w:t>
      </w:r>
      <w:r>
        <w:rPr>
          <w:rFonts w:ascii="Arial" w:hAnsi="Arial" w:cs="Arial"/>
        </w:rPr>
        <w:t>, kterým se mění zákon č. </w:t>
      </w:r>
      <w:r w:rsidR="00D60245">
        <w:rPr>
          <w:rFonts w:ascii="Arial" w:hAnsi="Arial" w:cs="Arial"/>
        </w:rPr>
        <w:t>111/2006 Sb., o pomoci v hmotné nouzi, ve znění pozdějších předpisů,</w:t>
      </w:r>
      <w:r w:rsidR="00EB1BB2">
        <w:rPr>
          <w:rFonts w:ascii="Arial" w:hAnsi="Arial" w:cs="Arial"/>
        </w:rPr>
        <w:t xml:space="preserve"> (sněmovní tisk č. </w:t>
      </w:r>
      <w:r w:rsidR="00682458" w:rsidRPr="004764BB">
        <w:rPr>
          <w:rFonts w:ascii="Arial" w:hAnsi="Arial" w:cs="Arial"/>
        </w:rPr>
        <w:t>156) na znovuobnovení institutu veřejné služby v systému pomoci v hmotné nouzi.</w:t>
      </w:r>
      <w:r>
        <w:rPr>
          <w:rFonts w:ascii="Arial" w:hAnsi="Arial" w:cs="Arial"/>
        </w:rPr>
        <w:t xml:space="preserve"> </w:t>
      </w:r>
      <w:r w:rsidR="009F225D">
        <w:rPr>
          <w:rFonts w:ascii="Arial" w:hAnsi="Arial" w:cs="Arial"/>
        </w:rPr>
        <w:t>Z</w:t>
      </w:r>
      <w:r w:rsidR="009F225D" w:rsidRPr="009F225D">
        <w:rPr>
          <w:rFonts w:ascii="Arial" w:hAnsi="Arial" w:cs="Arial"/>
        </w:rPr>
        <w:t>ákon nabývá účinnosti prvním dnem třetího kalendářního měsíce násl</w:t>
      </w:r>
      <w:r w:rsidR="009F225D">
        <w:rPr>
          <w:rFonts w:ascii="Arial" w:hAnsi="Arial" w:cs="Arial"/>
        </w:rPr>
        <w:t>edujícího po dni jeho vyhlášení (pravděpodobně únor 2017).</w:t>
      </w:r>
    </w:p>
    <w:p w:rsidR="00682458" w:rsidRDefault="00682458" w:rsidP="000C653B">
      <w:pPr>
        <w:pStyle w:val="Default"/>
        <w:jc w:val="both"/>
        <w:rPr>
          <w:rFonts w:ascii="Arial" w:hAnsi="Arial" w:cs="Arial"/>
        </w:rPr>
      </w:pPr>
    </w:p>
    <w:p w:rsidR="00682458" w:rsidRDefault="00682458" w:rsidP="000C653B">
      <w:pPr>
        <w:pStyle w:val="Default"/>
        <w:jc w:val="both"/>
        <w:rPr>
          <w:rFonts w:ascii="Arial" w:hAnsi="Arial" w:cs="Arial"/>
          <w:b/>
        </w:rPr>
      </w:pPr>
      <w:r w:rsidRPr="00682458">
        <w:rPr>
          <w:rFonts w:ascii="Arial" w:hAnsi="Arial" w:cs="Arial"/>
          <w:b/>
        </w:rPr>
        <w:t xml:space="preserve">Cílem </w:t>
      </w:r>
      <w:r w:rsidR="00103357">
        <w:rPr>
          <w:rFonts w:ascii="Arial" w:hAnsi="Arial" w:cs="Arial"/>
          <w:b/>
        </w:rPr>
        <w:t>zákona</w:t>
      </w:r>
      <w:r w:rsidRPr="00682458">
        <w:rPr>
          <w:rFonts w:ascii="Arial" w:hAnsi="Arial" w:cs="Arial"/>
          <w:b/>
        </w:rPr>
        <w:t xml:space="preserve"> je vrátit institutu veřejné služby původní smysl, a to stát se nástrojem k aktivizaci dlouhodobě nezaměstnaných lidí, kteří žijí ze sociálních dávek. </w:t>
      </w:r>
    </w:p>
    <w:p w:rsidR="00682458" w:rsidRPr="00682458" w:rsidRDefault="00682458" w:rsidP="000C653B">
      <w:pPr>
        <w:pStyle w:val="Default"/>
        <w:jc w:val="both"/>
        <w:rPr>
          <w:rFonts w:ascii="Arial" w:hAnsi="Arial" w:cs="Arial"/>
          <w:b/>
        </w:rPr>
      </w:pPr>
    </w:p>
    <w:p w:rsidR="00682458" w:rsidRDefault="00103357" w:rsidP="000C653B">
      <w:pPr>
        <w:pStyle w:val="Default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Zákon opětovně zavádí</w:t>
      </w:r>
      <w:r w:rsidR="00682458" w:rsidRPr="004764BB">
        <w:rPr>
          <w:rFonts w:ascii="Arial" w:hAnsi="Arial" w:cs="Arial"/>
          <w:iCs/>
        </w:rPr>
        <w:t xml:space="preserve"> </w:t>
      </w:r>
      <w:r w:rsidR="00682458" w:rsidRPr="00682458">
        <w:rPr>
          <w:rFonts w:ascii="Arial" w:hAnsi="Arial" w:cs="Arial"/>
          <w:b/>
          <w:iCs/>
        </w:rPr>
        <w:t>hodnocení možnosti z</w:t>
      </w:r>
      <w:r w:rsidR="009D62A8">
        <w:rPr>
          <w:rFonts w:ascii="Arial" w:hAnsi="Arial" w:cs="Arial"/>
          <w:b/>
          <w:iCs/>
        </w:rPr>
        <w:t>výšit si příjem vlastní prací a </w:t>
      </w:r>
      <w:r w:rsidR="00682458" w:rsidRPr="00682458">
        <w:rPr>
          <w:rFonts w:ascii="Arial" w:hAnsi="Arial" w:cs="Arial"/>
          <w:b/>
          <w:iCs/>
        </w:rPr>
        <w:t>motivační zvýhodnění osob vykonávajících veřejnou službu. To znamená, že aktivním osobám bude možné dávky zvýšit a méně aktivním či neaktivním osobám zase naopak snížit</w:t>
      </w:r>
      <w:r w:rsidR="00682458" w:rsidRPr="00682458">
        <w:rPr>
          <w:rFonts w:ascii="Arial" w:hAnsi="Arial" w:cs="Arial"/>
          <w:iCs/>
        </w:rPr>
        <w:t xml:space="preserve">. </w:t>
      </w:r>
      <w:r w:rsidRPr="00103357">
        <w:rPr>
          <w:rFonts w:ascii="Arial" w:hAnsi="Arial" w:cs="Arial"/>
          <w:iCs/>
        </w:rPr>
        <w:t>Pokud osoba, která pobírá příspěvek na živobytí</w:t>
      </w:r>
      <w:r>
        <w:rPr>
          <w:rFonts w:ascii="Arial" w:hAnsi="Arial" w:cs="Arial"/>
          <w:iCs/>
        </w:rPr>
        <w:t>,</w:t>
      </w:r>
      <w:r w:rsidRPr="00103357">
        <w:rPr>
          <w:rFonts w:ascii="Arial" w:hAnsi="Arial" w:cs="Arial"/>
          <w:iCs/>
        </w:rPr>
        <w:t xml:space="preserve"> odpracuje na veřejné službě více jak 30 hodin měsíčně, zvýší se jí příspěvek na živobytí oproti současné výši (zp</w:t>
      </w:r>
      <w:r w:rsidR="009D62A8">
        <w:rPr>
          <w:rFonts w:ascii="Arial" w:hAnsi="Arial" w:cs="Arial"/>
          <w:iCs/>
        </w:rPr>
        <w:t xml:space="preserve">ravidla výši životního minima 3 </w:t>
      </w:r>
      <w:r w:rsidRPr="00103357">
        <w:rPr>
          <w:rFonts w:ascii="Arial" w:hAnsi="Arial" w:cs="Arial"/>
          <w:iCs/>
        </w:rPr>
        <w:t>410 Kč) o 605 Kč (tedy na 4</w:t>
      </w:r>
      <w:r w:rsidR="009D62A8">
        <w:rPr>
          <w:rFonts w:ascii="Arial" w:hAnsi="Arial" w:cs="Arial"/>
          <w:iCs/>
        </w:rPr>
        <w:t xml:space="preserve"> </w:t>
      </w:r>
      <w:r w:rsidRPr="00103357">
        <w:rPr>
          <w:rFonts w:ascii="Arial" w:hAnsi="Arial" w:cs="Arial"/>
          <w:iCs/>
        </w:rPr>
        <w:t>015 Kč)</w:t>
      </w:r>
      <w:r>
        <w:rPr>
          <w:rFonts w:ascii="Arial" w:hAnsi="Arial" w:cs="Arial"/>
          <w:iCs/>
        </w:rPr>
        <w:t xml:space="preserve">. </w:t>
      </w:r>
      <w:r w:rsidRPr="00103357">
        <w:rPr>
          <w:rFonts w:ascii="Arial" w:hAnsi="Arial" w:cs="Arial"/>
          <w:b/>
          <w:iCs/>
        </w:rPr>
        <w:t>V</w:t>
      </w:r>
      <w:r w:rsidR="00682458" w:rsidRPr="00682458">
        <w:rPr>
          <w:rFonts w:ascii="Arial" w:hAnsi="Arial" w:cs="Arial"/>
          <w:b/>
          <w:iCs/>
        </w:rPr>
        <w:t xml:space="preserve">eřejnou službu </w:t>
      </w:r>
      <w:r>
        <w:rPr>
          <w:rFonts w:ascii="Arial" w:hAnsi="Arial" w:cs="Arial"/>
          <w:b/>
          <w:iCs/>
        </w:rPr>
        <w:t xml:space="preserve">bude </w:t>
      </w:r>
      <w:r w:rsidR="00682458" w:rsidRPr="00682458">
        <w:rPr>
          <w:rFonts w:ascii="Arial" w:hAnsi="Arial" w:cs="Arial"/>
          <w:b/>
          <w:iCs/>
        </w:rPr>
        <w:t>nabízet osobám Ú</w:t>
      </w:r>
      <w:r w:rsidR="00D60245">
        <w:rPr>
          <w:rFonts w:ascii="Arial" w:hAnsi="Arial" w:cs="Arial"/>
          <w:b/>
          <w:iCs/>
        </w:rPr>
        <w:t>P</w:t>
      </w:r>
      <w:r w:rsidR="00682458" w:rsidRPr="00682458">
        <w:rPr>
          <w:rFonts w:ascii="Arial" w:hAnsi="Arial" w:cs="Arial"/>
          <w:b/>
          <w:iCs/>
        </w:rPr>
        <w:t xml:space="preserve"> ČR, </w:t>
      </w:r>
      <w:proofErr w:type="gramStart"/>
      <w:r w:rsidR="00682458" w:rsidRPr="00682458">
        <w:rPr>
          <w:rFonts w:ascii="Arial" w:hAnsi="Arial" w:cs="Arial"/>
          <w:b/>
          <w:iCs/>
        </w:rPr>
        <w:t>který</w:t>
      </w:r>
      <w:proofErr w:type="gramEnd"/>
      <w:r w:rsidR="00682458" w:rsidRPr="00682458">
        <w:rPr>
          <w:rFonts w:ascii="Arial" w:hAnsi="Arial" w:cs="Arial"/>
          <w:b/>
          <w:iCs/>
        </w:rPr>
        <w:t xml:space="preserve"> bude moci přenést některé kompetence v souvislosti s veřejnou službou na obce, popřípadě i na jiné subjekty (např. neziskové organizace).</w:t>
      </w:r>
      <w:r w:rsidR="00682458" w:rsidRPr="00682458">
        <w:rPr>
          <w:rFonts w:ascii="Arial" w:hAnsi="Arial" w:cs="Arial"/>
          <w:iCs/>
        </w:rPr>
        <w:t xml:space="preserve"> </w:t>
      </w:r>
    </w:p>
    <w:p w:rsidR="00682458" w:rsidRDefault="00682458" w:rsidP="000C653B">
      <w:pPr>
        <w:pStyle w:val="Default"/>
        <w:jc w:val="both"/>
        <w:rPr>
          <w:rFonts w:ascii="Arial" w:hAnsi="Arial" w:cs="Arial"/>
          <w:iCs/>
        </w:rPr>
      </w:pPr>
    </w:p>
    <w:p w:rsidR="009D62A8" w:rsidRDefault="009D62A8" w:rsidP="000C653B">
      <w:pPr>
        <w:pStyle w:val="Default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Ministerstvo práce a sociálních věcí však bude s ohledem na aktuální vývoj na trhu práce a přetrvávající problémy s dlouhodobou nezaměstnaností hledat další způsoby, jak bonifikovat ty osoby v hmotné nouzi, u nichž existuje prokazatelná snaha zlepšit vlastní situaci výkonem veřejné služby či dalším aktivním hledáním pracovního uplatnění.</w:t>
      </w:r>
    </w:p>
    <w:p w:rsidR="009D62A8" w:rsidRDefault="009D62A8" w:rsidP="000C653B">
      <w:pPr>
        <w:pStyle w:val="Default"/>
        <w:jc w:val="both"/>
        <w:rPr>
          <w:rFonts w:ascii="Arial" w:hAnsi="Arial" w:cs="Arial"/>
          <w:iCs/>
        </w:rPr>
      </w:pPr>
    </w:p>
    <w:p w:rsidR="00682458" w:rsidRPr="004764BB" w:rsidRDefault="00682458" w:rsidP="000C653B">
      <w:pPr>
        <w:pStyle w:val="Default"/>
        <w:ind w:left="786"/>
        <w:jc w:val="both"/>
        <w:rPr>
          <w:rFonts w:ascii="Arial" w:hAnsi="Arial" w:cs="Arial"/>
        </w:rPr>
      </w:pPr>
    </w:p>
    <w:p w:rsidR="001105B2" w:rsidRPr="005706BF" w:rsidRDefault="001105B2" w:rsidP="004F7EFC">
      <w:pPr>
        <w:spacing w:line="240" w:lineRule="auto"/>
        <w:rPr>
          <w:rFonts w:cs="Arial"/>
          <w:b/>
          <w:szCs w:val="24"/>
        </w:rPr>
      </w:pPr>
      <w:r w:rsidRPr="005706BF">
        <w:rPr>
          <w:rFonts w:cs="Arial"/>
          <w:b/>
          <w:szCs w:val="24"/>
        </w:rPr>
        <w:t>6. Revize nekolidujícího zaměstnání</w:t>
      </w:r>
    </w:p>
    <w:p w:rsidR="000C653B" w:rsidRDefault="000C653B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1105B2" w:rsidRDefault="001105B2" w:rsidP="000C653B">
      <w:pPr>
        <w:spacing w:line="240" w:lineRule="auto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t>Popis opatření:</w:t>
      </w:r>
    </w:p>
    <w:p w:rsidR="000C653B" w:rsidRDefault="000C653B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1105B2" w:rsidRDefault="001105B2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 xml:space="preserve">Částečné zaměstnávání v souběhu </w:t>
      </w:r>
      <w:r>
        <w:rPr>
          <w:rFonts w:cs="Arial"/>
          <w:szCs w:val="24"/>
        </w:rPr>
        <w:t>s vedením v evidenci uchazečů o </w:t>
      </w:r>
      <w:r w:rsidRPr="00C605D8">
        <w:rPr>
          <w:rFonts w:cs="Arial"/>
          <w:szCs w:val="24"/>
        </w:rPr>
        <w:t xml:space="preserve">zaměstnání je umožněno od počátku účinnosti zákona </w:t>
      </w:r>
      <w:r w:rsidR="00A5698A">
        <w:rPr>
          <w:rFonts w:cs="Arial"/>
          <w:szCs w:val="24"/>
        </w:rPr>
        <w:t xml:space="preserve">č. 435/2004 Sb., </w:t>
      </w:r>
      <w:r w:rsidRPr="00C605D8">
        <w:rPr>
          <w:rFonts w:cs="Arial"/>
          <w:szCs w:val="24"/>
        </w:rPr>
        <w:t>o zaměstnanosti</w:t>
      </w:r>
      <w:r w:rsidR="00A5698A">
        <w:rPr>
          <w:rFonts w:cs="Arial"/>
          <w:szCs w:val="24"/>
        </w:rPr>
        <w:t>, ve znění pozdějších předpisů (dále jen „zákon o zaměstnanosti“)</w:t>
      </w:r>
      <w:r w:rsidRPr="00C605D8">
        <w:rPr>
          <w:rFonts w:cs="Arial"/>
          <w:szCs w:val="24"/>
        </w:rPr>
        <w:t>, tj. ode dne 1. 10. 2004. Cílem této právní úpravy bylo umožnit zachová</w:t>
      </w:r>
      <w:r w:rsidR="00EB1BB2">
        <w:rPr>
          <w:rFonts w:cs="Arial"/>
          <w:szCs w:val="24"/>
        </w:rPr>
        <w:t>ní pracovních návyků uchazeče o </w:t>
      </w:r>
      <w:r w:rsidRPr="00C605D8">
        <w:rPr>
          <w:rFonts w:cs="Arial"/>
          <w:szCs w:val="24"/>
        </w:rPr>
        <w:t>zaměstnání, případně jejich získání, a podpoření snahy o zvýšení příjmu vlastní prací. Z aktuálních dat vyplývá, že počet vykonávaných nekolidujících zaměstnání se zvyšuje, při tom jsou vykonávány uchazeči o zam</w:t>
      </w:r>
      <w:r w:rsidR="00EB1BB2">
        <w:rPr>
          <w:rFonts w:cs="Arial"/>
          <w:szCs w:val="24"/>
        </w:rPr>
        <w:t>ěstnání, kteří mohou pracovat a </w:t>
      </w:r>
      <w:r w:rsidRPr="00C605D8">
        <w:rPr>
          <w:rFonts w:cs="Arial"/>
          <w:szCs w:val="24"/>
        </w:rPr>
        <w:t xml:space="preserve">neztratili pracovní návyky. </w:t>
      </w:r>
    </w:p>
    <w:p w:rsidR="000C653B" w:rsidRPr="00C605D8" w:rsidRDefault="000C653B" w:rsidP="000C653B">
      <w:pPr>
        <w:spacing w:line="240" w:lineRule="auto"/>
        <w:rPr>
          <w:rFonts w:cs="Arial"/>
          <w:szCs w:val="24"/>
        </w:rPr>
      </w:pPr>
    </w:p>
    <w:p w:rsidR="001105B2" w:rsidRDefault="00682458" w:rsidP="000C653B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MPSV připravilo</w:t>
      </w:r>
      <w:r w:rsidR="001105B2" w:rsidRPr="00C605D8">
        <w:rPr>
          <w:rFonts w:cs="Arial"/>
          <w:szCs w:val="24"/>
        </w:rPr>
        <w:t xml:space="preserve"> řešení regulace nekolidujícího zaměstnání tak, aby byla zachována jeho funkčnost, ale zároveň došlo k eliminaci jeho negativních dopadů na zprostředkování zaměstnání. </w:t>
      </w:r>
    </w:p>
    <w:p w:rsidR="000C653B" w:rsidRDefault="000C653B" w:rsidP="000C653B">
      <w:pPr>
        <w:spacing w:line="240" w:lineRule="auto"/>
        <w:rPr>
          <w:rFonts w:cs="Arial"/>
          <w:szCs w:val="24"/>
        </w:rPr>
      </w:pPr>
    </w:p>
    <w:p w:rsidR="001105B2" w:rsidRDefault="001105B2" w:rsidP="000C653B">
      <w:pPr>
        <w:spacing w:line="240" w:lineRule="auto"/>
        <w:rPr>
          <w:rFonts w:cs="Arial"/>
          <w:b/>
          <w:szCs w:val="24"/>
          <w:u w:val="single"/>
        </w:rPr>
      </w:pPr>
      <w:r w:rsidRPr="001105B2">
        <w:rPr>
          <w:rFonts w:cs="Arial"/>
          <w:b/>
          <w:szCs w:val="24"/>
          <w:u w:val="single"/>
        </w:rPr>
        <w:t>Plnění opatření:</w:t>
      </w:r>
    </w:p>
    <w:p w:rsidR="000C653B" w:rsidRPr="001105B2" w:rsidRDefault="000C653B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1105B2" w:rsidRDefault="001105B2" w:rsidP="000C653B">
      <w:pPr>
        <w:spacing w:line="240" w:lineRule="auto"/>
      </w:pPr>
      <w:r w:rsidRPr="00682458">
        <w:rPr>
          <w:b/>
        </w:rPr>
        <w:t>Podle kvalifikovaného odhadu z celkového počtu nekolidujícího zaměstnání činí cca 95 % výkon činnosti na základě dohody o provedení práce (DPP).</w:t>
      </w:r>
      <w:r w:rsidRPr="004C70E8">
        <w:t xml:space="preserve"> </w:t>
      </w:r>
      <w:r>
        <w:t>Takovýto</w:t>
      </w:r>
      <w:r w:rsidRPr="004C70E8">
        <w:t xml:space="preserve"> výkon zaměstnání</w:t>
      </w:r>
      <w:r>
        <w:t xml:space="preserve"> </w:t>
      </w:r>
      <w:r w:rsidRPr="004C70E8">
        <w:t>poskytuje „oslabenou ochranu“</w:t>
      </w:r>
      <w:r>
        <w:t>. Z</w:t>
      </w:r>
      <w:r w:rsidRPr="004C70E8">
        <w:t xml:space="preserve">aměstnanci činní na základě </w:t>
      </w:r>
      <w:r>
        <w:t>DPP</w:t>
      </w:r>
      <w:r w:rsidRPr="004C70E8">
        <w:t xml:space="preserve"> jsou účastni nemocenského pojištění jen</w:t>
      </w:r>
      <w:r>
        <w:t xml:space="preserve"> tehdy,</w:t>
      </w:r>
      <w:r w:rsidRPr="004C70E8">
        <w:t xml:space="preserve"> pokud jim byl zúčtován započitatelný příjem v částce vyšší než 10 000 Kč.</w:t>
      </w:r>
      <w:r>
        <w:t xml:space="preserve"> N</w:t>
      </w:r>
      <w:r w:rsidRPr="004C70E8">
        <w:t xml:space="preserve">ekolidující zaměstnání na základě </w:t>
      </w:r>
      <w:r>
        <w:t>DPP</w:t>
      </w:r>
      <w:r w:rsidRPr="004C70E8">
        <w:t xml:space="preserve"> </w:t>
      </w:r>
      <w:r>
        <w:t>bývá rovněž</w:t>
      </w:r>
      <w:r w:rsidRPr="004C70E8">
        <w:t xml:space="preserve"> vykonáváno dlouhodobě, mnohdy po dobu</w:t>
      </w:r>
      <w:r>
        <w:t xml:space="preserve"> </w:t>
      </w:r>
      <w:r w:rsidRPr="004C70E8">
        <w:t xml:space="preserve">3 a více let. </w:t>
      </w:r>
      <w:r>
        <w:t>Takovýto</w:t>
      </w:r>
      <w:r w:rsidRPr="004C70E8">
        <w:t xml:space="preserve"> způsob výkonu nekolidujícího zaměstnání nesměřuje k vytvoření podmínek pro </w:t>
      </w:r>
      <w:r>
        <w:t xml:space="preserve">trvalé </w:t>
      </w:r>
      <w:r w:rsidRPr="004C70E8">
        <w:t>uplatn</w:t>
      </w:r>
      <w:r>
        <w:t xml:space="preserve">ění </w:t>
      </w:r>
      <w:r w:rsidR="00682458">
        <w:t xml:space="preserve">uchazeče o zaměstnání </w:t>
      </w:r>
      <w:r w:rsidRPr="004C70E8">
        <w:t xml:space="preserve">na trhu práce. </w:t>
      </w:r>
    </w:p>
    <w:p w:rsidR="001105B2" w:rsidRDefault="001105B2" w:rsidP="000C653B">
      <w:pPr>
        <w:spacing w:line="240" w:lineRule="auto"/>
        <w:rPr>
          <w:rFonts w:cs="Arial"/>
          <w:szCs w:val="24"/>
        </w:rPr>
      </w:pPr>
    </w:p>
    <w:p w:rsidR="00682458" w:rsidRDefault="001105B2" w:rsidP="000C653B">
      <w:pPr>
        <w:spacing w:line="240" w:lineRule="auto"/>
        <w:rPr>
          <w:rFonts w:cs="Arial"/>
          <w:szCs w:val="24"/>
        </w:rPr>
      </w:pPr>
      <w:r w:rsidRPr="00682458">
        <w:rPr>
          <w:rFonts w:cs="Arial"/>
          <w:b/>
          <w:szCs w:val="24"/>
        </w:rPr>
        <w:t>MPSV proto navrhlo zrušení možnosti vykonávat nekolidující zaměstnání na základě DPP.</w:t>
      </w:r>
      <w:r>
        <w:rPr>
          <w:rFonts w:cs="Arial"/>
          <w:szCs w:val="24"/>
        </w:rPr>
        <w:t xml:space="preserve"> </w:t>
      </w:r>
      <w:r w:rsidRPr="00682458">
        <w:rPr>
          <w:rFonts w:cs="Arial"/>
          <w:b/>
          <w:szCs w:val="24"/>
        </w:rPr>
        <w:t xml:space="preserve">Podle navrhované právní úpravy překážkou pro zařazení do evidence </w:t>
      </w:r>
      <w:r w:rsidR="00682458">
        <w:rPr>
          <w:rFonts w:cs="Arial"/>
          <w:b/>
          <w:szCs w:val="24"/>
        </w:rPr>
        <w:t>uchazečů o zaměstnání</w:t>
      </w:r>
      <w:r w:rsidRPr="00682458">
        <w:rPr>
          <w:rFonts w:cs="Arial"/>
          <w:b/>
          <w:szCs w:val="24"/>
        </w:rPr>
        <w:t xml:space="preserve"> resp. vedení v evidenci </w:t>
      </w:r>
      <w:r w:rsidR="00EB1BB2">
        <w:rPr>
          <w:rFonts w:cs="Arial"/>
          <w:b/>
          <w:szCs w:val="24"/>
        </w:rPr>
        <w:t>uchazečů o </w:t>
      </w:r>
      <w:r w:rsidR="00682458">
        <w:rPr>
          <w:rFonts w:cs="Arial"/>
          <w:b/>
          <w:szCs w:val="24"/>
        </w:rPr>
        <w:t>zaměstnání</w:t>
      </w:r>
      <w:r w:rsidRPr="00682458">
        <w:rPr>
          <w:rFonts w:cs="Arial"/>
          <w:b/>
          <w:szCs w:val="24"/>
        </w:rPr>
        <w:t xml:space="preserve"> bude ta skutečnost, že </w:t>
      </w:r>
      <w:r w:rsidR="00682458">
        <w:rPr>
          <w:rFonts w:cs="Arial"/>
          <w:b/>
          <w:szCs w:val="24"/>
        </w:rPr>
        <w:t>uchazeč o zaměstnání</w:t>
      </w:r>
      <w:r w:rsidRPr="00682458">
        <w:rPr>
          <w:rFonts w:cs="Arial"/>
          <w:b/>
          <w:szCs w:val="24"/>
        </w:rPr>
        <w:t xml:space="preserve"> je v právním vztahu vzniklém k výkonu činnosti na základě DPP.</w:t>
      </w:r>
      <w:r>
        <w:rPr>
          <w:rFonts w:cs="Arial"/>
          <w:szCs w:val="24"/>
        </w:rPr>
        <w:t xml:space="preserve"> </w:t>
      </w:r>
      <w:r w:rsidRPr="00682458">
        <w:rPr>
          <w:rFonts w:cs="Arial"/>
          <w:b/>
          <w:szCs w:val="24"/>
        </w:rPr>
        <w:t xml:space="preserve">Nadále bude ponechána možnost částečného zaměstnávání v souběhu s vedením v evidenci </w:t>
      </w:r>
      <w:r w:rsidR="00EB1BB2">
        <w:rPr>
          <w:rFonts w:cs="Arial"/>
          <w:b/>
          <w:szCs w:val="24"/>
        </w:rPr>
        <w:t>uchazečů o </w:t>
      </w:r>
      <w:r w:rsidR="00682458">
        <w:rPr>
          <w:rFonts w:cs="Arial"/>
          <w:b/>
          <w:szCs w:val="24"/>
        </w:rPr>
        <w:t>zaměstnání</w:t>
      </w:r>
      <w:r w:rsidRPr="00682458">
        <w:rPr>
          <w:rFonts w:cs="Arial"/>
          <w:b/>
          <w:szCs w:val="24"/>
        </w:rPr>
        <w:t xml:space="preserve"> avšak pouze na základě pracovního nebo služebního poměru nebo na základě dohody o pracovní činnosti.</w:t>
      </w:r>
      <w:r w:rsidRPr="004C70E8">
        <w:rPr>
          <w:rFonts w:cs="Arial"/>
          <w:szCs w:val="24"/>
        </w:rPr>
        <w:t xml:space="preserve"> </w:t>
      </w:r>
    </w:p>
    <w:p w:rsidR="00682458" w:rsidRDefault="00682458" w:rsidP="000C653B">
      <w:pPr>
        <w:spacing w:line="240" w:lineRule="auto"/>
        <w:rPr>
          <w:rFonts w:cs="Arial"/>
          <w:szCs w:val="24"/>
        </w:rPr>
      </w:pPr>
    </w:p>
    <w:p w:rsidR="00682458" w:rsidRDefault="001105B2" w:rsidP="000C653B">
      <w:pPr>
        <w:spacing w:line="240" w:lineRule="auto"/>
        <w:rPr>
          <w:rFonts w:cs="Arial"/>
          <w:szCs w:val="24"/>
        </w:rPr>
      </w:pPr>
      <w:r w:rsidRPr="004C70E8">
        <w:rPr>
          <w:rFonts w:cs="Arial"/>
          <w:szCs w:val="24"/>
        </w:rPr>
        <w:t>Tímto bude i nadále naplňován sledovaný cíl</w:t>
      </w:r>
      <w:r>
        <w:rPr>
          <w:rFonts w:cs="Arial"/>
          <w:szCs w:val="24"/>
        </w:rPr>
        <w:t xml:space="preserve"> tohoto institutu, který slouží k </w:t>
      </w:r>
      <w:r w:rsidRPr="004C70E8">
        <w:rPr>
          <w:rFonts w:cs="Arial"/>
          <w:szCs w:val="24"/>
        </w:rPr>
        <w:t xml:space="preserve">zachování </w:t>
      </w:r>
      <w:r>
        <w:rPr>
          <w:rFonts w:cs="Arial"/>
          <w:szCs w:val="24"/>
        </w:rPr>
        <w:t xml:space="preserve">případně získání </w:t>
      </w:r>
      <w:r w:rsidRPr="004C70E8">
        <w:rPr>
          <w:rFonts w:cs="Arial"/>
          <w:szCs w:val="24"/>
        </w:rPr>
        <w:t xml:space="preserve">pracovních </w:t>
      </w:r>
      <w:r>
        <w:rPr>
          <w:rFonts w:cs="Arial"/>
          <w:szCs w:val="24"/>
        </w:rPr>
        <w:t>návyků uchazeče o </w:t>
      </w:r>
      <w:r w:rsidRPr="004C70E8">
        <w:rPr>
          <w:rFonts w:cs="Arial"/>
          <w:szCs w:val="24"/>
        </w:rPr>
        <w:t>zaměstnání,</w:t>
      </w:r>
      <w:r>
        <w:rPr>
          <w:rFonts w:cs="Arial"/>
          <w:szCs w:val="24"/>
        </w:rPr>
        <w:t xml:space="preserve"> </w:t>
      </w:r>
      <w:r w:rsidR="00EB1BB2">
        <w:rPr>
          <w:rFonts w:cs="Arial"/>
          <w:szCs w:val="24"/>
        </w:rPr>
        <w:t>a podpoření snahy o </w:t>
      </w:r>
      <w:r w:rsidRPr="004C70E8">
        <w:rPr>
          <w:rFonts w:cs="Arial"/>
          <w:szCs w:val="24"/>
        </w:rPr>
        <w:t>zvýšení příjmu vlastní prací.</w:t>
      </w:r>
    </w:p>
    <w:p w:rsidR="001105B2" w:rsidRDefault="001105B2" w:rsidP="000C653B">
      <w:pPr>
        <w:spacing w:line="240" w:lineRule="auto"/>
        <w:rPr>
          <w:rFonts w:cs="Arial"/>
          <w:szCs w:val="24"/>
        </w:rPr>
      </w:pPr>
      <w:r w:rsidRPr="004C70E8">
        <w:rPr>
          <w:rFonts w:cs="Arial"/>
          <w:szCs w:val="24"/>
        </w:rPr>
        <w:t xml:space="preserve"> </w:t>
      </w:r>
    </w:p>
    <w:p w:rsidR="0093305B" w:rsidRPr="00697AC8" w:rsidRDefault="00682458" w:rsidP="000C653B">
      <w:pPr>
        <w:spacing w:line="240" w:lineRule="auto"/>
        <w:rPr>
          <w:rFonts w:cs="Arial"/>
          <w:b/>
          <w:szCs w:val="24"/>
        </w:rPr>
      </w:pPr>
      <w:r w:rsidRPr="00697AC8">
        <w:rPr>
          <w:rFonts w:cs="Arial"/>
          <w:b/>
          <w:szCs w:val="24"/>
        </w:rPr>
        <w:t>Navrhovaná úprava se v současné době nachází v</w:t>
      </w:r>
      <w:r w:rsidR="00D60245">
        <w:rPr>
          <w:rFonts w:cs="Arial"/>
          <w:b/>
          <w:szCs w:val="24"/>
        </w:rPr>
        <w:t> </w:t>
      </w:r>
      <w:r w:rsidRPr="00697AC8">
        <w:rPr>
          <w:rFonts w:cs="Arial"/>
          <w:b/>
          <w:szCs w:val="24"/>
        </w:rPr>
        <w:t>P</w:t>
      </w:r>
      <w:r w:rsidR="00D60245">
        <w:rPr>
          <w:rFonts w:cs="Arial"/>
          <w:b/>
          <w:szCs w:val="24"/>
        </w:rPr>
        <w:t xml:space="preserve">oslanecké sněmovně Parlamentu </w:t>
      </w:r>
      <w:r w:rsidRPr="00697AC8">
        <w:rPr>
          <w:rFonts w:cs="Arial"/>
          <w:b/>
          <w:szCs w:val="24"/>
        </w:rPr>
        <w:t xml:space="preserve">ČR - </w:t>
      </w:r>
      <w:r w:rsidR="001105B2" w:rsidRPr="00697AC8">
        <w:rPr>
          <w:rFonts w:cs="Arial"/>
          <w:b/>
          <w:szCs w:val="24"/>
        </w:rPr>
        <w:t>Sněmovní tisk č. 911</w:t>
      </w:r>
      <w:r w:rsidRPr="00697AC8">
        <w:rPr>
          <w:rFonts w:cs="Arial"/>
          <w:b/>
          <w:szCs w:val="24"/>
        </w:rPr>
        <w:t>.</w:t>
      </w:r>
      <w:r w:rsidR="001105B2" w:rsidRPr="00697AC8">
        <w:rPr>
          <w:rFonts w:cs="Arial"/>
          <w:b/>
          <w:szCs w:val="24"/>
        </w:rPr>
        <w:t xml:space="preserve"> </w:t>
      </w:r>
    </w:p>
    <w:p w:rsidR="00682458" w:rsidRPr="000C653B" w:rsidRDefault="00682458" w:rsidP="001105B2">
      <w:pPr>
        <w:rPr>
          <w:rFonts w:cs="Arial"/>
          <w:i/>
          <w:szCs w:val="24"/>
        </w:rPr>
      </w:pPr>
    </w:p>
    <w:p w:rsidR="001105B2" w:rsidRPr="005706BF" w:rsidRDefault="001105B2" w:rsidP="004F7EFC">
      <w:pPr>
        <w:spacing w:line="240" w:lineRule="auto"/>
        <w:rPr>
          <w:b/>
        </w:rPr>
      </w:pPr>
      <w:r w:rsidRPr="005706BF">
        <w:rPr>
          <w:rFonts w:cs="Arial"/>
          <w:b/>
          <w:szCs w:val="24"/>
        </w:rPr>
        <w:t xml:space="preserve">7. </w:t>
      </w:r>
      <w:r w:rsidRPr="005706BF">
        <w:rPr>
          <w:b/>
        </w:rPr>
        <w:t>Zvýšení minimální mzdy</w:t>
      </w:r>
    </w:p>
    <w:p w:rsidR="000C653B" w:rsidRDefault="000C653B" w:rsidP="000C653B">
      <w:pPr>
        <w:spacing w:line="240" w:lineRule="auto"/>
        <w:rPr>
          <w:b/>
          <w:u w:val="single"/>
        </w:rPr>
      </w:pPr>
    </w:p>
    <w:p w:rsidR="001105B2" w:rsidRDefault="001105B2" w:rsidP="000C653B">
      <w:pPr>
        <w:spacing w:line="240" w:lineRule="auto"/>
        <w:rPr>
          <w:b/>
          <w:u w:val="single"/>
        </w:rPr>
      </w:pPr>
      <w:r>
        <w:rPr>
          <w:b/>
          <w:u w:val="single"/>
        </w:rPr>
        <w:t>Popis opatření:</w:t>
      </w:r>
    </w:p>
    <w:p w:rsidR="000C653B" w:rsidRDefault="000C653B" w:rsidP="000C653B">
      <w:pPr>
        <w:spacing w:line="240" w:lineRule="auto"/>
        <w:rPr>
          <w:b/>
          <w:u w:val="single"/>
        </w:rPr>
      </w:pPr>
    </w:p>
    <w:p w:rsidR="001105B2" w:rsidRDefault="001105B2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 xml:space="preserve">Odměna za vykonanou práci je primárním zdrojem motivace k akceptaci zaměstnání. V souladu s programovým prohlášením vlády proto po </w:t>
      </w:r>
      <w:r>
        <w:rPr>
          <w:rFonts w:cs="Arial"/>
          <w:szCs w:val="24"/>
        </w:rPr>
        <w:t>projednání</w:t>
      </w:r>
      <w:r w:rsidRPr="00C605D8">
        <w:rPr>
          <w:rFonts w:cs="Arial"/>
          <w:szCs w:val="24"/>
        </w:rPr>
        <w:t xml:space="preserve"> se sociálními partnery bude vláda pokračovat v přibližování úrovně minimální mzdy vytčené hranici 40 % průměrné mzdy. Zvyšování minimální mzdy bude prováděno v závislosti na udržení konkurenceschopnosti českého hospodářství.</w:t>
      </w:r>
    </w:p>
    <w:p w:rsidR="00E43741" w:rsidRPr="001105B2" w:rsidRDefault="00E43741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D40D54" w:rsidRDefault="001105B2" w:rsidP="000C653B">
      <w:pPr>
        <w:spacing w:line="240" w:lineRule="auto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t>Plnění opatření:</w:t>
      </w:r>
    </w:p>
    <w:p w:rsidR="000C653B" w:rsidRDefault="000C653B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E43741" w:rsidRDefault="00E43741" w:rsidP="000C653B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Dne 5. října 2016 přijala vláda České republiky nařízení č. 336/2016 Sb., </w:t>
      </w:r>
      <w:r w:rsidRPr="00E43741">
        <w:rPr>
          <w:rFonts w:cs="Arial"/>
          <w:szCs w:val="24"/>
        </w:rPr>
        <w:t>kterým se mění nařízení vlády č. 567/2006 Sb., o minimální mzdě, o nejnižších úrovních zaručené mzdy, o vymezení ztíženého pracovního prostředí a o výši příplatku ke mzdě za práci ve ztíženém pracovním prostředí, ve znění pozdějších předpisů</w:t>
      </w:r>
      <w:r>
        <w:rPr>
          <w:rFonts w:cs="Arial"/>
          <w:szCs w:val="24"/>
        </w:rPr>
        <w:t>. Nařízení obsahuje:</w:t>
      </w:r>
    </w:p>
    <w:p w:rsidR="00E43741" w:rsidRDefault="00E43741" w:rsidP="000C653B">
      <w:pPr>
        <w:spacing w:line="240" w:lineRule="auto"/>
        <w:rPr>
          <w:rFonts w:cs="Arial"/>
          <w:szCs w:val="24"/>
        </w:rPr>
      </w:pPr>
    </w:p>
    <w:p w:rsidR="000C653B" w:rsidRDefault="001105B2" w:rsidP="00E43741">
      <w:pPr>
        <w:pStyle w:val="Odstavecseseznamem"/>
        <w:numPr>
          <w:ilvl w:val="0"/>
          <w:numId w:val="21"/>
        </w:numPr>
        <w:spacing w:before="120" w:line="240" w:lineRule="auto"/>
        <w:ind w:left="714" w:hanging="357"/>
        <w:contextualSpacing w:val="0"/>
      </w:pPr>
      <w:r w:rsidRPr="006F7EFE">
        <w:t>Zvýšení základní měsíční sazby minimální mzdy z 9 900 Kč na 11 000 Kč za současného zvýšení hodinové sazby minimální mzdy 58,70 Kč na 66 Kč. Minimální mzda tak dle předpokladů bude v roce 2017 činit 38,2 % průměrné mzdy. Míra navýšení úrovně minimální mzdy představuje kompromis mezi stanovisky zástupců sociálních partnerů vyjádřenými na 130. Plenární schůzi RHSD ČR.</w:t>
      </w:r>
    </w:p>
    <w:p w:rsidR="000C653B" w:rsidRPr="000C653B" w:rsidRDefault="001105B2" w:rsidP="00E43741">
      <w:pPr>
        <w:pStyle w:val="Odstavecseseznamem"/>
        <w:numPr>
          <w:ilvl w:val="0"/>
          <w:numId w:val="21"/>
        </w:numPr>
        <w:spacing w:before="120" w:line="240" w:lineRule="auto"/>
        <w:ind w:left="714" w:hanging="357"/>
        <w:contextualSpacing w:val="0"/>
        <w:rPr>
          <w:bCs/>
        </w:rPr>
      </w:pPr>
      <w:r w:rsidRPr="006F7EFE">
        <w:t xml:space="preserve">Valorizaci nejnižších úrovní zaručené mzdy </w:t>
      </w:r>
    </w:p>
    <w:p w:rsidR="001105B2" w:rsidRDefault="001105B2" w:rsidP="00E43741">
      <w:pPr>
        <w:pStyle w:val="Odstavecseseznamem"/>
        <w:numPr>
          <w:ilvl w:val="0"/>
          <w:numId w:val="21"/>
        </w:numPr>
        <w:spacing w:before="120" w:line="240" w:lineRule="auto"/>
        <w:ind w:left="714" w:hanging="357"/>
        <w:contextualSpacing w:val="0"/>
        <w:rPr>
          <w:bCs/>
        </w:rPr>
      </w:pPr>
      <w:r w:rsidRPr="006F7EFE">
        <w:t>Zrušení nižší s</w:t>
      </w:r>
      <w:r w:rsidRPr="000C653B">
        <w:rPr>
          <w:bCs/>
        </w:rPr>
        <w:t>azby minimální mzdy a nejnižších úrovní zaručené mzdy u poživatelů invalidních důchodů.</w:t>
      </w:r>
    </w:p>
    <w:p w:rsidR="000C653B" w:rsidRPr="00E43741" w:rsidRDefault="000C653B" w:rsidP="00E43741">
      <w:pPr>
        <w:spacing w:line="240" w:lineRule="auto"/>
        <w:ind w:left="360"/>
        <w:rPr>
          <w:bCs/>
        </w:rPr>
      </w:pPr>
    </w:p>
    <w:p w:rsidR="0093305B" w:rsidRDefault="0093305B" w:rsidP="000C653B">
      <w:pPr>
        <w:spacing w:line="240" w:lineRule="auto"/>
        <w:rPr>
          <w:bCs/>
        </w:rPr>
      </w:pPr>
      <w:r>
        <w:rPr>
          <w:bCs/>
        </w:rPr>
        <w:t>Dopad výše uvedeného zrušení nižší sazby minimální mzdy a nejnižší</w:t>
      </w:r>
      <w:r w:rsidR="00D14F3F">
        <w:rPr>
          <w:bCs/>
        </w:rPr>
        <w:t>ch</w:t>
      </w:r>
      <w:r>
        <w:rPr>
          <w:bCs/>
        </w:rPr>
        <w:t xml:space="preserve"> úrovní </w:t>
      </w:r>
      <w:r w:rsidRPr="006F7EFE">
        <w:rPr>
          <w:bCs/>
        </w:rPr>
        <w:t>zaručené mzdy u poživatelů invalidních důchodů</w:t>
      </w:r>
      <w:r>
        <w:rPr>
          <w:bCs/>
        </w:rPr>
        <w:t xml:space="preserve"> bude kompenzován zvýšením příspěvku na podporu zaměstnávání osob se zdravotním postižením.</w:t>
      </w:r>
    </w:p>
    <w:p w:rsidR="000C653B" w:rsidRDefault="000C653B" w:rsidP="000C653B">
      <w:pPr>
        <w:spacing w:line="240" w:lineRule="auto"/>
        <w:rPr>
          <w:bCs/>
        </w:rPr>
      </w:pPr>
    </w:p>
    <w:p w:rsidR="001105B2" w:rsidRDefault="00E43741" w:rsidP="000C653B">
      <w:pPr>
        <w:spacing w:line="240" w:lineRule="auto"/>
        <w:rPr>
          <w:b/>
          <w:bCs/>
        </w:rPr>
      </w:pPr>
      <w:r>
        <w:rPr>
          <w:b/>
          <w:bCs/>
        </w:rPr>
        <w:t>Ú</w:t>
      </w:r>
      <w:r w:rsidR="001105B2" w:rsidRPr="00697AC8">
        <w:rPr>
          <w:b/>
          <w:bCs/>
        </w:rPr>
        <w:t>činnost změn je od 1. 1. 2017</w:t>
      </w:r>
    </w:p>
    <w:p w:rsidR="000C653B" w:rsidRPr="000C653B" w:rsidRDefault="000C653B" w:rsidP="000C653B">
      <w:pPr>
        <w:spacing w:line="240" w:lineRule="auto"/>
        <w:rPr>
          <w:b/>
          <w:bCs/>
          <w:i/>
        </w:rPr>
      </w:pPr>
    </w:p>
    <w:p w:rsidR="001105B2" w:rsidRPr="00E74562" w:rsidRDefault="001105B2" w:rsidP="004F7EFC">
      <w:pPr>
        <w:spacing w:line="240" w:lineRule="auto"/>
        <w:rPr>
          <w:b/>
        </w:rPr>
      </w:pPr>
      <w:r w:rsidRPr="00E74562">
        <w:rPr>
          <w:b/>
          <w:bCs/>
        </w:rPr>
        <w:t xml:space="preserve">8. </w:t>
      </w:r>
      <w:r w:rsidRPr="00E74562">
        <w:rPr>
          <w:b/>
        </w:rPr>
        <w:t>Revize dávkového systému – jeho provázání s oblastí zaměstnanosti</w:t>
      </w:r>
    </w:p>
    <w:p w:rsidR="000C653B" w:rsidRPr="000C653B" w:rsidRDefault="000C653B" w:rsidP="000C653B">
      <w:pPr>
        <w:spacing w:line="240" w:lineRule="auto"/>
        <w:rPr>
          <w:b/>
          <w:i/>
          <w:u w:val="single"/>
        </w:rPr>
      </w:pPr>
    </w:p>
    <w:p w:rsidR="001105B2" w:rsidRDefault="001105B2" w:rsidP="000C653B">
      <w:pPr>
        <w:spacing w:line="240" w:lineRule="auto"/>
        <w:rPr>
          <w:b/>
          <w:u w:val="single"/>
        </w:rPr>
      </w:pPr>
      <w:r w:rsidRPr="001105B2">
        <w:rPr>
          <w:b/>
          <w:u w:val="single"/>
        </w:rPr>
        <w:t>Popis opatření:</w:t>
      </w:r>
    </w:p>
    <w:p w:rsidR="000C653B" w:rsidRDefault="000C653B" w:rsidP="000C653B">
      <w:pPr>
        <w:spacing w:line="240" w:lineRule="auto"/>
        <w:rPr>
          <w:b/>
          <w:u w:val="single"/>
        </w:rPr>
      </w:pPr>
    </w:p>
    <w:p w:rsidR="001105B2" w:rsidRDefault="000B6D53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 xml:space="preserve">MPSV provede revizi </w:t>
      </w:r>
      <w:r>
        <w:rPr>
          <w:rFonts w:cs="Arial"/>
          <w:szCs w:val="24"/>
        </w:rPr>
        <w:t>právní úpravy</w:t>
      </w:r>
      <w:r w:rsidRPr="00C605D8">
        <w:rPr>
          <w:rFonts w:cs="Arial"/>
          <w:szCs w:val="24"/>
        </w:rPr>
        <w:t xml:space="preserve"> dávek s ohledem na jejich možné dopady na motivaci pracovní síly akceptovat zaměstnání jako základní zdroj příjmu namísto závislosti na příjmu sociálním.</w:t>
      </w:r>
    </w:p>
    <w:p w:rsidR="000C653B" w:rsidRDefault="000C653B" w:rsidP="000C653B">
      <w:pPr>
        <w:spacing w:line="240" w:lineRule="auto"/>
        <w:rPr>
          <w:rFonts w:cs="Arial"/>
          <w:szCs w:val="24"/>
        </w:rPr>
      </w:pPr>
    </w:p>
    <w:p w:rsidR="000B6D53" w:rsidRDefault="000B6D53" w:rsidP="001105B2">
      <w:pPr>
        <w:spacing w:after="200"/>
        <w:rPr>
          <w:rFonts w:cs="Arial"/>
          <w:b/>
          <w:szCs w:val="24"/>
          <w:u w:val="single"/>
        </w:rPr>
      </w:pPr>
      <w:r w:rsidRPr="000B6D53">
        <w:rPr>
          <w:rFonts w:cs="Arial"/>
          <w:b/>
          <w:szCs w:val="24"/>
          <w:u w:val="single"/>
        </w:rPr>
        <w:t>Plnění opatření:</w:t>
      </w:r>
    </w:p>
    <w:p w:rsidR="002B698A" w:rsidRPr="002A02CD" w:rsidRDefault="002B698A" w:rsidP="000C653B">
      <w:pPr>
        <w:pStyle w:val="Default"/>
        <w:jc w:val="both"/>
        <w:rPr>
          <w:rFonts w:ascii="Arial" w:hAnsi="Arial" w:cs="Arial"/>
          <w:b/>
          <w:u w:val="single"/>
        </w:rPr>
      </w:pPr>
      <w:r w:rsidRPr="002A02CD">
        <w:rPr>
          <w:rFonts w:ascii="Arial" w:hAnsi="Arial" w:cs="Arial"/>
          <w:b/>
          <w:u w:val="single"/>
        </w:rPr>
        <w:t>Obecně k působení dávek na motivaci pracovní síly akceptovat zaměstnání jako základní zdroj příjmu namísto závislosti na příjmu sociálním:</w:t>
      </w:r>
    </w:p>
    <w:p w:rsidR="002B698A" w:rsidRPr="002A02CD" w:rsidRDefault="002B698A" w:rsidP="000C653B">
      <w:pPr>
        <w:pStyle w:val="Default"/>
        <w:jc w:val="both"/>
        <w:rPr>
          <w:rFonts w:ascii="Arial" w:hAnsi="Arial" w:cs="Arial"/>
        </w:rPr>
      </w:pPr>
    </w:p>
    <w:p w:rsidR="002B698A" w:rsidRPr="002A02CD" w:rsidRDefault="002B698A" w:rsidP="000C653B">
      <w:pPr>
        <w:pStyle w:val="Default"/>
        <w:numPr>
          <w:ilvl w:val="0"/>
          <w:numId w:val="5"/>
        </w:numPr>
        <w:ind w:left="786"/>
        <w:jc w:val="both"/>
        <w:rPr>
          <w:rFonts w:ascii="Arial" w:hAnsi="Arial" w:cs="Arial"/>
        </w:rPr>
      </w:pPr>
      <w:r w:rsidRPr="002A02CD">
        <w:rPr>
          <w:rFonts w:ascii="Arial" w:hAnsi="Arial" w:cs="Arial"/>
        </w:rPr>
        <w:t xml:space="preserve">Úprava dávkového systému ve smyslu zvýšení motivace příjemce dávek akceptovat zaměstnání je významně ovlivněna velkou blízkostí celkové sumy sociálních dávek a minimální mzdy, popřípadě průměrného hrubého výdělku v ČR. V původních zemích EU je tento problém minimální. Častým případem je, že již ztráta jednoho příjmu v domácnosti katapultuje domácnost do stavu hmotné nouze. </w:t>
      </w:r>
    </w:p>
    <w:p w:rsidR="002B698A" w:rsidRPr="002A02CD" w:rsidRDefault="002B698A" w:rsidP="000C653B">
      <w:pPr>
        <w:pStyle w:val="Default"/>
        <w:numPr>
          <w:ilvl w:val="0"/>
          <w:numId w:val="5"/>
        </w:numPr>
        <w:ind w:left="786"/>
        <w:jc w:val="both"/>
        <w:rPr>
          <w:rFonts w:ascii="Arial" w:hAnsi="Arial" w:cs="Arial"/>
        </w:rPr>
      </w:pPr>
      <w:r w:rsidRPr="002A02CD">
        <w:rPr>
          <w:rFonts w:ascii="Arial" w:hAnsi="Arial" w:cs="Arial"/>
        </w:rPr>
        <w:t xml:space="preserve">Mzdová hladina v ČR v segmentu nízkých výdělků (zhruba třetina všech výdělků) neumožňuje domácnostem pokrýt náklady na živobytí a bydlení a z toho vyplývá potřeba sociálních dávek. Celý problém umocňuje fenomén práce na černo na trhu práce. </w:t>
      </w:r>
    </w:p>
    <w:p w:rsidR="002B698A" w:rsidRPr="002A02CD" w:rsidRDefault="002B698A" w:rsidP="000C653B">
      <w:pPr>
        <w:pStyle w:val="Default"/>
        <w:numPr>
          <w:ilvl w:val="0"/>
          <w:numId w:val="5"/>
        </w:numPr>
        <w:ind w:left="786"/>
        <w:jc w:val="both"/>
        <w:rPr>
          <w:rFonts w:ascii="Arial" w:hAnsi="Arial" w:cs="Arial"/>
        </w:rPr>
      </w:pPr>
      <w:r w:rsidRPr="002A02CD">
        <w:rPr>
          <w:rFonts w:ascii="Arial" w:hAnsi="Arial" w:cs="Arial"/>
        </w:rPr>
        <w:t>Celkovou výši dávek v domácnosti ovlivňuje zejména nastavení dávek na bydlení, které jsou-li využívány současně, umožňují příjemci hradit jeho celé odůvodněné náklady na bydlení.</w:t>
      </w:r>
      <w:r w:rsidRPr="002A02CD">
        <w:rPr>
          <w:rStyle w:val="Znakapoznpodarou"/>
          <w:rFonts w:ascii="Arial" w:hAnsi="Arial" w:cs="Arial"/>
        </w:rPr>
        <w:footnoteReference w:id="2"/>
      </w:r>
      <w:r w:rsidRPr="002A02CD">
        <w:rPr>
          <w:rFonts w:ascii="Arial" w:hAnsi="Arial" w:cs="Arial"/>
        </w:rPr>
        <w:t xml:space="preserve"> Konstrukce dávek přitom odráží skutečnost, že podpora bydlení je dosud v ČR realizována v zásadě jen prostřednictvím dávkové podpory, a to při neexistenci (rozvinutého) sektoru sociálního bydlení.  Ukazuje se přitom, že (jen) dávková podpora bydlení není efektivní a má své limity (viz návrh zákona o sociálním bydlení). </w:t>
      </w:r>
    </w:p>
    <w:p w:rsidR="002B698A" w:rsidRPr="002A02CD" w:rsidRDefault="002B698A" w:rsidP="000C653B">
      <w:pPr>
        <w:pStyle w:val="Default"/>
        <w:numPr>
          <w:ilvl w:val="0"/>
          <w:numId w:val="5"/>
        </w:numPr>
        <w:ind w:left="786"/>
        <w:jc w:val="both"/>
        <w:rPr>
          <w:rFonts w:ascii="Arial" w:hAnsi="Arial" w:cs="Arial"/>
        </w:rPr>
      </w:pPr>
      <w:r w:rsidRPr="002A02CD">
        <w:rPr>
          <w:rFonts w:ascii="Arial" w:hAnsi="Arial" w:cs="Arial"/>
        </w:rPr>
        <w:t>Úpravy dávkové podpory v ČR dále významně limituje rovněž omezená dostupnost poptávaných veřejných služeb</w:t>
      </w:r>
      <w:r w:rsidRPr="002A02CD">
        <w:rPr>
          <w:rStyle w:val="Znakapoznpodarou"/>
          <w:rFonts w:ascii="Arial" w:hAnsi="Arial" w:cs="Arial"/>
        </w:rPr>
        <w:footnoteReference w:id="3"/>
      </w:r>
      <w:r w:rsidRPr="002A02CD">
        <w:rPr>
          <w:rFonts w:ascii="Arial" w:hAnsi="Arial" w:cs="Arial"/>
        </w:rPr>
        <w:t xml:space="preserve"> a sociální práce.</w:t>
      </w:r>
    </w:p>
    <w:p w:rsidR="002B698A" w:rsidRPr="002B698A" w:rsidRDefault="002B698A" w:rsidP="002B698A">
      <w:pPr>
        <w:pStyle w:val="Default"/>
        <w:ind w:left="786"/>
        <w:jc w:val="both"/>
        <w:rPr>
          <w:rFonts w:ascii="Arial" w:hAnsi="Arial" w:cs="Arial"/>
        </w:rPr>
      </w:pPr>
    </w:p>
    <w:p w:rsidR="002B698A" w:rsidRPr="000C653B" w:rsidRDefault="002B698A" w:rsidP="002B698A">
      <w:pPr>
        <w:pStyle w:val="Default"/>
        <w:jc w:val="both"/>
        <w:rPr>
          <w:rFonts w:ascii="Arial" w:hAnsi="Arial" w:cs="Arial"/>
        </w:rPr>
      </w:pPr>
    </w:p>
    <w:p w:rsidR="002B698A" w:rsidRPr="000C653B" w:rsidRDefault="002B698A" w:rsidP="002B698A">
      <w:pPr>
        <w:pStyle w:val="Default"/>
        <w:jc w:val="both"/>
        <w:rPr>
          <w:rFonts w:ascii="Arial" w:hAnsi="Arial" w:cs="Arial"/>
          <w:b/>
          <w:u w:val="single"/>
        </w:rPr>
      </w:pPr>
      <w:r w:rsidRPr="000C653B">
        <w:rPr>
          <w:rFonts w:ascii="Arial" w:hAnsi="Arial" w:cs="Arial"/>
          <w:b/>
          <w:u w:val="single"/>
        </w:rPr>
        <w:t>Konkrétní aktuální úpravy právních předpisů v oblasti dávkového systému</w:t>
      </w:r>
    </w:p>
    <w:p w:rsidR="002B698A" w:rsidRPr="002B698A" w:rsidRDefault="002B698A" w:rsidP="002B698A">
      <w:pPr>
        <w:pStyle w:val="Default"/>
        <w:jc w:val="both"/>
        <w:rPr>
          <w:rFonts w:ascii="Arial" w:hAnsi="Arial" w:cs="Arial"/>
          <w:b/>
          <w:i/>
          <w:u w:val="single"/>
        </w:rPr>
      </w:pPr>
    </w:p>
    <w:p w:rsidR="000B6D53" w:rsidRPr="006F7EFE" w:rsidRDefault="000B6D53" w:rsidP="000C653B">
      <w:pPr>
        <w:pStyle w:val="Default"/>
        <w:jc w:val="both"/>
        <w:rPr>
          <w:rFonts w:ascii="Arial" w:hAnsi="Arial" w:cs="Arial"/>
          <w:b/>
          <w:u w:val="single"/>
        </w:rPr>
      </w:pPr>
      <w:r w:rsidRPr="006F7EFE">
        <w:rPr>
          <w:rFonts w:ascii="Arial" w:hAnsi="Arial" w:cs="Arial"/>
          <w:b/>
          <w:u w:val="single"/>
        </w:rPr>
        <w:t>Dávky pomoci v hmotné nouzi</w:t>
      </w:r>
    </w:p>
    <w:p w:rsidR="000B6D53" w:rsidRPr="006F7EFE" w:rsidRDefault="000B6D53" w:rsidP="000C653B">
      <w:pPr>
        <w:pStyle w:val="Default"/>
        <w:numPr>
          <w:ilvl w:val="0"/>
          <w:numId w:val="6"/>
        </w:numPr>
        <w:jc w:val="both"/>
        <w:rPr>
          <w:rFonts w:ascii="Arial" w:hAnsi="Arial" w:cs="Arial"/>
        </w:rPr>
      </w:pPr>
      <w:r w:rsidRPr="006F7EFE">
        <w:rPr>
          <w:rFonts w:ascii="Arial" w:hAnsi="Arial" w:cs="Arial"/>
          <w:b/>
        </w:rPr>
        <w:t xml:space="preserve">Novela zákona </w:t>
      </w:r>
      <w:r w:rsidR="00D60245">
        <w:rPr>
          <w:rFonts w:ascii="Arial" w:hAnsi="Arial" w:cs="Arial"/>
          <w:b/>
        </w:rPr>
        <w:t xml:space="preserve">č. 111/2006 Sb., </w:t>
      </w:r>
      <w:r w:rsidRPr="006F7EFE">
        <w:rPr>
          <w:rFonts w:ascii="Arial" w:hAnsi="Arial" w:cs="Arial"/>
          <w:b/>
        </w:rPr>
        <w:t>o pomoci v hmotné nouzi</w:t>
      </w:r>
      <w:r w:rsidR="00D60245">
        <w:rPr>
          <w:rFonts w:ascii="Arial" w:hAnsi="Arial" w:cs="Arial"/>
          <w:b/>
        </w:rPr>
        <w:t>, ve znění pozdějších předpisů,</w:t>
      </w:r>
      <w:r w:rsidRPr="006F7EFE">
        <w:rPr>
          <w:rFonts w:ascii="Arial" w:hAnsi="Arial" w:cs="Arial"/>
        </w:rPr>
        <w:t xml:space="preserve"> v souvislosti s udělováním souhlasu obcí pro poskytování doplatku na bydlení do ubytoven (sněmovní tisk č. 783) </w:t>
      </w:r>
    </w:p>
    <w:p w:rsidR="000B6D53" w:rsidRDefault="000B6D53" w:rsidP="000C653B">
      <w:pPr>
        <w:pStyle w:val="Default"/>
        <w:jc w:val="both"/>
        <w:rPr>
          <w:rFonts w:ascii="Arial" w:hAnsi="Arial" w:cs="Arial"/>
        </w:rPr>
      </w:pPr>
    </w:p>
    <w:p w:rsidR="000B6D53" w:rsidRDefault="000B6D53" w:rsidP="000C653B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Specifikuje, kdy </w:t>
      </w:r>
      <w:r w:rsidRPr="00113E9B">
        <w:rPr>
          <w:rFonts w:ascii="Arial" w:hAnsi="Arial" w:cs="Arial"/>
        </w:rPr>
        <w:t xml:space="preserve">ve zřetele hodných případech </w:t>
      </w:r>
      <w:r>
        <w:rPr>
          <w:rFonts w:ascii="Arial" w:hAnsi="Arial" w:cs="Arial"/>
        </w:rPr>
        <w:t>lze doplatek na bydlení do nestandardních forem bydlení (ubytoven) přiznat:</w:t>
      </w:r>
    </w:p>
    <w:p w:rsidR="000B6D53" w:rsidRDefault="000B6D53" w:rsidP="000C653B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7736F1">
        <w:rPr>
          <w:rFonts w:ascii="Arial" w:hAnsi="Arial" w:cs="Arial"/>
        </w:rPr>
        <w:t>Klient musí mít primárně v obci středisko zájmu (tj. například prác</w:t>
      </w:r>
      <w:r>
        <w:rPr>
          <w:rFonts w:ascii="Arial" w:hAnsi="Arial" w:cs="Arial"/>
        </w:rPr>
        <w:t>e</w:t>
      </w:r>
      <w:r w:rsidRPr="007736F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včetně jejího hledání, rodina či</w:t>
      </w:r>
      <w:r w:rsidRPr="00773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jiná vazba</w:t>
      </w:r>
      <w:r w:rsidRPr="007736F1">
        <w:rPr>
          <w:rFonts w:ascii="Arial" w:hAnsi="Arial" w:cs="Arial"/>
        </w:rPr>
        <w:t>);</w:t>
      </w:r>
    </w:p>
    <w:p w:rsidR="000B6D53" w:rsidRDefault="000B6D53" w:rsidP="000C653B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7736F1">
        <w:rPr>
          <w:rFonts w:ascii="Arial" w:hAnsi="Arial" w:cs="Arial"/>
        </w:rPr>
        <w:t>Není jiné dostupné standardní přiměřené bydlení;</w:t>
      </w:r>
    </w:p>
    <w:p w:rsidR="000B6D53" w:rsidRDefault="000B6D53" w:rsidP="000C653B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7736F1">
        <w:rPr>
          <w:rFonts w:ascii="Arial" w:hAnsi="Arial" w:cs="Arial"/>
        </w:rPr>
        <w:t>Klient musí být aktivní a musí spolupracovat s ÚP ČR na vyřešení své situace v oblasti bydlení v rámci opatření navržených v motivačním plánu.</w:t>
      </w:r>
    </w:p>
    <w:p w:rsidR="000B6D53" w:rsidRPr="007736F1" w:rsidRDefault="000B6D53" w:rsidP="000C653B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7736F1">
        <w:rPr>
          <w:rFonts w:ascii="Arial" w:hAnsi="Arial" w:cs="Arial"/>
        </w:rPr>
        <w:t>Není-li výše uvedené splněno, nejde o př</w:t>
      </w:r>
      <w:r w:rsidR="00EB1BB2">
        <w:rPr>
          <w:rFonts w:ascii="Arial" w:hAnsi="Arial" w:cs="Arial"/>
        </w:rPr>
        <w:t>ípad hodný zvláštního zřetele a </w:t>
      </w:r>
      <w:r w:rsidRPr="007736F1">
        <w:rPr>
          <w:rFonts w:ascii="Arial" w:hAnsi="Arial" w:cs="Arial"/>
        </w:rPr>
        <w:t>podle navrhnuté novely dávka do ubytovny nebude přiznána.</w:t>
      </w:r>
    </w:p>
    <w:p w:rsidR="000B6D53" w:rsidRDefault="000B6D53" w:rsidP="000C653B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Novela l</w:t>
      </w:r>
      <w:r w:rsidRPr="00113E9B">
        <w:rPr>
          <w:rFonts w:ascii="Arial" w:hAnsi="Arial" w:cs="Arial"/>
        </w:rPr>
        <w:t>imituje výši úhrad</w:t>
      </w:r>
      <w:r>
        <w:rPr>
          <w:rFonts w:ascii="Arial" w:hAnsi="Arial" w:cs="Arial"/>
        </w:rPr>
        <w:t>y v ubytovnách ze současných 90 </w:t>
      </w:r>
      <w:r w:rsidRPr="00113E9B">
        <w:rPr>
          <w:rFonts w:ascii="Arial" w:hAnsi="Arial" w:cs="Arial"/>
        </w:rPr>
        <w:t>% na max. výši 80</w:t>
      </w:r>
      <w:r>
        <w:rPr>
          <w:rFonts w:ascii="Arial" w:hAnsi="Arial" w:cs="Arial"/>
        </w:rPr>
        <w:t xml:space="preserve"> </w:t>
      </w:r>
      <w:r w:rsidRPr="00113E9B">
        <w:rPr>
          <w:rFonts w:ascii="Arial" w:hAnsi="Arial" w:cs="Arial"/>
        </w:rPr>
        <w:t>% normativních nákladů na bydlení</w:t>
      </w:r>
      <w:r>
        <w:rPr>
          <w:rFonts w:ascii="Arial" w:hAnsi="Arial" w:cs="Arial"/>
        </w:rPr>
        <w:t xml:space="preserve"> a</w:t>
      </w:r>
      <w:r w:rsidRPr="00113E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816AB">
        <w:rPr>
          <w:rFonts w:ascii="Arial" w:hAnsi="Arial" w:cs="Arial"/>
        </w:rPr>
        <w:t xml:space="preserve">očítá s možností obcí vyjádřit se k žádosti klienta o dávku do ubytovny, s kterou se </w:t>
      </w:r>
      <w:r>
        <w:rPr>
          <w:rFonts w:ascii="Arial" w:hAnsi="Arial" w:cs="Arial"/>
        </w:rPr>
        <w:t>ÚP</w:t>
      </w:r>
      <w:r w:rsidRPr="005816AB">
        <w:rPr>
          <w:rFonts w:ascii="Arial" w:hAnsi="Arial" w:cs="Arial"/>
        </w:rPr>
        <w:t xml:space="preserve"> ČR v rámci rozhodování o nároku musí vypořádat.</w:t>
      </w:r>
    </w:p>
    <w:p w:rsidR="000B6D53" w:rsidRDefault="000B6D53" w:rsidP="000C653B">
      <w:pPr>
        <w:pStyle w:val="Default"/>
        <w:jc w:val="both"/>
        <w:rPr>
          <w:rFonts w:ascii="Arial" w:hAnsi="Arial" w:cs="Arial"/>
        </w:rPr>
      </w:pPr>
      <w:r w:rsidRPr="005816AB">
        <w:rPr>
          <w:rFonts w:ascii="Arial" w:hAnsi="Arial" w:cs="Arial"/>
        </w:rPr>
        <w:t xml:space="preserve"> </w:t>
      </w:r>
    </w:p>
    <w:p w:rsidR="000B6D53" w:rsidRPr="007736F1" w:rsidRDefault="000B6D53" w:rsidP="000C653B">
      <w:pPr>
        <w:pStyle w:val="Default"/>
        <w:jc w:val="both"/>
        <w:rPr>
          <w:rFonts w:ascii="Arial" w:hAnsi="Arial" w:cs="Arial"/>
        </w:rPr>
      </w:pPr>
      <w:r w:rsidRPr="007736F1">
        <w:rPr>
          <w:rFonts w:ascii="Arial" w:hAnsi="Arial" w:cs="Arial"/>
        </w:rPr>
        <w:t>Tisk byl projednán ve 2. čtení v Poslanecké sněmovně Parlamentu ČR a</w:t>
      </w:r>
      <w:r>
        <w:rPr>
          <w:rFonts w:ascii="Arial" w:hAnsi="Arial" w:cs="Arial"/>
        </w:rPr>
        <w:t> </w:t>
      </w:r>
      <w:r w:rsidRPr="007736F1">
        <w:rPr>
          <w:rFonts w:ascii="Arial" w:hAnsi="Arial" w:cs="Arial"/>
        </w:rPr>
        <w:t xml:space="preserve">bude zařazen k projednání ve 3. čtení. </w:t>
      </w:r>
    </w:p>
    <w:p w:rsidR="000B6D53" w:rsidRDefault="000B6D53" w:rsidP="000C653B">
      <w:pPr>
        <w:pStyle w:val="Default"/>
        <w:ind w:left="360"/>
        <w:jc w:val="both"/>
        <w:rPr>
          <w:rFonts w:ascii="Arial" w:hAnsi="Arial" w:cs="Arial"/>
        </w:rPr>
      </w:pPr>
    </w:p>
    <w:p w:rsidR="000B6D53" w:rsidRPr="00B27047" w:rsidRDefault="000B6D53" w:rsidP="000C653B">
      <w:pPr>
        <w:pStyle w:val="Default"/>
        <w:numPr>
          <w:ilvl w:val="0"/>
          <w:numId w:val="6"/>
        </w:numPr>
        <w:jc w:val="both"/>
        <w:rPr>
          <w:rFonts w:ascii="Arial" w:hAnsi="Arial" w:cs="Arial"/>
        </w:rPr>
      </w:pPr>
      <w:r w:rsidRPr="00B27047">
        <w:rPr>
          <w:rFonts w:ascii="Arial" w:hAnsi="Arial" w:cs="Arial"/>
          <w:b/>
        </w:rPr>
        <w:t>Metodika k minimálním standardům</w:t>
      </w:r>
      <w:r w:rsidRPr="00B27047">
        <w:rPr>
          <w:rFonts w:ascii="Arial" w:hAnsi="Arial" w:cs="Arial"/>
        </w:rPr>
        <w:t xml:space="preserve"> rozsahu sociální práce na Ú</w:t>
      </w:r>
      <w:r w:rsidR="00D60245">
        <w:rPr>
          <w:rFonts w:ascii="Arial" w:hAnsi="Arial" w:cs="Arial"/>
        </w:rPr>
        <w:t>P</w:t>
      </w:r>
      <w:r w:rsidRPr="00B27047">
        <w:rPr>
          <w:rFonts w:ascii="Arial" w:hAnsi="Arial" w:cs="Arial"/>
        </w:rPr>
        <w:t xml:space="preserve"> ČR v kontextu zákona o pomoci v hmotné nouzi:</w:t>
      </w:r>
    </w:p>
    <w:p w:rsidR="000B6D53" w:rsidRDefault="000B6D53" w:rsidP="000C653B">
      <w:pPr>
        <w:pStyle w:val="Default"/>
        <w:jc w:val="both"/>
        <w:rPr>
          <w:rFonts w:ascii="Arial" w:hAnsi="Arial" w:cs="Arial"/>
        </w:rPr>
      </w:pPr>
    </w:p>
    <w:p w:rsidR="000B6D53" w:rsidRDefault="000B6D53" w:rsidP="000C653B">
      <w:pPr>
        <w:pStyle w:val="Default"/>
        <w:jc w:val="both"/>
        <w:rPr>
          <w:rFonts w:ascii="Arial" w:hAnsi="Arial" w:cs="Arial"/>
        </w:rPr>
      </w:pPr>
      <w:r w:rsidRPr="00113E9B">
        <w:rPr>
          <w:rFonts w:ascii="Arial" w:hAnsi="Arial" w:cs="Arial"/>
        </w:rPr>
        <w:t xml:space="preserve">Metodika </w:t>
      </w:r>
      <w:r>
        <w:rPr>
          <w:rFonts w:ascii="Arial" w:hAnsi="Arial" w:cs="Arial"/>
        </w:rPr>
        <w:t>vymezí formou</w:t>
      </w:r>
      <w:r w:rsidRPr="00113E9B">
        <w:rPr>
          <w:rFonts w:ascii="Arial" w:hAnsi="Arial" w:cs="Arial"/>
        </w:rPr>
        <w:t xml:space="preserve"> ministerské normativní instrukce standard minimálního rozsahu sociální práce na </w:t>
      </w:r>
      <w:r>
        <w:rPr>
          <w:rFonts w:ascii="Arial" w:hAnsi="Arial" w:cs="Arial"/>
        </w:rPr>
        <w:t>ÚP</w:t>
      </w:r>
      <w:r w:rsidRPr="00113E9B">
        <w:rPr>
          <w:rFonts w:ascii="Arial" w:hAnsi="Arial" w:cs="Arial"/>
        </w:rPr>
        <w:t xml:space="preserve"> ČR pro účely poskytování dávek pomoci v hmotné nouzi. </w:t>
      </w:r>
      <w:r>
        <w:rPr>
          <w:rFonts w:ascii="Arial" w:hAnsi="Arial" w:cs="Arial"/>
        </w:rPr>
        <w:t>Z</w:t>
      </w:r>
      <w:r w:rsidRPr="00113E9B">
        <w:rPr>
          <w:rFonts w:ascii="Arial" w:hAnsi="Arial" w:cs="Arial"/>
        </w:rPr>
        <w:t xml:space="preserve">aměřuje </w:t>
      </w:r>
      <w:r>
        <w:rPr>
          <w:rFonts w:ascii="Arial" w:hAnsi="Arial" w:cs="Arial"/>
        </w:rPr>
        <w:t xml:space="preserve">se </w:t>
      </w:r>
      <w:r w:rsidRPr="00113E9B">
        <w:rPr>
          <w:rFonts w:ascii="Arial" w:hAnsi="Arial" w:cs="Arial"/>
        </w:rPr>
        <w:t>především na podmínky a postupy pracovníků v systému dávek, které slouží pro účely řeše</w:t>
      </w:r>
      <w:r>
        <w:rPr>
          <w:rFonts w:ascii="Arial" w:hAnsi="Arial" w:cs="Arial"/>
        </w:rPr>
        <w:t>ní hmotné nouze jako situačně i </w:t>
      </w:r>
      <w:r w:rsidRPr="00113E9B">
        <w:rPr>
          <w:rFonts w:ascii="Arial" w:hAnsi="Arial" w:cs="Arial"/>
        </w:rPr>
        <w:t>individuálně podmíněné nepříznivé sociální situace, a</w:t>
      </w:r>
      <w:r>
        <w:rPr>
          <w:rFonts w:ascii="Arial" w:hAnsi="Arial" w:cs="Arial"/>
        </w:rPr>
        <w:t> </w:t>
      </w:r>
      <w:r w:rsidRPr="00113E9B">
        <w:rPr>
          <w:rFonts w:ascii="Arial" w:hAnsi="Arial" w:cs="Arial"/>
        </w:rPr>
        <w:t>zároveň i pro účely posuzování a</w:t>
      </w:r>
      <w:r>
        <w:rPr>
          <w:rFonts w:ascii="Arial" w:hAnsi="Arial" w:cs="Arial"/>
        </w:rPr>
        <w:t> </w:t>
      </w:r>
      <w:r w:rsidRPr="00113E9B">
        <w:rPr>
          <w:rFonts w:ascii="Arial" w:hAnsi="Arial" w:cs="Arial"/>
        </w:rPr>
        <w:t>ověřování nároku na dávky pomoci v hmotné nouzi v kontextu sociální práce s klientem. Hlavní</w:t>
      </w:r>
      <w:r>
        <w:rPr>
          <w:rFonts w:ascii="Arial" w:hAnsi="Arial" w:cs="Arial"/>
        </w:rPr>
        <w:t>m</w:t>
      </w:r>
      <w:r w:rsidRPr="00113E9B">
        <w:rPr>
          <w:rFonts w:ascii="Arial" w:hAnsi="Arial" w:cs="Arial"/>
        </w:rPr>
        <w:t xml:space="preserve"> cíle</w:t>
      </w:r>
      <w:r>
        <w:rPr>
          <w:rFonts w:ascii="Arial" w:hAnsi="Arial" w:cs="Arial"/>
        </w:rPr>
        <w:t>m</w:t>
      </w:r>
      <w:r w:rsidRPr="00113E9B">
        <w:rPr>
          <w:rFonts w:ascii="Arial" w:hAnsi="Arial" w:cs="Arial"/>
        </w:rPr>
        <w:t xml:space="preserve"> sociální práce v rámci aplikace zákona o pomoci v hmotné nouzi </w:t>
      </w:r>
      <w:r>
        <w:rPr>
          <w:rFonts w:ascii="Arial" w:hAnsi="Arial" w:cs="Arial"/>
        </w:rPr>
        <w:t>je</w:t>
      </w:r>
      <w:r w:rsidRPr="00113E9B">
        <w:rPr>
          <w:rFonts w:ascii="Arial" w:hAnsi="Arial" w:cs="Arial"/>
        </w:rPr>
        <w:t xml:space="preserve"> snížení rizika závislosti příjemců na poskytování dávek pomoci v hmotné nouzi a jejich integrace do běžného života.</w:t>
      </w:r>
    </w:p>
    <w:p w:rsidR="000B6D53" w:rsidRDefault="000B6D53" w:rsidP="000C653B">
      <w:pPr>
        <w:pStyle w:val="Default"/>
        <w:jc w:val="both"/>
        <w:rPr>
          <w:rFonts w:ascii="Arial" w:hAnsi="Arial" w:cs="Arial"/>
        </w:rPr>
      </w:pPr>
      <w:r w:rsidRPr="00113E9B">
        <w:rPr>
          <w:rFonts w:ascii="Arial" w:hAnsi="Arial" w:cs="Arial"/>
        </w:rPr>
        <w:t xml:space="preserve"> </w:t>
      </w:r>
    </w:p>
    <w:p w:rsidR="000B6D53" w:rsidRDefault="000B6D53" w:rsidP="000C653B">
      <w:pPr>
        <w:spacing w:line="240" w:lineRule="auto"/>
        <w:rPr>
          <w:rFonts w:cs="Arial"/>
        </w:rPr>
      </w:pPr>
      <w:r w:rsidRPr="005816AB">
        <w:rPr>
          <w:rFonts w:cs="Arial"/>
        </w:rPr>
        <w:t xml:space="preserve">Normativní instrukce </w:t>
      </w:r>
      <w:r>
        <w:rPr>
          <w:rFonts w:cs="Arial"/>
        </w:rPr>
        <w:t xml:space="preserve">je finalizována a </w:t>
      </w:r>
      <w:r w:rsidRPr="005816AB">
        <w:rPr>
          <w:rFonts w:cs="Arial"/>
        </w:rPr>
        <w:t>bude vydána na podzim 2016.</w:t>
      </w:r>
    </w:p>
    <w:p w:rsidR="00EB1BB2" w:rsidRDefault="00EB1BB2" w:rsidP="000C653B">
      <w:pPr>
        <w:spacing w:line="240" w:lineRule="auto"/>
        <w:rPr>
          <w:rFonts w:cs="Arial"/>
        </w:rPr>
      </w:pPr>
    </w:p>
    <w:p w:rsidR="000B6D53" w:rsidRPr="00B27047" w:rsidRDefault="000B6D53" w:rsidP="000C653B">
      <w:pPr>
        <w:pStyle w:val="Default"/>
        <w:jc w:val="both"/>
        <w:rPr>
          <w:rFonts w:ascii="Arial" w:hAnsi="Arial" w:cs="Arial"/>
          <w:b/>
          <w:u w:val="single"/>
        </w:rPr>
      </w:pPr>
      <w:r w:rsidRPr="00B27047">
        <w:rPr>
          <w:rFonts w:ascii="Arial" w:hAnsi="Arial" w:cs="Arial"/>
          <w:b/>
          <w:u w:val="single"/>
        </w:rPr>
        <w:t>Dávky státní sociální podpory</w:t>
      </w:r>
    </w:p>
    <w:p w:rsidR="000B6D53" w:rsidRPr="00B27047" w:rsidRDefault="000B6D53" w:rsidP="000C653B">
      <w:pPr>
        <w:pStyle w:val="Default"/>
        <w:jc w:val="both"/>
        <w:rPr>
          <w:rFonts w:ascii="Arial" w:hAnsi="Arial" w:cs="Arial"/>
        </w:rPr>
      </w:pPr>
      <w:r w:rsidRPr="00B27047">
        <w:rPr>
          <w:rFonts w:ascii="Arial" w:hAnsi="Arial" w:cs="Arial"/>
          <w:b/>
        </w:rPr>
        <w:t xml:space="preserve">Novela zákona </w:t>
      </w:r>
      <w:r w:rsidR="00D60245">
        <w:rPr>
          <w:rFonts w:ascii="Arial" w:hAnsi="Arial" w:cs="Arial"/>
          <w:b/>
        </w:rPr>
        <w:t xml:space="preserve">č. 117/1995 Sb., </w:t>
      </w:r>
      <w:r w:rsidRPr="00B27047">
        <w:rPr>
          <w:rFonts w:ascii="Arial" w:hAnsi="Arial" w:cs="Arial"/>
          <w:b/>
        </w:rPr>
        <w:t>o státní sociální podpoře</w:t>
      </w:r>
      <w:r w:rsidR="00D60245">
        <w:rPr>
          <w:rFonts w:ascii="Arial" w:hAnsi="Arial" w:cs="Arial"/>
          <w:b/>
        </w:rPr>
        <w:t>, ve znění pozdějších předpisů,</w:t>
      </w:r>
      <w:r w:rsidRPr="00B27047">
        <w:rPr>
          <w:rFonts w:ascii="Arial" w:hAnsi="Arial" w:cs="Arial"/>
        </w:rPr>
        <w:t xml:space="preserve"> v souvislosti se zvýšením flexibility čerpání rodičovského příspěvku </w:t>
      </w:r>
      <w:r w:rsidR="00D60245">
        <w:rPr>
          <w:rFonts w:ascii="Arial" w:hAnsi="Arial" w:cs="Arial"/>
        </w:rPr>
        <w:br/>
      </w:r>
      <w:r w:rsidRPr="00B27047">
        <w:rPr>
          <w:rFonts w:ascii="Arial" w:hAnsi="Arial" w:cs="Arial"/>
        </w:rPr>
        <w:t>a podporou sladění pracovního a rodinného života (sněmovní tisk č. 854), která mimo jiné ruší:</w:t>
      </w:r>
    </w:p>
    <w:p w:rsidR="000B6D53" w:rsidRPr="007736F1" w:rsidRDefault="000B6D53" w:rsidP="000C653B">
      <w:pPr>
        <w:pStyle w:val="Default"/>
        <w:numPr>
          <w:ilvl w:val="0"/>
          <w:numId w:val="8"/>
        </w:numPr>
        <w:jc w:val="both"/>
        <w:rPr>
          <w:rFonts w:ascii="Arial" w:hAnsi="Arial" w:cs="Arial"/>
        </w:rPr>
      </w:pPr>
      <w:r w:rsidRPr="007736F1">
        <w:rPr>
          <w:rFonts w:ascii="Arial" w:hAnsi="Arial" w:cs="Arial"/>
        </w:rPr>
        <w:t xml:space="preserve">současné omezení </w:t>
      </w:r>
      <w:r w:rsidRPr="007736F1">
        <w:rPr>
          <w:rFonts w:ascii="Arial" w:eastAsia="Times New Roman" w:hAnsi="Arial" w:cs="Arial"/>
          <w:bCs/>
          <w:lang w:eastAsia="cs-CZ"/>
        </w:rPr>
        <w:t>horní hranice měsíční výše rodičovského příspěvku a umožňuje čerpat dávku až do výše peněžité pomoci v mateřství rodiče;</w:t>
      </w:r>
    </w:p>
    <w:p w:rsidR="000B6D53" w:rsidRPr="007736F1" w:rsidRDefault="000B6D53" w:rsidP="000C653B">
      <w:pPr>
        <w:pStyle w:val="Default"/>
        <w:numPr>
          <w:ilvl w:val="0"/>
          <w:numId w:val="8"/>
        </w:numPr>
        <w:jc w:val="both"/>
        <w:rPr>
          <w:rFonts w:ascii="Arial" w:hAnsi="Arial" w:cs="Arial"/>
        </w:rPr>
      </w:pPr>
      <w:r w:rsidRPr="007736F1">
        <w:rPr>
          <w:rFonts w:ascii="Arial" w:eastAsia="Times New Roman" w:hAnsi="Arial" w:cs="Arial"/>
          <w:bCs/>
          <w:lang w:eastAsia="cs-CZ"/>
        </w:rPr>
        <w:t>podmínku sledování docházky dítěte do předškolních zařízení.</w:t>
      </w:r>
    </w:p>
    <w:p w:rsidR="000B6D53" w:rsidRDefault="000B6D53" w:rsidP="000C653B">
      <w:pPr>
        <w:pStyle w:val="Default"/>
        <w:jc w:val="both"/>
        <w:rPr>
          <w:rFonts w:ascii="Arial" w:eastAsia="Times New Roman" w:hAnsi="Arial" w:cs="Arial"/>
          <w:bCs/>
          <w:lang w:eastAsia="cs-CZ"/>
        </w:rPr>
      </w:pPr>
      <w:r w:rsidRPr="007736F1">
        <w:rPr>
          <w:rFonts w:ascii="Arial" w:hAnsi="Arial" w:cs="Arial"/>
        </w:rPr>
        <w:t xml:space="preserve">Výše uvedené umožní </w:t>
      </w:r>
      <w:r w:rsidRPr="007736F1">
        <w:rPr>
          <w:rFonts w:ascii="Arial" w:eastAsia="Times New Roman" w:hAnsi="Arial" w:cs="Arial"/>
          <w:bCs/>
          <w:lang w:eastAsia="cs-CZ"/>
        </w:rPr>
        <w:t>rodičům, zejména matkám, dřívější návrat do</w:t>
      </w:r>
      <w:r>
        <w:rPr>
          <w:rFonts w:ascii="Arial" w:eastAsia="Times New Roman" w:hAnsi="Arial" w:cs="Arial"/>
          <w:bCs/>
          <w:lang w:eastAsia="cs-CZ"/>
        </w:rPr>
        <w:t> </w:t>
      </w:r>
      <w:r w:rsidRPr="007736F1">
        <w:rPr>
          <w:rFonts w:ascii="Arial" w:eastAsia="Times New Roman" w:hAnsi="Arial" w:cs="Arial"/>
          <w:bCs/>
          <w:lang w:eastAsia="cs-CZ"/>
        </w:rPr>
        <w:t>zaměstnání, což ocení i firmy.</w:t>
      </w:r>
      <w:r>
        <w:rPr>
          <w:rFonts w:ascii="Arial" w:eastAsia="Times New Roman" w:hAnsi="Arial" w:cs="Arial"/>
          <w:bCs/>
          <w:lang w:eastAsia="cs-CZ"/>
        </w:rPr>
        <w:t xml:space="preserve"> </w:t>
      </w:r>
    </w:p>
    <w:p w:rsidR="000B6D53" w:rsidRDefault="000B6D53" w:rsidP="000C653B">
      <w:pPr>
        <w:pStyle w:val="Default"/>
        <w:jc w:val="both"/>
        <w:rPr>
          <w:rFonts w:ascii="Arial" w:eastAsia="Times New Roman" w:hAnsi="Arial" w:cs="Arial"/>
          <w:bCs/>
          <w:lang w:eastAsia="cs-CZ"/>
        </w:rPr>
      </w:pPr>
    </w:p>
    <w:p w:rsidR="000B6D53" w:rsidRPr="00113E9B" w:rsidRDefault="000B6D53" w:rsidP="000C653B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Tisk je projednáván v Poslanecké sněmovně Parlamentu ČR v 1. čtení.</w:t>
      </w:r>
    </w:p>
    <w:p w:rsidR="000B6D53" w:rsidRPr="00113E9B" w:rsidRDefault="000B6D53" w:rsidP="000C653B">
      <w:pPr>
        <w:pStyle w:val="Odstavecseseznamem"/>
        <w:spacing w:line="240" w:lineRule="auto"/>
        <w:ind w:left="426"/>
        <w:rPr>
          <w:rFonts w:cs="Arial"/>
          <w:szCs w:val="24"/>
        </w:rPr>
      </w:pPr>
    </w:p>
    <w:p w:rsidR="000B6D53" w:rsidRPr="00B27047" w:rsidRDefault="000B6D53" w:rsidP="000C653B">
      <w:pPr>
        <w:pStyle w:val="Default"/>
        <w:jc w:val="both"/>
        <w:rPr>
          <w:rFonts w:ascii="Arial" w:hAnsi="Arial" w:cs="Arial"/>
          <w:b/>
          <w:u w:val="single"/>
        </w:rPr>
      </w:pPr>
      <w:r w:rsidRPr="00B27047">
        <w:rPr>
          <w:rFonts w:ascii="Arial" w:hAnsi="Arial" w:cs="Arial"/>
          <w:b/>
          <w:u w:val="single"/>
        </w:rPr>
        <w:t>Nová dávka na bydlení</w:t>
      </w:r>
    </w:p>
    <w:p w:rsidR="000B6D53" w:rsidRDefault="000B6D53" w:rsidP="000C653B">
      <w:pPr>
        <w:spacing w:line="240" w:lineRule="auto"/>
        <w:rPr>
          <w:rFonts w:cs="Arial"/>
        </w:rPr>
      </w:pPr>
      <w:r>
        <w:rPr>
          <w:rFonts w:cs="Arial"/>
        </w:rPr>
        <w:t>V rámci návrhu zákona o sociálním bydlení je navrhována nová úprava dávkové podpory bydlení. Nová dávka nahradí obě současné, čímž dojde ke zjednodušení systému, a zároveň obsahuje parametry k větší adresnosti (např. testování aktivity, majetku a pohledávek žadatele, důraz na faktickou kvalitu bytu, do kterého je dávka žádána apod.)</w:t>
      </w:r>
    </w:p>
    <w:p w:rsidR="000C653B" w:rsidRDefault="000C653B" w:rsidP="000C653B">
      <w:pPr>
        <w:spacing w:line="240" w:lineRule="auto"/>
        <w:rPr>
          <w:rFonts w:cs="Arial"/>
        </w:rPr>
      </w:pPr>
    </w:p>
    <w:p w:rsidR="000B6D53" w:rsidRPr="002A02CD" w:rsidRDefault="000B6D53" w:rsidP="004F7EFC">
      <w:pPr>
        <w:spacing w:after="200"/>
        <w:rPr>
          <w:b/>
        </w:rPr>
      </w:pPr>
      <w:r w:rsidRPr="002A02CD">
        <w:rPr>
          <w:rFonts w:cs="Arial"/>
          <w:b/>
        </w:rPr>
        <w:t xml:space="preserve">9. </w:t>
      </w:r>
      <w:r w:rsidRPr="002A02CD">
        <w:rPr>
          <w:b/>
        </w:rPr>
        <w:t>Exekuce</w:t>
      </w:r>
    </w:p>
    <w:p w:rsidR="000B6D53" w:rsidRPr="002A02CD" w:rsidRDefault="000B6D53" w:rsidP="00106D13">
      <w:pPr>
        <w:spacing w:line="240" w:lineRule="auto"/>
        <w:rPr>
          <w:b/>
          <w:u w:val="single"/>
        </w:rPr>
      </w:pPr>
      <w:r w:rsidRPr="002A02CD">
        <w:rPr>
          <w:b/>
          <w:u w:val="single"/>
        </w:rPr>
        <w:t>Popis opatření:</w:t>
      </w:r>
    </w:p>
    <w:p w:rsidR="000B6D53" w:rsidRPr="002A02CD" w:rsidRDefault="000B6D53" w:rsidP="00106D13">
      <w:pPr>
        <w:spacing w:line="240" w:lineRule="auto"/>
        <w:rPr>
          <w:rFonts w:cs="Arial"/>
          <w:szCs w:val="24"/>
        </w:rPr>
      </w:pPr>
      <w:r w:rsidRPr="002A02CD">
        <w:rPr>
          <w:rFonts w:cs="Arial"/>
          <w:szCs w:val="24"/>
        </w:rPr>
        <w:t>MPSV ve spolupráci s Ministerstvem spravedlnost</w:t>
      </w:r>
      <w:r w:rsidR="00BB4734" w:rsidRPr="002A02CD">
        <w:rPr>
          <w:rFonts w:cs="Arial"/>
          <w:szCs w:val="24"/>
        </w:rPr>
        <w:t>i</w:t>
      </w:r>
      <w:r w:rsidR="00A5698A">
        <w:rPr>
          <w:rFonts w:cs="Arial"/>
          <w:szCs w:val="24"/>
        </w:rPr>
        <w:t xml:space="preserve"> (MS)</w:t>
      </w:r>
      <w:r w:rsidR="00BB4734" w:rsidRPr="002A02CD">
        <w:rPr>
          <w:rFonts w:cs="Arial"/>
          <w:szCs w:val="24"/>
        </w:rPr>
        <w:t xml:space="preserve"> a Ministerstvem vnitra navrhn</w:t>
      </w:r>
      <w:r w:rsidR="001D2802">
        <w:rPr>
          <w:rFonts w:cs="Arial"/>
          <w:szCs w:val="24"/>
        </w:rPr>
        <w:t>e</w:t>
      </w:r>
      <w:r w:rsidRPr="002A02CD">
        <w:rPr>
          <w:rFonts w:cs="Arial"/>
          <w:szCs w:val="24"/>
        </w:rPr>
        <w:t xml:space="preserve"> opatření k řešení problematiky exekucí a jejich negativního dopadu na motivaci pracovní síly přijmout zaměstnání jako zdroj obživy</w:t>
      </w:r>
      <w:r w:rsidR="00BB4734" w:rsidRPr="002A02CD">
        <w:rPr>
          <w:rFonts w:cs="Arial"/>
          <w:szCs w:val="24"/>
        </w:rPr>
        <w:t>.</w:t>
      </w:r>
    </w:p>
    <w:p w:rsidR="00A5698A" w:rsidRDefault="00A5698A" w:rsidP="00106D13">
      <w:pPr>
        <w:spacing w:line="240" w:lineRule="auto"/>
        <w:rPr>
          <w:rFonts w:cs="Arial"/>
          <w:b/>
          <w:szCs w:val="24"/>
          <w:u w:val="single"/>
        </w:rPr>
      </w:pPr>
    </w:p>
    <w:p w:rsidR="00A5698A" w:rsidRDefault="00A5698A" w:rsidP="00106D13">
      <w:pPr>
        <w:spacing w:line="240" w:lineRule="auto"/>
        <w:rPr>
          <w:rFonts w:cs="Arial"/>
          <w:b/>
          <w:szCs w:val="24"/>
          <w:u w:val="single"/>
        </w:rPr>
      </w:pPr>
    </w:p>
    <w:p w:rsidR="000B6D53" w:rsidRPr="002A02CD" w:rsidRDefault="000B6D53" w:rsidP="00106D13">
      <w:pPr>
        <w:spacing w:line="240" w:lineRule="auto"/>
        <w:rPr>
          <w:rFonts w:cs="Arial"/>
          <w:b/>
          <w:szCs w:val="24"/>
          <w:u w:val="single"/>
        </w:rPr>
      </w:pPr>
      <w:r w:rsidRPr="002A02CD">
        <w:rPr>
          <w:rFonts w:cs="Arial"/>
          <w:b/>
          <w:szCs w:val="24"/>
          <w:u w:val="single"/>
        </w:rPr>
        <w:t>Plnění opatření:</w:t>
      </w:r>
    </w:p>
    <w:p w:rsidR="001A397F" w:rsidRDefault="001A397F" w:rsidP="00106D13">
      <w:pPr>
        <w:spacing w:line="240" w:lineRule="auto"/>
        <w:rPr>
          <w:rFonts w:cs="Arial"/>
          <w:i/>
          <w:color w:val="030303"/>
          <w:szCs w:val="24"/>
        </w:rPr>
      </w:pPr>
      <w:r w:rsidRPr="002A02CD">
        <w:rPr>
          <w:rStyle w:val="Zvraznn"/>
          <w:rFonts w:cs="Arial"/>
          <w:i w:val="0"/>
          <w:color w:val="030303"/>
          <w:szCs w:val="24"/>
        </w:rPr>
        <w:t>M</w:t>
      </w:r>
      <w:r w:rsidR="00A5698A">
        <w:rPr>
          <w:rStyle w:val="Zvraznn"/>
          <w:rFonts w:cs="Arial"/>
          <w:i w:val="0"/>
          <w:color w:val="030303"/>
          <w:szCs w:val="24"/>
        </w:rPr>
        <w:t>S</w:t>
      </w:r>
      <w:r w:rsidRPr="002A02CD">
        <w:rPr>
          <w:rStyle w:val="Zvraznn"/>
          <w:rFonts w:cs="Arial"/>
          <w:i w:val="0"/>
          <w:color w:val="030303"/>
          <w:szCs w:val="24"/>
        </w:rPr>
        <w:t xml:space="preserve"> připravilo</w:t>
      </w:r>
      <w:r w:rsidR="00C6645E" w:rsidRPr="002A02CD">
        <w:rPr>
          <w:rStyle w:val="Zvraznn"/>
          <w:rFonts w:cs="Arial"/>
          <w:i w:val="0"/>
          <w:color w:val="030303"/>
          <w:szCs w:val="24"/>
        </w:rPr>
        <w:t xml:space="preserve"> dvě novely insolvenčního zákona a novelu exekučního řádu. </w:t>
      </w:r>
      <w:r w:rsidRPr="002A02CD">
        <w:rPr>
          <w:rStyle w:val="Zvraznn"/>
          <w:rFonts w:cs="Arial"/>
          <w:i w:val="0"/>
          <w:color w:val="030303"/>
          <w:szCs w:val="24"/>
        </w:rPr>
        <w:t>Tyto novely by měly pomoci</w:t>
      </w:r>
      <w:r w:rsidR="00C6645E" w:rsidRPr="002A02CD">
        <w:rPr>
          <w:rStyle w:val="Zvraznn"/>
          <w:rFonts w:cs="Arial"/>
          <w:i w:val="0"/>
          <w:color w:val="030303"/>
          <w:szCs w:val="24"/>
        </w:rPr>
        <w:t xml:space="preserve"> nastavit férovější legislativní prostředí </w:t>
      </w:r>
      <w:r w:rsidR="00C6645E" w:rsidRPr="002A02CD">
        <w:rPr>
          <w:rStyle w:val="Zvraznn"/>
          <w:rFonts w:cs="Arial"/>
          <w:b/>
          <w:i w:val="0"/>
          <w:color w:val="030303"/>
          <w:szCs w:val="24"/>
        </w:rPr>
        <w:t>pro osobní bankrot</w:t>
      </w:r>
      <w:r w:rsidR="00C6645E" w:rsidRPr="002A02CD">
        <w:rPr>
          <w:rStyle w:val="Zvraznn"/>
          <w:rFonts w:cs="Arial"/>
          <w:i w:val="0"/>
          <w:color w:val="030303"/>
          <w:szCs w:val="24"/>
        </w:rPr>
        <w:t xml:space="preserve"> </w:t>
      </w:r>
      <w:r w:rsidR="00A5698A">
        <w:rPr>
          <w:rStyle w:val="Zvraznn"/>
          <w:rFonts w:cs="Arial"/>
          <w:i w:val="0"/>
          <w:color w:val="030303"/>
          <w:szCs w:val="24"/>
        </w:rPr>
        <w:br/>
      </w:r>
      <w:r w:rsidR="00C6645E" w:rsidRPr="002A02CD">
        <w:rPr>
          <w:rStyle w:val="Zvraznn"/>
          <w:rFonts w:cs="Arial"/>
          <w:i w:val="0"/>
          <w:color w:val="030303"/>
          <w:szCs w:val="24"/>
        </w:rPr>
        <w:t>a zbaví trh nesolidních komerčních subjektů slib</w:t>
      </w:r>
      <w:r w:rsidRPr="002A02CD">
        <w:rPr>
          <w:rStyle w:val="Zvraznn"/>
          <w:rFonts w:cs="Arial"/>
          <w:i w:val="0"/>
          <w:color w:val="030303"/>
          <w:szCs w:val="24"/>
        </w:rPr>
        <w:t>ujících snadné oddlužení.</w:t>
      </w:r>
      <w:r w:rsidRPr="002A02CD">
        <w:rPr>
          <w:rFonts w:cs="Arial"/>
          <w:i/>
          <w:color w:val="030303"/>
          <w:szCs w:val="24"/>
        </w:rPr>
        <w:t xml:space="preserve"> </w:t>
      </w:r>
      <w:r w:rsidRPr="002A02CD">
        <w:rPr>
          <w:rStyle w:val="Zvraznn"/>
          <w:rFonts w:cs="Arial"/>
          <w:i w:val="0"/>
          <w:color w:val="030303"/>
          <w:szCs w:val="24"/>
        </w:rPr>
        <w:t xml:space="preserve">Na oddlužení budou díky novele insolvenčního zákona moci za určitých podmínek dosáhnout i ti, kteří momentálně nemohou. Oddlužení by mělo udržet dlužníka </w:t>
      </w:r>
      <w:r w:rsidR="00A5698A">
        <w:rPr>
          <w:rStyle w:val="Zvraznn"/>
          <w:rFonts w:cs="Arial"/>
          <w:i w:val="0"/>
          <w:color w:val="030303"/>
          <w:szCs w:val="24"/>
        </w:rPr>
        <w:br/>
      </w:r>
      <w:r w:rsidRPr="002A02CD">
        <w:rPr>
          <w:rStyle w:val="Zvraznn"/>
          <w:rFonts w:cs="Arial"/>
          <w:i w:val="0"/>
          <w:color w:val="030303"/>
          <w:szCs w:val="24"/>
        </w:rPr>
        <w:t>v práci a je pro něho nadějí, že se mu podaří řešit složitou životní situaci. Zvýší se mu tak motivace mít, a udržet si legální prác</w:t>
      </w:r>
      <w:r w:rsidR="00C6645E" w:rsidRPr="002A02CD">
        <w:rPr>
          <w:rStyle w:val="Zvraznn"/>
          <w:rFonts w:cs="Arial"/>
          <w:i w:val="0"/>
          <w:color w:val="030303"/>
          <w:szCs w:val="24"/>
        </w:rPr>
        <w:t>i</w:t>
      </w:r>
      <w:r w:rsidR="00C6645E" w:rsidRPr="002A02CD">
        <w:rPr>
          <w:rFonts w:cs="Arial"/>
          <w:i/>
          <w:color w:val="030303"/>
          <w:szCs w:val="24"/>
        </w:rPr>
        <w:t>.</w:t>
      </w:r>
      <w:r w:rsidR="00C6645E" w:rsidRPr="001A397F">
        <w:rPr>
          <w:rFonts w:cs="Arial"/>
          <w:i/>
          <w:color w:val="030303"/>
          <w:szCs w:val="24"/>
        </w:rPr>
        <w:t xml:space="preserve"> </w:t>
      </w:r>
    </w:p>
    <w:p w:rsidR="00A5698A" w:rsidRPr="001A397F" w:rsidRDefault="00A5698A" w:rsidP="00106D13">
      <w:pPr>
        <w:spacing w:line="240" w:lineRule="auto"/>
        <w:rPr>
          <w:rFonts w:cs="Arial"/>
          <w:i/>
          <w:color w:val="030303"/>
          <w:szCs w:val="24"/>
        </w:rPr>
      </w:pPr>
    </w:p>
    <w:p w:rsidR="000B6D53" w:rsidRPr="00E74562" w:rsidRDefault="000B6D53" w:rsidP="004F7EFC">
      <w:pPr>
        <w:spacing w:line="240" w:lineRule="auto"/>
        <w:rPr>
          <w:b/>
        </w:rPr>
      </w:pPr>
      <w:r w:rsidRPr="00E74562">
        <w:rPr>
          <w:b/>
        </w:rPr>
        <w:t>10. Podpora flexibilních forem organizace práce</w:t>
      </w:r>
    </w:p>
    <w:p w:rsidR="00A5698A" w:rsidRDefault="00A5698A" w:rsidP="00106D13">
      <w:pPr>
        <w:spacing w:line="240" w:lineRule="auto"/>
        <w:rPr>
          <w:rFonts w:cs="Arial"/>
          <w:b/>
          <w:szCs w:val="24"/>
          <w:u w:val="single"/>
        </w:rPr>
      </w:pPr>
    </w:p>
    <w:p w:rsidR="000B6D53" w:rsidRPr="000B6D53" w:rsidRDefault="000B6D53" w:rsidP="00106D13">
      <w:pPr>
        <w:spacing w:line="240" w:lineRule="auto"/>
        <w:rPr>
          <w:rFonts w:cs="Arial"/>
          <w:b/>
          <w:szCs w:val="24"/>
          <w:u w:val="single"/>
        </w:rPr>
      </w:pPr>
      <w:r w:rsidRPr="000B6D53">
        <w:rPr>
          <w:rFonts w:cs="Arial"/>
          <w:b/>
          <w:szCs w:val="24"/>
          <w:u w:val="single"/>
        </w:rPr>
        <w:t>Popis opatření:</w:t>
      </w:r>
    </w:p>
    <w:p w:rsidR="000B6D53" w:rsidRDefault="000B6D53" w:rsidP="00A5698A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Odstraňování bariér (objektivních i subjektivních) bránících využívání flexibilních organizací práce, které svojí povahou nebudou prekérními zaměstnáními.</w:t>
      </w:r>
    </w:p>
    <w:p w:rsidR="00E6252E" w:rsidRDefault="00E6252E" w:rsidP="00A5698A">
      <w:pPr>
        <w:spacing w:line="240" w:lineRule="auto"/>
        <w:rPr>
          <w:rFonts w:cs="Arial"/>
          <w:szCs w:val="24"/>
        </w:rPr>
      </w:pPr>
    </w:p>
    <w:p w:rsidR="000B6D53" w:rsidRDefault="000B6D53" w:rsidP="00A5698A">
      <w:pPr>
        <w:spacing w:line="240" w:lineRule="auto"/>
        <w:rPr>
          <w:rFonts w:cs="Arial"/>
          <w:b/>
          <w:szCs w:val="24"/>
          <w:u w:val="single"/>
        </w:rPr>
      </w:pPr>
      <w:r w:rsidRPr="000B6D53">
        <w:rPr>
          <w:rFonts w:cs="Arial"/>
          <w:b/>
          <w:szCs w:val="24"/>
          <w:u w:val="single"/>
        </w:rPr>
        <w:t>Plnění opatření:</w:t>
      </w:r>
    </w:p>
    <w:p w:rsidR="00E6252E" w:rsidRDefault="00E6252E" w:rsidP="00A5698A">
      <w:pPr>
        <w:spacing w:line="240" w:lineRule="auto"/>
        <w:rPr>
          <w:rFonts w:cs="Arial"/>
          <w:b/>
          <w:szCs w:val="24"/>
          <w:u w:val="single"/>
        </w:rPr>
      </w:pPr>
    </w:p>
    <w:p w:rsidR="000B6D53" w:rsidRDefault="000B6D53" w:rsidP="00A5698A">
      <w:pPr>
        <w:spacing w:line="240" w:lineRule="auto"/>
      </w:pPr>
      <w:r w:rsidRPr="002B698A">
        <w:rPr>
          <w:b/>
        </w:rPr>
        <w:t>Poměr zkrácených pracovních úvazků na celkové zaměstnanosti v ČR v posledních dvou letech se stabilně drží kolem 6,5 %, v případě žen 10,5 %.</w:t>
      </w:r>
      <w:r w:rsidR="00EB1BB2">
        <w:t xml:space="preserve"> U </w:t>
      </w:r>
      <w:r>
        <w:t>žen došlo v 1 čtvrtletí roku 2016 k mírnému nárůstu a to na 10,8 % oproti 10,3 % ve stejném období loňského roku. Průměr EU se však v celkové zaměstnanosti pohybuje kolem 20,5 %, v případě žen kolem 33 %.</w:t>
      </w:r>
    </w:p>
    <w:p w:rsidR="00E6252E" w:rsidRDefault="00E6252E" w:rsidP="00A5698A">
      <w:pPr>
        <w:spacing w:line="240" w:lineRule="auto"/>
      </w:pPr>
    </w:p>
    <w:p w:rsidR="000B6D53" w:rsidRDefault="00AF1CDD" w:rsidP="00A5698A">
      <w:pPr>
        <w:spacing w:line="240" w:lineRule="auto"/>
        <w:rPr>
          <w:b/>
        </w:rPr>
      </w:pPr>
      <w:r>
        <w:rPr>
          <w:b/>
        </w:rPr>
        <w:t xml:space="preserve">V rámci resortu </w:t>
      </w:r>
      <w:r w:rsidR="007E38CF">
        <w:rPr>
          <w:b/>
        </w:rPr>
        <w:t>M</w:t>
      </w:r>
      <w:r w:rsidR="000B6D53" w:rsidRPr="002B698A">
        <w:rPr>
          <w:b/>
        </w:rPr>
        <w:t xml:space="preserve">PSV je aktuálně připravována Koncepce rodinné politiky, jejíž součástí jsou návrhy opatření k podpoře flexibilních organizací práce. Jejich vytváření je rovněž podporováno v rámci projektů OP Zaměstnanost </w:t>
      </w:r>
      <w:r w:rsidR="00A5698A">
        <w:rPr>
          <w:b/>
        </w:rPr>
        <w:t xml:space="preserve">(OP Z) </w:t>
      </w:r>
      <w:r w:rsidR="000B6D53" w:rsidRPr="002B698A">
        <w:rPr>
          <w:b/>
        </w:rPr>
        <w:t>financovaných z IP 1.2. Vytváření zkrácených pracovních úvazků pro uchazeče o zaměstnání je rovněž podporováno v rámci nástrojů APZ (zaměstnavatel obdrží vyšší příspěvek v případě, že na 1 pracovním místě zaměstná 2 osoby se zkráceným úvazkem).</w:t>
      </w:r>
    </w:p>
    <w:p w:rsidR="00E6252E" w:rsidRPr="002B698A" w:rsidRDefault="00E6252E" w:rsidP="000C653B">
      <w:pPr>
        <w:spacing w:line="240" w:lineRule="auto"/>
        <w:rPr>
          <w:b/>
        </w:rPr>
      </w:pPr>
    </w:p>
    <w:p w:rsidR="000B6D53" w:rsidRDefault="000B6D53" w:rsidP="000C653B">
      <w:pPr>
        <w:spacing w:line="240" w:lineRule="auto"/>
        <w:rPr>
          <w:rFonts w:cs="Arial"/>
          <w:szCs w:val="24"/>
        </w:rPr>
      </w:pPr>
      <w:r>
        <w:t>MPSV připravilo novelu zákona č. 262/2006 Sb., zákoník práce, ve znění pozdějších předpisů</w:t>
      </w:r>
      <w:r w:rsidR="00A5698A">
        <w:t xml:space="preserve"> (dále jen „zákoník práce“)</w:t>
      </w:r>
      <w:r>
        <w:t>, kterou vláda ČR schválila usnesením č. 717/2016</w:t>
      </w:r>
      <w:r w:rsidR="00A5698A">
        <w:t>,</w:t>
      </w:r>
      <w:r>
        <w:t xml:space="preserve"> a která byla zaslána P</w:t>
      </w:r>
      <w:r w:rsidR="00A5698A">
        <w:t>oslanecké sněmovně Parlamentu</w:t>
      </w:r>
      <w:r>
        <w:t xml:space="preserve"> PČR (sněmovní tisk 903). Novela mimo jiné obsahuje </w:t>
      </w:r>
      <w:r w:rsidRPr="006C22C7">
        <w:rPr>
          <w:rFonts w:cs="Arial"/>
          <w:szCs w:val="24"/>
        </w:rPr>
        <w:t>úpravy výkonu práce</w:t>
      </w:r>
      <w:r>
        <w:rPr>
          <w:rFonts w:cs="Arial"/>
          <w:szCs w:val="24"/>
        </w:rPr>
        <w:t xml:space="preserve"> </w:t>
      </w:r>
      <w:r w:rsidRPr="006C22C7">
        <w:rPr>
          <w:rFonts w:cs="Arial"/>
          <w:szCs w:val="24"/>
        </w:rPr>
        <w:t>mimo pracoviště zaměstnavatele (</w:t>
      </w:r>
      <w:proofErr w:type="spellStart"/>
      <w:r w:rsidRPr="006C22C7">
        <w:rPr>
          <w:rFonts w:cs="Arial"/>
          <w:bCs/>
          <w:szCs w:val="24"/>
        </w:rPr>
        <w:t>homeworking</w:t>
      </w:r>
      <w:proofErr w:type="spellEnd"/>
      <w:r w:rsidRPr="006C22C7">
        <w:rPr>
          <w:rFonts w:cs="Arial"/>
          <w:szCs w:val="24"/>
        </w:rPr>
        <w:t>).</w:t>
      </w:r>
      <w:r>
        <w:rPr>
          <w:rFonts w:cs="Arial"/>
          <w:szCs w:val="24"/>
        </w:rPr>
        <w:t xml:space="preserve"> Zpřesňuje</w:t>
      </w:r>
      <w:r w:rsidRPr="006C22C7">
        <w:rPr>
          <w:rFonts w:cs="Arial"/>
          <w:szCs w:val="24"/>
        </w:rPr>
        <w:t xml:space="preserve"> podmínky výkonu práce</w:t>
      </w:r>
      <w:r>
        <w:rPr>
          <w:rFonts w:cs="Arial"/>
          <w:szCs w:val="24"/>
        </w:rPr>
        <w:t xml:space="preserve"> </w:t>
      </w:r>
      <w:r w:rsidRPr="006C22C7">
        <w:rPr>
          <w:rFonts w:cs="Arial"/>
          <w:szCs w:val="24"/>
        </w:rPr>
        <w:t xml:space="preserve">mimo pracoviště zaměstnavatele, umožňuje </w:t>
      </w:r>
      <w:r>
        <w:rPr>
          <w:rFonts w:cs="Arial"/>
          <w:szCs w:val="24"/>
        </w:rPr>
        <w:t>dohodu</w:t>
      </w:r>
      <w:r w:rsidRPr="006C22C7">
        <w:rPr>
          <w:rFonts w:cs="Arial"/>
          <w:szCs w:val="24"/>
        </w:rPr>
        <w:t xml:space="preserve"> o rozvržení pracovní doby samotným</w:t>
      </w:r>
      <w:r>
        <w:rPr>
          <w:rFonts w:cs="Arial"/>
          <w:szCs w:val="24"/>
        </w:rPr>
        <w:t xml:space="preserve"> </w:t>
      </w:r>
      <w:r w:rsidRPr="006C22C7">
        <w:rPr>
          <w:rFonts w:cs="Arial"/>
          <w:szCs w:val="24"/>
        </w:rPr>
        <w:t>zaměstnancem, z čehož vyplývají důsledky zejména v podobě neuplatnění některých osobních</w:t>
      </w:r>
      <w:r>
        <w:rPr>
          <w:rFonts w:cs="Arial"/>
          <w:szCs w:val="24"/>
        </w:rPr>
        <w:t xml:space="preserve"> </w:t>
      </w:r>
      <w:r w:rsidRPr="006C22C7">
        <w:rPr>
          <w:rFonts w:cs="Arial"/>
          <w:szCs w:val="24"/>
        </w:rPr>
        <w:t xml:space="preserve">překážek v práci, náhrady </w:t>
      </w:r>
      <w:r w:rsidR="00EB1BB2">
        <w:rPr>
          <w:rFonts w:cs="Arial"/>
          <w:szCs w:val="24"/>
        </w:rPr>
        <w:t>mzdy nebo platu. V </w:t>
      </w:r>
      <w:r w:rsidRPr="006C22C7">
        <w:rPr>
          <w:rFonts w:cs="Arial"/>
          <w:szCs w:val="24"/>
        </w:rPr>
        <w:t>souladu s Rámcovou dohodou, kterou uzavřeli</w:t>
      </w:r>
      <w:r>
        <w:rPr>
          <w:rFonts w:cs="Arial"/>
          <w:szCs w:val="24"/>
        </w:rPr>
        <w:t xml:space="preserve"> </w:t>
      </w:r>
      <w:r w:rsidRPr="006C22C7">
        <w:rPr>
          <w:rFonts w:cs="Arial"/>
          <w:szCs w:val="24"/>
        </w:rPr>
        <w:t>sociální partneři na evropské úrovni, se upravuje práce na dálku (</w:t>
      </w:r>
      <w:proofErr w:type="spellStart"/>
      <w:r w:rsidRPr="006C22C7">
        <w:rPr>
          <w:rFonts w:cs="Arial"/>
          <w:bCs/>
          <w:szCs w:val="24"/>
        </w:rPr>
        <w:t>teleworking</w:t>
      </w:r>
      <w:proofErr w:type="spellEnd"/>
      <w:r w:rsidRPr="006C22C7">
        <w:rPr>
          <w:rFonts w:cs="Arial"/>
          <w:szCs w:val="24"/>
        </w:rPr>
        <w:t>).</w:t>
      </w:r>
    </w:p>
    <w:p w:rsidR="00E6252E" w:rsidRPr="00E6252E" w:rsidRDefault="00E6252E" w:rsidP="000C653B">
      <w:pPr>
        <w:spacing w:line="240" w:lineRule="auto"/>
        <w:rPr>
          <w:rFonts w:cs="Arial"/>
          <w:i/>
          <w:szCs w:val="24"/>
        </w:rPr>
      </w:pPr>
    </w:p>
    <w:p w:rsidR="000B6D53" w:rsidRPr="00E74562" w:rsidRDefault="000B6D53" w:rsidP="004F7EFC">
      <w:pPr>
        <w:spacing w:line="240" w:lineRule="auto"/>
        <w:rPr>
          <w:b/>
        </w:rPr>
      </w:pPr>
      <w:r w:rsidRPr="00E74562">
        <w:rPr>
          <w:rFonts w:cs="Arial"/>
          <w:b/>
          <w:szCs w:val="24"/>
        </w:rPr>
        <w:t xml:space="preserve">11. </w:t>
      </w:r>
      <w:r w:rsidRPr="00E74562">
        <w:rPr>
          <w:b/>
        </w:rPr>
        <w:t>Agenturní zaměstnávání</w:t>
      </w:r>
    </w:p>
    <w:p w:rsidR="00E6252E" w:rsidRDefault="00E6252E" w:rsidP="000C653B">
      <w:pPr>
        <w:spacing w:line="240" w:lineRule="auto"/>
        <w:rPr>
          <w:b/>
          <w:u w:val="single"/>
        </w:rPr>
      </w:pPr>
    </w:p>
    <w:p w:rsidR="000B6D53" w:rsidRDefault="000B6D53" w:rsidP="000C653B">
      <w:pPr>
        <w:spacing w:line="240" w:lineRule="auto"/>
        <w:rPr>
          <w:b/>
          <w:u w:val="single"/>
        </w:rPr>
      </w:pPr>
      <w:r>
        <w:rPr>
          <w:b/>
          <w:u w:val="single"/>
        </w:rPr>
        <w:t>Popis opatření:</w:t>
      </w:r>
    </w:p>
    <w:p w:rsidR="00E6252E" w:rsidRDefault="00E6252E" w:rsidP="000C653B">
      <w:pPr>
        <w:spacing w:line="240" w:lineRule="auto"/>
        <w:rPr>
          <w:b/>
          <w:u w:val="single"/>
        </w:rPr>
      </w:pPr>
    </w:p>
    <w:p w:rsidR="000B6D53" w:rsidRDefault="000B6D53" w:rsidP="000C653B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MPSV provede revizi systému agenturního zaměstnávání, zejména v r</w:t>
      </w:r>
      <w:r w:rsidR="00EB1BB2">
        <w:rPr>
          <w:rFonts w:cs="Arial"/>
          <w:szCs w:val="24"/>
        </w:rPr>
        <w:t>ámci zákona o </w:t>
      </w:r>
      <w:r>
        <w:rPr>
          <w:rFonts w:cs="Arial"/>
          <w:szCs w:val="24"/>
        </w:rPr>
        <w:t>zaměstnanosti, s cílem zvýšit jistotu na trhu práce zaměstnanců agentur práce dočasně přidělovaných k</w:t>
      </w:r>
      <w:r w:rsidR="00E6252E">
        <w:rPr>
          <w:rFonts w:cs="Arial"/>
          <w:szCs w:val="24"/>
        </w:rPr>
        <w:t> </w:t>
      </w:r>
      <w:r>
        <w:rPr>
          <w:rFonts w:cs="Arial"/>
          <w:szCs w:val="24"/>
        </w:rPr>
        <w:t>uživatelům</w:t>
      </w:r>
    </w:p>
    <w:p w:rsidR="00E6252E" w:rsidRDefault="00E6252E" w:rsidP="000C653B">
      <w:pPr>
        <w:spacing w:line="240" w:lineRule="auto"/>
        <w:rPr>
          <w:rFonts w:cs="Arial"/>
          <w:szCs w:val="24"/>
        </w:rPr>
      </w:pPr>
    </w:p>
    <w:p w:rsidR="000B6D53" w:rsidRDefault="000B6D53" w:rsidP="000C653B">
      <w:pPr>
        <w:spacing w:line="240" w:lineRule="auto"/>
        <w:rPr>
          <w:rFonts w:cs="Arial"/>
          <w:b/>
          <w:szCs w:val="24"/>
          <w:u w:val="single"/>
        </w:rPr>
      </w:pPr>
      <w:r w:rsidRPr="000B6D53">
        <w:rPr>
          <w:rFonts w:cs="Arial"/>
          <w:b/>
          <w:szCs w:val="24"/>
          <w:u w:val="single"/>
        </w:rPr>
        <w:t>Plnění opatření</w:t>
      </w:r>
      <w:r>
        <w:rPr>
          <w:rFonts w:cs="Arial"/>
          <w:b/>
          <w:szCs w:val="24"/>
          <w:u w:val="single"/>
        </w:rPr>
        <w:t>:</w:t>
      </w:r>
    </w:p>
    <w:p w:rsidR="00E6252E" w:rsidRDefault="00E6252E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761A64" w:rsidRDefault="00761A64" w:rsidP="000C653B">
      <w:pPr>
        <w:spacing w:line="240" w:lineRule="auto"/>
        <w:rPr>
          <w:rFonts w:cs="Arial"/>
          <w:szCs w:val="24"/>
        </w:rPr>
      </w:pPr>
      <w:r w:rsidRPr="00EB5D27">
        <w:rPr>
          <w:rFonts w:cs="Arial"/>
          <w:szCs w:val="24"/>
        </w:rPr>
        <w:t xml:space="preserve">Vládou ČR projednán a schválen </w:t>
      </w:r>
      <w:r>
        <w:rPr>
          <w:rFonts w:cs="Arial"/>
          <w:szCs w:val="24"/>
        </w:rPr>
        <w:t>n</w:t>
      </w:r>
      <w:r w:rsidRPr="00EB5D27">
        <w:rPr>
          <w:rFonts w:cs="Arial"/>
          <w:szCs w:val="24"/>
        </w:rPr>
        <w:t>ávr</w:t>
      </w:r>
      <w:r>
        <w:rPr>
          <w:rFonts w:cs="Arial"/>
          <w:szCs w:val="24"/>
        </w:rPr>
        <w:t>h novely zákona o zaměstnanosti, který obsahuje:</w:t>
      </w:r>
    </w:p>
    <w:p w:rsidR="00761A64" w:rsidRPr="007E2E72" w:rsidRDefault="00761A64" w:rsidP="000C653B">
      <w:pPr>
        <w:pStyle w:val="Odstavecseseznamem"/>
        <w:numPr>
          <w:ilvl w:val="0"/>
          <w:numId w:val="13"/>
        </w:numPr>
        <w:spacing w:line="240" w:lineRule="auto"/>
        <w:rPr>
          <w:rFonts w:cs="Arial"/>
          <w:szCs w:val="24"/>
        </w:rPr>
      </w:pPr>
      <w:r w:rsidRPr="007E2E72">
        <w:rPr>
          <w:rFonts w:cs="Arial"/>
          <w:szCs w:val="24"/>
        </w:rPr>
        <w:t>ukotvení institutu kauce ve výši 500</w:t>
      </w:r>
      <w:r w:rsidR="00A5698A">
        <w:rPr>
          <w:rFonts w:cs="Arial"/>
          <w:szCs w:val="24"/>
        </w:rPr>
        <w:t xml:space="preserve"> </w:t>
      </w:r>
      <w:r w:rsidRPr="007E2E72">
        <w:rPr>
          <w:rFonts w:cs="Arial"/>
          <w:szCs w:val="24"/>
        </w:rPr>
        <w:t>000 Kč k prokázání finanční způsobilosti agentury práce; povinná úhrada kauce se vztahuje pouze na agentury práce s povolením ke zprostředkování zaměstnání – přidělení k uživateli. Kauce jednak eliminuje účelové zakládání agentur práce a obcházení právních předpisů (např. odvodová povinnost vůči státu), a zároveň poskytne jistinu na případné neuhrazené splatné nedoplatky vytvořené vůči veřejným rozpočtům během výkonu zprostředkovatelské činnosti,</w:t>
      </w:r>
    </w:p>
    <w:p w:rsidR="00761A64" w:rsidRPr="0028371D" w:rsidRDefault="00761A64" w:rsidP="000C653B">
      <w:pPr>
        <w:pStyle w:val="Odstavecseseznamem"/>
        <w:numPr>
          <w:ilvl w:val="0"/>
          <w:numId w:val="9"/>
        </w:numPr>
        <w:spacing w:line="240" w:lineRule="auto"/>
        <w:rPr>
          <w:rFonts w:cs="Arial"/>
          <w:szCs w:val="24"/>
        </w:rPr>
      </w:pPr>
      <w:r w:rsidRPr="0028371D">
        <w:rPr>
          <w:rFonts w:cs="Arial"/>
          <w:szCs w:val="24"/>
        </w:rPr>
        <w:t xml:space="preserve">vložení nového § 307b do zákoníku práce, </w:t>
      </w:r>
      <w:r>
        <w:rPr>
          <w:rFonts w:cs="Arial"/>
          <w:szCs w:val="24"/>
        </w:rPr>
        <w:t xml:space="preserve">kdy se </w:t>
      </w:r>
      <w:r w:rsidRPr="0028371D">
        <w:rPr>
          <w:rFonts w:cs="Arial"/>
          <w:szCs w:val="24"/>
        </w:rPr>
        <w:t xml:space="preserve">přisuzuje odpovědnost za způsob, jakým je dočasné přidělování zaměstnanců agentur práce realizováno uživateli (poptávka ze strany uživatele často determinuje podmínky realizace agenturního zaměstnávání); uživatel bude nově povinen společně s agenturou práce zajistit, aby zaměstnanec </w:t>
      </w:r>
      <w:r w:rsidRPr="0028371D">
        <w:rPr>
          <w:rFonts w:eastAsia="Times New Roman" w:cs="Arial"/>
          <w:szCs w:val="24"/>
          <w:lang w:eastAsia="cs-CZ"/>
        </w:rPr>
        <w:t>nebyl dočasně přidělen k výkonu práce u toho uživatele, u něhož je současně zaměstnán v základním pracovněprávním vztahu anebo konal nebo koná v témže kalendářním měsíci práci na základě dočasného přidělení jinou agenturou práce,</w:t>
      </w:r>
    </w:p>
    <w:p w:rsidR="000B6D53" w:rsidRDefault="00761A64" w:rsidP="000C653B">
      <w:pPr>
        <w:pStyle w:val="Odstavecseseznamem"/>
        <w:numPr>
          <w:ilvl w:val="0"/>
          <w:numId w:val="9"/>
        </w:numPr>
        <w:spacing w:line="240" w:lineRule="auto"/>
        <w:rPr>
          <w:rFonts w:eastAsia="Times New Roman" w:cs="Arial"/>
          <w:szCs w:val="24"/>
        </w:rPr>
      </w:pPr>
      <w:r w:rsidRPr="00595420">
        <w:rPr>
          <w:rFonts w:cs="Arial"/>
          <w:szCs w:val="24"/>
        </w:rPr>
        <w:t xml:space="preserve">změna </w:t>
      </w:r>
      <w:r w:rsidRPr="00595420">
        <w:rPr>
          <w:rFonts w:eastAsia="Times New Roman" w:cs="Arial"/>
          <w:szCs w:val="24"/>
          <w:lang w:eastAsia="cs-CZ"/>
        </w:rPr>
        <w:t xml:space="preserve">zákona </w:t>
      </w:r>
      <w:r w:rsidR="00A5698A">
        <w:rPr>
          <w:rFonts w:eastAsia="Times New Roman" w:cs="Arial"/>
          <w:szCs w:val="24"/>
          <w:lang w:eastAsia="cs-CZ"/>
        </w:rPr>
        <w:t xml:space="preserve">č. 251/2005 Sb., </w:t>
      </w:r>
      <w:r w:rsidRPr="00595420">
        <w:rPr>
          <w:rFonts w:eastAsia="Times New Roman" w:cs="Arial"/>
          <w:szCs w:val="24"/>
          <w:lang w:eastAsia="cs-CZ"/>
        </w:rPr>
        <w:t>o inspekci práce</w:t>
      </w:r>
      <w:r w:rsidR="00A5698A">
        <w:rPr>
          <w:rFonts w:eastAsia="Times New Roman" w:cs="Arial"/>
          <w:szCs w:val="24"/>
          <w:lang w:eastAsia="cs-CZ"/>
        </w:rPr>
        <w:t>, ve znění pozdějších předpisů,</w:t>
      </w:r>
      <w:r w:rsidRPr="00595420">
        <w:rPr>
          <w:rFonts w:eastAsia="Times New Roman" w:cs="Arial"/>
          <w:szCs w:val="24"/>
          <w:lang w:eastAsia="cs-CZ"/>
        </w:rPr>
        <w:t xml:space="preserve"> tak, že se deliktního jednání dopustí takový uživatelský subjekt, který nezajistí</w:t>
      </w:r>
      <w:r w:rsidRPr="00595420">
        <w:rPr>
          <w:rFonts w:eastAsia="Times New Roman" w:cs="Arial"/>
          <w:szCs w:val="24"/>
        </w:rPr>
        <w:t xml:space="preserve">, aby dohoda o dočasném přidělení zaměstnance agentury práce obsahovala </w:t>
      </w:r>
      <w:r w:rsidRPr="00595420">
        <w:rPr>
          <w:rFonts w:eastAsia="Times New Roman" w:cs="Arial"/>
          <w:szCs w:val="24"/>
          <w:lang w:eastAsia="cs-CZ"/>
        </w:rPr>
        <w:t xml:space="preserve">informace o pracovních a mzdových nebo platových podmínkách zaměstnance uživatele, který vykonává nebo by vykonával stejnou práci jako dočasně přidělený zaměstnanec, s přihlédnutím ke kvalifikaci a délce odborné praxe, </w:t>
      </w:r>
      <w:r w:rsidRPr="00595420">
        <w:rPr>
          <w:rFonts w:eastAsia="Times New Roman" w:cs="Arial"/>
          <w:szCs w:val="24"/>
        </w:rPr>
        <w:t>nebo tyto údaje uvede nepravdivě.</w:t>
      </w:r>
    </w:p>
    <w:p w:rsidR="00E6252E" w:rsidRPr="00595420" w:rsidRDefault="00E6252E" w:rsidP="00E6252E">
      <w:pPr>
        <w:pStyle w:val="Odstavecseseznamem"/>
        <w:spacing w:line="240" w:lineRule="auto"/>
        <w:rPr>
          <w:rFonts w:eastAsia="Times New Roman" w:cs="Arial"/>
          <w:szCs w:val="24"/>
        </w:rPr>
      </w:pPr>
    </w:p>
    <w:p w:rsidR="00595420" w:rsidRDefault="00595420" w:rsidP="000C653B">
      <w:pPr>
        <w:spacing w:line="240" w:lineRule="auto"/>
        <w:rPr>
          <w:rFonts w:eastAsia="Times New Roman" w:cs="Arial"/>
          <w:b/>
          <w:szCs w:val="24"/>
        </w:rPr>
      </w:pPr>
      <w:r w:rsidRPr="002B698A">
        <w:rPr>
          <w:rFonts w:eastAsia="Times New Roman" w:cs="Arial"/>
          <w:b/>
          <w:szCs w:val="24"/>
        </w:rPr>
        <w:t>Podrobnější informace viz část 4 tohoto materiálu</w:t>
      </w:r>
      <w:r w:rsidR="00E6252E">
        <w:rPr>
          <w:rFonts w:eastAsia="Times New Roman" w:cs="Arial"/>
          <w:b/>
          <w:szCs w:val="24"/>
        </w:rPr>
        <w:t>.</w:t>
      </w:r>
    </w:p>
    <w:p w:rsidR="00E6252E" w:rsidRDefault="00E6252E" w:rsidP="000C653B">
      <w:pPr>
        <w:spacing w:line="240" w:lineRule="auto"/>
        <w:rPr>
          <w:rFonts w:eastAsia="Times New Roman" w:cs="Arial"/>
          <w:b/>
          <w:szCs w:val="24"/>
        </w:rPr>
      </w:pPr>
    </w:p>
    <w:p w:rsidR="00E6252E" w:rsidRPr="00E74562" w:rsidRDefault="00E6252E" w:rsidP="00E74562">
      <w:pPr>
        <w:spacing w:line="240" w:lineRule="auto"/>
        <w:ind w:left="708"/>
        <w:rPr>
          <w:rFonts w:eastAsia="Times New Roman" w:cs="Arial"/>
          <w:b/>
          <w:szCs w:val="24"/>
        </w:rPr>
      </w:pPr>
    </w:p>
    <w:p w:rsidR="00761A64" w:rsidRPr="00E74562" w:rsidRDefault="00761A64" w:rsidP="004F7EFC">
      <w:pPr>
        <w:spacing w:line="240" w:lineRule="auto"/>
        <w:rPr>
          <w:b/>
        </w:rPr>
      </w:pPr>
      <w:r w:rsidRPr="00E74562">
        <w:rPr>
          <w:rFonts w:eastAsia="Times New Roman" w:cs="Arial"/>
          <w:b/>
          <w:szCs w:val="24"/>
        </w:rPr>
        <w:t xml:space="preserve">12. </w:t>
      </w:r>
      <w:r w:rsidRPr="00E74562">
        <w:rPr>
          <w:b/>
        </w:rPr>
        <w:t>Koordinace politiky zaměstna</w:t>
      </w:r>
      <w:r w:rsidRPr="00E74562">
        <w:rPr>
          <w:b/>
        </w:rPr>
        <w:softHyphen/>
        <w:t>nosti a sociální politiky</w:t>
      </w:r>
    </w:p>
    <w:p w:rsidR="00E6252E" w:rsidRDefault="00E6252E" w:rsidP="000C653B">
      <w:pPr>
        <w:spacing w:line="240" w:lineRule="auto"/>
        <w:rPr>
          <w:b/>
          <w:u w:val="single"/>
        </w:rPr>
      </w:pPr>
    </w:p>
    <w:p w:rsidR="00761A64" w:rsidRDefault="00761A64" w:rsidP="000C653B">
      <w:pPr>
        <w:spacing w:line="240" w:lineRule="auto"/>
        <w:rPr>
          <w:b/>
          <w:u w:val="single"/>
        </w:rPr>
      </w:pPr>
      <w:r>
        <w:rPr>
          <w:b/>
          <w:u w:val="single"/>
        </w:rPr>
        <w:t>Popis opatření:</w:t>
      </w:r>
    </w:p>
    <w:p w:rsidR="00E6252E" w:rsidRDefault="00E6252E" w:rsidP="000C653B">
      <w:pPr>
        <w:spacing w:line="240" w:lineRule="auto"/>
        <w:rPr>
          <w:b/>
          <w:u w:val="single"/>
        </w:rPr>
      </w:pPr>
    </w:p>
    <w:p w:rsidR="00761A64" w:rsidRDefault="00761A64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>Zvýšit spolupráci v rámci ÚP ČR mezi oblas</w:t>
      </w:r>
      <w:r w:rsidR="00EB1BB2">
        <w:rPr>
          <w:rFonts w:cs="Arial"/>
          <w:szCs w:val="24"/>
        </w:rPr>
        <w:t>tí zprostředkování zaměstnání a </w:t>
      </w:r>
      <w:r w:rsidRPr="00C605D8">
        <w:rPr>
          <w:rFonts w:cs="Arial"/>
          <w:szCs w:val="24"/>
        </w:rPr>
        <w:t>nepojistných sociálních dávek s cílem koordinovat činnost jak na poli politiky zaměstnanosti, tak sociální politiky. Koordinovaně identifikovat možné bariéry při vstupu na trh práce ze strany pracovní síly.</w:t>
      </w:r>
    </w:p>
    <w:p w:rsidR="00E6252E" w:rsidRDefault="00E6252E" w:rsidP="000C653B">
      <w:pPr>
        <w:spacing w:line="240" w:lineRule="auto"/>
        <w:rPr>
          <w:rFonts w:cs="Arial"/>
          <w:szCs w:val="24"/>
        </w:rPr>
      </w:pPr>
    </w:p>
    <w:p w:rsidR="00761A64" w:rsidRDefault="00761A64" w:rsidP="000C653B">
      <w:pPr>
        <w:spacing w:line="240" w:lineRule="auto"/>
        <w:rPr>
          <w:rFonts w:cs="Arial"/>
          <w:b/>
          <w:szCs w:val="24"/>
          <w:u w:val="single"/>
        </w:rPr>
      </w:pPr>
      <w:r w:rsidRPr="00761A64">
        <w:rPr>
          <w:rFonts w:cs="Arial"/>
          <w:b/>
          <w:szCs w:val="24"/>
          <w:u w:val="single"/>
        </w:rPr>
        <w:t>Plnění opatření:</w:t>
      </w:r>
    </w:p>
    <w:p w:rsidR="00E6252E" w:rsidRDefault="00E6252E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761A64" w:rsidRDefault="00761A64" w:rsidP="000C653B">
      <w:pPr>
        <w:spacing w:line="240" w:lineRule="auto"/>
      </w:pPr>
      <w:r>
        <w:t xml:space="preserve">Od února tohoto roku je v účinnosti Směrnice generální ředitelky </w:t>
      </w:r>
      <w:r w:rsidR="00E6252E">
        <w:t>ÚP ČR</w:t>
      </w:r>
      <w:r>
        <w:t xml:space="preserve"> č. 2/2016, která stanovuje pravidla spolupráce útvaru zaměstnanosti a útvaru dávek pomoci v hmotné nouzi. Na základě této směrnice vytipovávají pracovníci agendy pomoci </w:t>
      </w:r>
      <w:r w:rsidR="00A5698A">
        <w:br/>
      </w:r>
      <w:r>
        <w:t>v hmotné nouzi příjemce těchto dávek (zejména ty dlouhodobé, nebo s podezřením na nelegální zaměstnání apod.), kterým je v rámci agendy zaměstnanosti věnována zvýšená péče při zprostředkování zaměstnání (s využitím nástrojů aktivní politiky zaměstnanosti jako např. veřejně prospěšné práce).</w:t>
      </w:r>
    </w:p>
    <w:p w:rsidR="00E6252E" w:rsidRDefault="00E6252E" w:rsidP="000C653B">
      <w:pPr>
        <w:spacing w:line="240" w:lineRule="auto"/>
      </w:pPr>
    </w:p>
    <w:p w:rsidR="00AF1CDD" w:rsidRDefault="004F7EFC" w:rsidP="000C653B">
      <w:pPr>
        <w:spacing w:line="240" w:lineRule="auto"/>
      </w:pPr>
      <w:r>
        <w:t xml:space="preserve">Viz také opatření bod </w:t>
      </w:r>
      <w:r w:rsidR="00AF1CDD">
        <w:t>1</w:t>
      </w:r>
    </w:p>
    <w:p w:rsidR="00E6252E" w:rsidRDefault="00E6252E" w:rsidP="000C653B">
      <w:pPr>
        <w:spacing w:line="240" w:lineRule="auto"/>
        <w:rPr>
          <w:i/>
        </w:rPr>
      </w:pPr>
    </w:p>
    <w:p w:rsidR="00761A64" w:rsidRPr="00E74562" w:rsidRDefault="00761A64" w:rsidP="004F7EFC">
      <w:pPr>
        <w:spacing w:line="240" w:lineRule="auto"/>
        <w:rPr>
          <w:b/>
        </w:rPr>
      </w:pPr>
      <w:r w:rsidRPr="00E74562">
        <w:rPr>
          <w:b/>
        </w:rPr>
        <w:t>13. Kariérové poradenství</w:t>
      </w:r>
    </w:p>
    <w:p w:rsidR="00E6252E" w:rsidRDefault="00E6252E" w:rsidP="000C653B">
      <w:pPr>
        <w:spacing w:line="240" w:lineRule="auto"/>
        <w:rPr>
          <w:b/>
          <w:u w:val="single"/>
        </w:rPr>
      </w:pPr>
    </w:p>
    <w:p w:rsidR="00761A64" w:rsidRDefault="00761A64" w:rsidP="000C653B">
      <w:pPr>
        <w:spacing w:line="240" w:lineRule="auto"/>
        <w:rPr>
          <w:rFonts w:cs="Arial"/>
          <w:b/>
          <w:szCs w:val="24"/>
          <w:u w:val="single"/>
        </w:rPr>
      </w:pPr>
      <w:r w:rsidRPr="00761A64">
        <w:rPr>
          <w:rFonts w:cs="Arial"/>
          <w:b/>
          <w:szCs w:val="24"/>
          <w:u w:val="single"/>
        </w:rPr>
        <w:t>Popis opatření:</w:t>
      </w:r>
    </w:p>
    <w:p w:rsidR="00E6252E" w:rsidRPr="00761A64" w:rsidRDefault="00E6252E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761A64" w:rsidRDefault="00761A64" w:rsidP="000C653B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>V rámci individualizované práce s klienty ÚP ČR budou</w:t>
      </w:r>
      <w:r>
        <w:rPr>
          <w:rFonts w:cs="Arial"/>
          <w:szCs w:val="24"/>
        </w:rPr>
        <w:t xml:space="preserve"> posíleny útvary informačních a </w:t>
      </w:r>
      <w:r w:rsidRPr="00C605D8">
        <w:rPr>
          <w:rFonts w:cs="Arial"/>
          <w:szCs w:val="24"/>
        </w:rPr>
        <w:t>poradenských středisek s cílem zintenzivnit činnost ÚP ČR v ob</w:t>
      </w:r>
      <w:r>
        <w:rPr>
          <w:rFonts w:cs="Arial"/>
          <w:szCs w:val="24"/>
        </w:rPr>
        <w:t>lasti kariérového poradenství a </w:t>
      </w:r>
      <w:r w:rsidRPr="00C605D8">
        <w:rPr>
          <w:rFonts w:cs="Arial"/>
          <w:szCs w:val="24"/>
        </w:rPr>
        <w:t>poradenství k volbě povolání s cílem směřovat volnou (a potenciální) pracovní sílu do těch oblastí národního hospodářství, kde</w:t>
      </w:r>
      <w:r>
        <w:rPr>
          <w:rFonts w:cs="Arial"/>
          <w:szCs w:val="24"/>
        </w:rPr>
        <w:t xml:space="preserve"> je citelný nedostatek vhodné a </w:t>
      </w:r>
      <w:r w:rsidRPr="00C605D8">
        <w:rPr>
          <w:rFonts w:cs="Arial"/>
          <w:szCs w:val="24"/>
        </w:rPr>
        <w:t>kvalifikované pracovní síly</w:t>
      </w:r>
      <w:r>
        <w:rPr>
          <w:rFonts w:cs="Arial"/>
          <w:szCs w:val="24"/>
        </w:rPr>
        <w:t>.</w:t>
      </w:r>
    </w:p>
    <w:p w:rsidR="00E6252E" w:rsidRDefault="00E6252E" w:rsidP="000C653B">
      <w:pPr>
        <w:spacing w:line="240" w:lineRule="auto"/>
        <w:rPr>
          <w:rFonts w:cs="Arial"/>
          <w:szCs w:val="24"/>
        </w:rPr>
      </w:pPr>
    </w:p>
    <w:p w:rsidR="00761A64" w:rsidRDefault="00761A64" w:rsidP="000C653B">
      <w:pPr>
        <w:spacing w:line="240" w:lineRule="auto"/>
        <w:rPr>
          <w:rFonts w:cs="Arial"/>
          <w:b/>
          <w:szCs w:val="24"/>
          <w:u w:val="single"/>
        </w:rPr>
      </w:pPr>
      <w:r w:rsidRPr="00761A64">
        <w:rPr>
          <w:rFonts w:cs="Arial"/>
          <w:b/>
          <w:szCs w:val="24"/>
          <w:u w:val="single"/>
        </w:rPr>
        <w:t>Plnění opatření:</w:t>
      </w:r>
    </w:p>
    <w:p w:rsidR="00E6252E" w:rsidRDefault="00E6252E" w:rsidP="000C653B">
      <w:pPr>
        <w:spacing w:line="240" w:lineRule="auto"/>
        <w:rPr>
          <w:rFonts w:cs="Arial"/>
          <w:b/>
          <w:szCs w:val="24"/>
          <w:u w:val="single"/>
        </w:rPr>
      </w:pPr>
    </w:p>
    <w:p w:rsidR="00761A64" w:rsidRDefault="00761A64" w:rsidP="000C653B">
      <w:pPr>
        <w:spacing w:line="240" w:lineRule="auto"/>
      </w:pPr>
      <w:r w:rsidRPr="00F21C33">
        <w:t xml:space="preserve">Poradenské aktivity </w:t>
      </w:r>
      <w:r>
        <w:t>ÚP ČR</w:t>
      </w:r>
      <w:r w:rsidRPr="00F21C33">
        <w:t xml:space="preserve"> </w:t>
      </w:r>
      <w:r>
        <w:t>jsou</w:t>
      </w:r>
      <w:r w:rsidRPr="00F21C33">
        <w:t xml:space="preserve"> zabezpečovány jak interně speciálními poradci - zaměstnanci ÚP ČR, tak externě, a to prostřednic</w:t>
      </w:r>
      <w:r>
        <w:t xml:space="preserve">tvím nákupu poradenských služeb, přičemž převažuje </w:t>
      </w:r>
      <w:r w:rsidRPr="00F21C33">
        <w:t>poradenství interně zajišťované ÚP ČR</w:t>
      </w:r>
      <w:r>
        <w:t>.</w:t>
      </w:r>
      <w:r w:rsidRPr="00F21C33">
        <w:t xml:space="preserve"> Významnou součástí skupinových poradenských programů jsou </w:t>
      </w:r>
      <w:r w:rsidRPr="00F21C33">
        <w:rPr>
          <w:b/>
        </w:rPr>
        <w:t>Job Cluby</w:t>
      </w:r>
      <w:r w:rsidRPr="00F21C33">
        <w:t xml:space="preserve">, které představují ucelený aktivizační poradenský program. </w:t>
      </w:r>
      <w:r>
        <w:t xml:space="preserve">V 1. pololetí </w:t>
      </w:r>
      <w:r w:rsidR="00A5698A">
        <w:t xml:space="preserve">roku </w:t>
      </w:r>
      <w:r>
        <w:t>2016 bylo v rámci interního poradenství realizováno 4 604 akcí pro 134 010 účastníků, externích akcí bylo 209 pro 2 910 účastníků. Job Cluby – 152 akcí pro 1455 účastníků s počtem 1232 úspěšných absolventů.</w:t>
      </w:r>
    </w:p>
    <w:p w:rsidR="00E6252E" w:rsidRDefault="00E6252E" w:rsidP="000C653B">
      <w:pPr>
        <w:spacing w:line="240" w:lineRule="auto"/>
      </w:pPr>
    </w:p>
    <w:p w:rsidR="00E6252E" w:rsidRDefault="00E6252E" w:rsidP="000C653B">
      <w:pPr>
        <w:spacing w:line="240" w:lineRule="auto"/>
      </w:pPr>
    </w:p>
    <w:p w:rsidR="0020618F" w:rsidRPr="0020618F" w:rsidRDefault="0020618F" w:rsidP="0020618F">
      <w:pPr>
        <w:spacing w:after="200"/>
        <w:rPr>
          <w:rFonts w:cs="Arial"/>
          <w:b/>
          <w:szCs w:val="24"/>
        </w:rPr>
      </w:pPr>
      <w:r w:rsidRPr="0020618F">
        <w:rPr>
          <w:rFonts w:cs="Arial"/>
          <w:b/>
          <w:szCs w:val="24"/>
        </w:rPr>
        <w:t>Tabulka: Počty účastníků poradenství k 30. 6. 2016:</w:t>
      </w:r>
    </w:p>
    <w:tbl>
      <w:tblPr>
        <w:tblW w:w="0" w:type="auto"/>
        <w:tblInd w:w="108" w:type="dxa"/>
        <w:tblBorders>
          <w:top w:val="single" w:sz="4" w:space="0" w:color="7F7F7F"/>
          <w:bottom w:val="single" w:sz="4" w:space="0" w:color="7F7F7F"/>
        </w:tblBorders>
        <w:tblLook w:val="0000" w:firstRow="0" w:lastRow="0" w:firstColumn="0" w:lastColumn="0" w:noHBand="0" w:noVBand="0"/>
      </w:tblPr>
      <w:tblGrid>
        <w:gridCol w:w="3402"/>
        <w:gridCol w:w="2889"/>
        <w:gridCol w:w="2889"/>
      </w:tblGrid>
      <w:tr w:rsidR="00255F0D" w:rsidRPr="0020618F" w:rsidTr="00586936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b/>
                <w:sz w:val="20"/>
                <w:szCs w:val="24"/>
                <w:lang w:eastAsia="cs-CZ"/>
              </w:rPr>
              <w:t>Interní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20618F" w:rsidRPr="0020618F" w:rsidRDefault="0020618F" w:rsidP="002061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  <w:t>Počet akcí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20618F" w:rsidRPr="0020618F" w:rsidRDefault="0020618F" w:rsidP="002061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  <w:t>Počet účastníků/ klientů</w:t>
            </w:r>
          </w:p>
        </w:tc>
      </w:tr>
      <w:tr w:rsidR="0020618F" w:rsidRPr="0020618F" w:rsidTr="00586936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20618F" w:rsidRPr="0020618F" w:rsidRDefault="0020618F" w:rsidP="0020618F">
            <w:pPr>
              <w:spacing w:line="240" w:lineRule="auto"/>
              <w:rPr>
                <w:rFonts w:asciiTheme="minorHAnsi" w:eastAsia="Times New Roman" w:hAnsiTheme="minorHAnsi"/>
                <w:color w:val="FFFFFF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color w:val="FFFFFF"/>
                <w:sz w:val="20"/>
                <w:szCs w:val="24"/>
                <w:lang w:eastAsia="cs-CZ"/>
              </w:rPr>
              <w:t>Informační a poradenská střediska (IPS)</w:t>
            </w:r>
          </w:p>
        </w:tc>
      </w:tr>
      <w:tr w:rsidR="00255F0D" w:rsidRPr="0020618F" w:rsidTr="005869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Skupinové akce pro školy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2 691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55 329</w:t>
            </w:r>
          </w:p>
        </w:tc>
      </w:tr>
      <w:tr w:rsidR="00255F0D" w:rsidRPr="0020618F" w:rsidTr="005869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lef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 xml:space="preserve">Akce pro </w:t>
            </w:r>
            <w:proofErr w:type="spellStart"/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UoZ</w:t>
            </w:r>
            <w:proofErr w:type="spellEnd"/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1 324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13 933</w:t>
            </w:r>
          </w:p>
        </w:tc>
      </w:tr>
      <w:tr w:rsidR="0020618F" w:rsidRPr="0020618F" w:rsidTr="00586936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20618F" w:rsidRPr="0020618F" w:rsidRDefault="0020618F" w:rsidP="0020618F">
            <w:pPr>
              <w:spacing w:line="240" w:lineRule="auto"/>
              <w:rPr>
                <w:rFonts w:asciiTheme="minorHAnsi" w:eastAsia="Times New Roman" w:hAnsiTheme="minorHAnsi"/>
                <w:b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color w:val="FFFFFF"/>
                <w:sz w:val="20"/>
                <w:szCs w:val="24"/>
                <w:lang w:eastAsia="cs-CZ"/>
              </w:rPr>
              <w:t>Další poradenské aktivity</w:t>
            </w:r>
          </w:p>
        </w:tc>
      </w:tr>
      <w:tr w:rsidR="00255F0D" w:rsidRPr="0020618F" w:rsidTr="005869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skupinové informační schůzky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2 981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54 778</w:t>
            </w:r>
          </w:p>
        </w:tc>
      </w:tr>
      <w:tr w:rsidR="00255F0D" w:rsidRPr="0020618F" w:rsidTr="005869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Individuální poradenství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63 872</w:t>
            </w:r>
          </w:p>
        </w:tc>
      </w:tr>
      <w:tr w:rsidR="00255F0D" w:rsidRPr="0020618F" w:rsidTr="005869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Bilanční diagnostika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84</w:t>
            </w:r>
          </w:p>
        </w:tc>
      </w:tr>
      <w:tr w:rsidR="00255F0D" w:rsidRPr="0020618F" w:rsidTr="005869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Skupinové poradenství v rámci RIP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64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633</w:t>
            </w:r>
          </w:p>
        </w:tc>
      </w:tr>
      <w:tr w:rsidR="00255F0D" w:rsidRPr="0020618F" w:rsidTr="005869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Individuální poradenství v rámci RIP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710</w:t>
            </w:r>
          </w:p>
        </w:tc>
      </w:tr>
      <w:tr w:rsidR="00255F0D" w:rsidRPr="0020618F" w:rsidTr="005869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Akce ÚP – prezentace IPS na veletrzích, burzy práce, apod.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235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</w:pPr>
            <w:r w:rsidRPr="0020618F">
              <w:rPr>
                <w:rFonts w:asciiTheme="minorHAnsi" w:eastAsia="Times New Roman" w:hAnsiTheme="minorHAnsi"/>
                <w:sz w:val="20"/>
                <w:szCs w:val="24"/>
                <w:lang w:eastAsia="cs-CZ"/>
              </w:rPr>
              <w:t>-</w:t>
            </w:r>
          </w:p>
        </w:tc>
      </w:tr>
    </w:tbl>
    <w:p w:rsidR="0020618F" w:rsidRPr="0020618F" w:rsidRDefault="0020618F" w:rsidP="0020618F">
      <w:pPr>
        <w:spacing w:after="200"/>
        <w:rPr>
          <w:rFonts w:asciiTheme="minorHAnsi" w:hAnsiTheme="minorHAnsi"/>
          <w:sz w:val="22"/>
        </w:rPr>
      </w:pPr>
    </w:p>
    <w:tbl>
      <w:tblPr>
        <w:tblW w:w="0" w:type="auto"/>
        <w:tblInd w:w="108" w:type="dxa"/>
        <w:tblBorders>
          <w:top w:val="single" w:sz="4" w:space="0" w:color="7F7F7F"/>
          <w:bottom w:val="single" w:sz="4" w:space="0" w:color="7F7F7F"/>
        </w:tblBorders>
        <w:tblLook w:val="0000" w:firstRow="0" w:lastRow="0" w:firstColumn="0" w:lastColumn="0" w:noHBand="0" w:noVBand="0"/>
      </w:tblPr>
      <w:tblGrid>
        <w:gridCol w:w="3402"/>
        <w:gridCol w:w="2889"/>
        <w:gridCol w:w="2889"/>
      </w:tblGrid>
      <w:tr w:rsidR="0020618F" w:rsidRPr="0020618F" w:rsidTr="00586936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b/>
                <w:sz w:val="20"/>
                <w:szCs w:val="24"/>
                <w:lang w:eastAsia="cs-CZ"/>
              </w:rPr>
              <w:t>Externí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20618F" w:rsidRPr="0020618F" w:rsidRDefault="0020618F" w:rsidP="002061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  <w:t>Počet akcí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20618F" w:rsidRPr="0020618F" w:rsidRDefault="0020618F" w:rsidP="002061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  <w:t>Počet účastníků/ klientů</w:t>
            </w:r>
          </w:p>
        </w:tc>
      </w:tr>
      <w:tr w:rsidR="0020618F" w:rsidRPr="0020618F" w:rsidTr="005869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lef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Skupinové poradenské aktivity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209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2149</w:t>
            </w:r>
          </w:p>
        </w:tc>
      </w:tr>
      <w:tr w:rsidR="0020618F" w:rsidRPr="0020618F" w:rsidTr="005869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lef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Individuální poradenství zajišťované prostřednictvím nákupu služeb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468</w:t>
            </w:r>
          </w:p>
        </w:tc>
      </w:tr>
      <w:tr w:rsidR="0020618F" w:rsidRPr="0020618F" w:rsidTr="005869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lef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Bilanční diagnostika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293</w:t>
            </w:r>
          </w:p>
        </w:tc>
      </w:tr>
    </w:tbl>
    <w:p w:rsidR="0020618F" w:rsidRPr="0020618F" w:rsidRDefault="0020618F" w:rsidP="0020618F">
      <w:pPr>
        <w:spacing w:line="240" w:lineRule="auto"/>
        <w:rPr>
          <w:rFonts w:ascii="Calibri" w:eastAsia="Times New Roman" w:hAnsi="Calibri" w:cs="Times New Roman"/>
          <w:szCs w:val="24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7F7F7F"/>
          <w:bottom w:val="single" w:sz="4" w:space="0" w:color="7F7F7F"/>
        </w:tblBorders>
        <w:tblLook w:val="0000" w:firstRow="0" w:lastRow="0" w:firstColumn="0" w:lastColumn="0" w:noHBand="0" w:noVBand="0"/>
      </w:tblPr>
      <w:tblGrid>
        <w:gridCol w:w="2568"/>
        <w:gridCol w:w="2210"/>
        <w:gridCol w:w="2331"/>
        <w:gridCol w:w="2071"/>
      </w:tblGrid>
      <w:tr w:rsidR="0020618F" w:rsidRPr="0020618F" w:rsidTr="00586936"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8F" w:rsidRPr="0020618F" w:rsidRDefault="0020618F" w:rsidP="0020618F">
            <w:pPr>
              <w:spacing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b/>
                <w:sz w:val="20"/>
                <w:szCs w:val="24"/>
                <w:lang w:eastAsia="cs-CZ"/>
              </w:rPr>
              <w:t>Job Cluby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20618F" w:rsidRPr="0020618F" w:rsidRDefault="0020618F" w:rsidP="002061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  <w:t>Počet akcí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20618F" w:rsidRPr="0020618F" w:rsidRDefault="0020618F" w:rsidP="002061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  <w:t>Počet účastníků/ klientů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20618F" w:rsidRPr="0020618F" w:rsidRDefault="0020618F" w:rsidP="0020618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color w:val="FFFFFF"/>
                <w:sz w:val="20"/>
                <w:szCs w:val="24"/>
                <w:lang w:eastAsia="cs-CZ"/>
              </w:rPr>
              <w:t>úspěšných absolventů</w:t>
            </w:r>
          </w:p>
        </w:tc>
      </w:tr>
      <w:tr w:rsidR="0020618F" w:rsidRPr="0020618F" w:rsidTr="00586936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lef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152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1 455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8F" w:rsidRPr="0020618F" w:rsidRDefault="0020618F" w:rsidP="0020618F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</w:pPr>
            <w:r w:rsidRPr="0020618F">
              <w:rPr>
                <w:rFonts w:ascii="Calibri" w:eastAsia="Times New Roman" w:hAnsi="Calibri" w:cs="Times New Roman"/>
                <w:sz w:val="20"/>
                <w:szCs w:val="24"/>
                <w:lang w:eastAsia="cs-CZ"/>
              </w:rPr>
              <w:t>1 232</w:t>
            </w:r>
          </w:p>
        </w:tc>
      </w:tr>
    </w:tbl>
    <w:p w:rsidR="0020618F" w:rsidRPr="0020618F" w:rsidRDefault="0020618F" w:rsidP="0020618F">
      <w:pPr>
        <w:spacing w:after="200"/>
        <w:rPr>
          <w:rFonts w:asciiTheme="minorHAnsi" w:hAnsiTheme="minorHAnsi"/>
          <w:sz w:val="22"/>
        </w:rPr>
      </w:pPr>
    </w:p>
    <w:p w:rsidR="00761A64" w:rsidRPr="00E74562" w:rsidRDefault="00761A64" w:rsidP="004F7EFC">
      <w:pPr>
        <w:spacing w:after="200"/>
        <w:rPr>
          <w:b/>
        </w:rPr>
      </w:pPr>
      <w:r w:rsidRPr="00E74562">
        <w:rPr>
          <w:b/>
        </w:rPr>
        <w:t>14. Rekvalifikace</w:t>
      </w:r>
    </w:p>
    <w:p w:rsidR="00761A64" w:rsidRPr="00761A64" w:rsidRDefault="00761A64" w:rsidP="00761A64">
      <w:pPr>
        <w:spacing w:after="200"/>
        <w:rPr>
          <w:rFonts w:cs="Arial"/>
          <w:b/>
          <w:iCs/>
          <w:szCs w:val="24"/>
          <w:u w:val="single"/>
        </w:rPr>
      </w:pPr>
      <w:r w:rsidRPr="00761A64">
        <w:rPr>
          <w:rFonts w:cs="Arial"/>
          <w:b/>
          <w:iCs/>
          <w:szCs w:val="24"/>
          <w:u w:val="single"/>
        </w:rPr>
        <w:t>Popis opatření:</w:t>
      </w:r>
    </w:p>
    <w:p w:rsidR="00761A64" w:rsidRDefault="00761A64" w:rsidP="00E6252E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iCs/>
          <w:szCs w:val="24"/>
        </w:rPr>
        <w:t xml:space="preserve">Pro odstranění disproporcí </w:t>
      </w:r>
      <w:r>
        <w:rPr>
          <w:rFonts w:cs="Arial"/>
          <w:iCs/>
          <w:szCs w:val="24"/>
        </w:rPr>
        <w:t>v profesním rozložení nabídky a </w:t>
      </w:r>
      <w:r w:rsidRPr="00C605D8">
        <w:rPr>
          <w:rFonts w:cs="Arial"/>
          <w:iCs/>
          <w:szCs w:val="24"/>
        </w:rPr>
        <w:t>poptávky bude prováděn</w:t>
      </w:r>
      <w:r w:rsidRPr="00C605D8">
        <w:rPr>
          <w:rFonts w:cs="Arial"/>
          <w:i/>
          <w:iCs/>
          <w:szCs w:val="24"/>
        </w:rPr>
        <w:t xml:space="preserve"> </w:t>
      </w:r>
      <w:r w:rsidRPr="00C605D8">
        <w:rPr>
          <w:rFonts w:cs="Arial"/>
          <w:szCs w:val="24"/>
        </w:rPr>
        <w:t>efektivní průzkum požadavků</w:t>
      </w:r>
      <w:r>
        <w:rPr>
          <w:rFonts w:cs="Arial"/>
          <w:szCs w:val="24"/>
        </w:rPr>
        <w:t xml:space="preserve"> </w:t>
      </w:r>
      <w:r w:rsidRPr="00C605D8">
        <w:rPr>
          <w:rFonts w:cs="Arial"/>
          <w:szCs w:val="24"/>
        </w:rPr>
        <w:t>zaměstnava</w:t>
      </w:r>
      <w:r>
        <w:rPr>
          <w:rFonts w:cs="Arial"/>
          <w:szCs w:val="24"/>
        </w:rPr>
        <w:softHyphen/>
      </w:r>
      <w:r w:rsidRPr="00C605D8">
        <w:rPr>
          <w:rFonts w:cs="Arial"/>
          <w:szCs w:val="24"/>
        </w:rPr>
        <w:t>telů tak, aby rekvalifikační kurzy byly schopny v dostatečném předstihu připravit pracovní sílu. MPSV provede vyhodnocení efektivity nastavení rekvalifikačních kurzů</w:t>
      </w:r>
      <w:r>
        <w:rPr>
          <w:rFonts w:cs="Arial"/>
          <w:szCs w:val="24"/>
        </w:rPr>
        <w:t xml:space="preserve"> a </w:t>
      </w:r>
      <w:r w:rsidRPr="00C605D8">
        <w:rPr>
          <w:rFonts w:cs="Arial"/>
          <w:szCs w:val="24"/>
        </w:rPr>
        <w:t>vypracuje návrhy směřující ke zvýšení flexibility a efektivity tohoto opatření.</w:t>
      </w:r>
    </w:p>
    <w:p w:rsidR="00E6252E" w:rsidRDefault="00E6252E" w:rsidP="00E6252E">
      <w:pPr>
        <w:spacing w:line="240" w:lineRule="auto"/>
        <w:rPr>
          <w:rFonts w:cs="Arial"/>
          <w:szCs w:val="24"/>
        </w:rPr>
      </w:pPr>
    </w:p>
    <w:p w:rsidR="00761A64" w:rsidRDefault="00761A64" w:rsidP="00E6252E">
      <w:pPr>
        <w:spacing w:line="240" w:lineRule="auto"/>
        <w:rPr>
          <w:rFonts w:cs="Arial"/>
          <w:b/>
          <w:szCs w:val="24"/>
          <w:u w:val="single"/>
        </w:rPr>
      </w:pPr>
      <w:r w:rsidRPr="00761A64">
        <w:rPr>
          <w:rFonts w:cs="Arial"/>
          <w:b/>
          <w:szCs w:val="24"/>
          <w:u w:val="single"/>
        </w:rPr>
        <w:t>Plnění opatření:</w:t>
      </w:r>
    </w:p>
    <w:p w:rsidR="00E6252E" w:rsidRDefault="00E6252E" w:rsidP="00E6252E">
      <w:pPr>
        <w:spacing w:line="240" w:lineRule="auto"/>
        <w:rPr>
          <w:rFonts w:cs="Arial"/>
          <w:b/>
          <w:szCs w:val="24"/>
          <w:u w:val="single"/>
        </w:rPr>
      </w:pPr>
    </w:p>
    <w:p w:rsidR="002B698A" w:rsidRDefault="00761A64" w:rsidP="00E6252E">
      <w:pPr>
        <w:spacing w:line="240" w:lineRule="auto"/>
      </w:pPr>
      <w:r w:rsidRPr="00C71AA9">
        <w:t>Rekvalifikace se svým zaměřením průběžně přizp</w:t>
      </w:r>
      <w:r w:rsidR="00EB1BB2">
        <w:t>ůsobují požadavkům trhu práce a </w:t>
      </w:r>
      <w:r w:rsidRPr="00C71AA9">
        <w:t>struktuře volných pracovních  míst. S ohledem na nabídku volných pracovních míst v jednotlivých regionech jsou přednostně podporované rekvalifikace s praktickou částí výuky a rekvalifikace směřující ke konkrétnímu pracovnímu uplatnění. Na základě poptávky zaměstnavatelů a zájmu uc</w:t>
      </w:r>
      <w:r w:rsidR="00EB1BB2">
        <w:t>hazečů o zaměstnání a zájemců o </w:t>
      </w:r>
      <w:r w:rsidRPr="00C71AA9">
        <w:t>zaměstnání o konkrétní rekvalifikace byly nejčastěji realizovány rekvalifikační kurzy</w:t>
      </w:r>
      <w:r w:rsidR="002B698A">
        <w:t>:</w:t>
      </w:r>
    </w:p>
    <w:p w:rsidR="002B698A" w:rsidRDefault="002B698A" w:rsidP="00E6252E">
      <w:pPr>
        <w:spacing w:line="240" w:lineRule="auto"/>
      </w:pPr>
    </w:p>
    <w:p w:rsidR="002B698A" w:rsidRDefault="00761A64" w:rsidP="00E6252E">
      <w:pPr>
        <w:pStyle w:val="Odstavecseseznamem"/>
        <w:numPr>
          <w:ilvl w:val="0"/>
          <w:numId w:val="16"/>
        </w:numPr>
        <w:spacing w:line="240" w:lineRule="auto"/>
      </w:pPr>
      <w:r w:rsidRPr="00C71AA9">
        <w:t xml:space="preserve">kurzy pro získání svářečských, strojnických a jiných odborných průkazů, </w:t>
      </w:r>
    </w:p>
    <w:p w:rsidR="002B698A" w:rsidRDefault="00761A64" w:rsidP="00E6252E">
      <w:pPr>
        <w:pStyle w:val="Odstavecseseznamem"/>
        <w:numPr>
          <w:ilvl w:val="0"/>
          <w:numId w:val="16"/>
        </w:numPr>
        <w:spacing w:line="240" w:lineRule="auto"/>
      </w:pPr>
      <w:r w:rsidRPr="00C71AA9">
        <w:t xml:space="preserve">kurzy se zaměřením na získání základních a specializovaných PC dovedností, </w:t>
      </w:r>
    </w:p>
    <w:p w:rsidR="00761A64" w:rsidRDefault="00761A64" w:rsidP="00E6252E">
      <w:pPr>
        <w:pStyle w:val="Odstavecseseznamem"/>
        <w:numPr>
          <w:ilvl w:val="0"/>
          <w:numId w:val="16"/>
        </w:numPr>
        <w:spacing w:line="240" w:lineRule="auto"/>
      </w:pPr>
      <w:r w:rsidRPr="00C71AA9">
        <w:t>kurzy účetnictví a kurzy pro pracovníky v sociálních službách</w:t>
      </w:r>
      <w:r w:rsidR="00A5698A">
        <w:t>,</w:t>
      </w:r>
      <w:r w:rsidR="00A5698A" w:rsidRPr="00C71AA9">
        <w:t xml:space="preserve"> </w:t>
      </w:r>
    </w:p>
    <w:p w:rsidR="002B698A" w:rsidRDefault="002B698A" w:rsidP="00E6252E">
      <w:pPr>
        <w:pStyle w:val="Odstavecseseznamem"/>
        <w:numPr>
          <w:ilvl w:val="0"/>
          <w:numId w:val="16"/>
        </w:numPr>
        <w:spacing w:line="240" w:lineRule="auto"/>
      </w:pPr>
      <w:r w:rsidRPr="00C71AA9">
        <w:t xml:space="preserve">pro získání řidičských průkazů (od </w:t>
      </w:r>
      <w:proofErr w:type="spellStart"/>
      <w:r w:rsidRPr="00C71AA9">
        <w:t>sk</w:t>
      </w:r>
      <w:proofErr w:type="spellEnd"/>
      <w:r w:rsidRPr="00C71AA9">
        <w:t xml:space="preserve">. C) včetně průkazů profesní způsobilosti, </w:t>
      </w:r>
    </w:p>
    <w:p w:rsidR="0020618F" w:rsidRDefault="0020618F" w:rsidP="00E6252E">
      <w:pPr>
        <w:spacing w:line="240" w:lineRule="auto"/>
      </w:pPr>
    </w:p>
    <w:p w:rsidR="0020618F" w:rsidRDefault="0020618F" w:rsidP="00E6252E">
      <w:pPr>
        <w:spacing w:line="240" w:lineRule="auto"/>
        <w:rPr>
          <w:rFonts w:cs="Arial"/>
          <w:szCs w:val="24"/>
        </w:rPr>
      </w:pPr>
      <w:r w:rsidRPr="0020618F">
        <w:rPr>
          <w:rFonts w:cs="Arial"/>
          <w:szCs w:val="24"/>
        </w:rPr>
        <w:t xml:space="preserve">Od ledna </w:t>
      </w:r>
      <w:r w:rsidR="00A5698A">
        <w:rPr>
          <w:rFonts w:cs="Arial"/>
          <w:szCs w:val="24"/>
        </w:rPr>
        <w:t xml:space="preserve">2016 </w:t>
      </w:r>
      <w:r w:rsidRPr="0020618F">
        <w:rPr>
          <w:rFonts w:cs="Arial"/>
          <w:szCs w:val="24"/>
        </w:rPr>
        <w:t xml:space="preserve">do srpna 2016 bylo do rekvalifikace </w:t>
      </w:r>
      <w:r w:rsidRPr="002B698A">
        <w:rPr>
          <w:rFonts w:cs="Arial"/>
          <w:b/>
          <w:szCs w:val="24"/>
        </w:rPr>
        <w:t xml:space="preserve">zařazeno 14 831osob, tj. cca </w:t>
      </w:r>
      <w:r w:rsidR="00A5698A">
        <w:rPr>
          <w:rFonts w:cs="Arial"/>
          <w:b/>
          <w:szCs w:val="24"/>
        </w:rPr>
        <w:br/>
      </w:r>
      <w:r w:rsidRPr="002B698A">
        <w:rPr>
          <w:rFonts w:cs="Arial"/>
          <w:b/>
          <w:szCs w:val="24"/>
        </w:rPr>
        <w:t>4</w:t>
      </w:r>
      <w:r w:rsidR="00A5698A">
        <w:rPr>
          <w:rFonts w:cs="Arial"/>
          <w:b/>
          <w:szCs w:val="24"/>
        </w:rPr>
        <w:t xml:space="preserve"> </w:t>
      </w:r>
      <w:r w:rsidRPr="002B698A">
        <w:rPr>
          <w:rFonts w:cs="Arial"/>
          <w:b/>
          <w:szCs w:val="24"/>
        </w:rPr>
        <w:t>% z celkového počtu evidovaných osob k danému datu</w:t>
      </w:r>
      <w:r w:rsidRPr="0020618F">
        <w:rPr>
          <w:rFonts w:cs="Arial"/>
          <w:szCs w:val="24"/>
        </w:rPr>
        <w:t xml:space="preserve"> (ve stejném období roku 2015 tento počet tvořil cca 6 %). </w:t>
      </w:r>
      <w:r w:rsidRPr="002B698A">
        <w:rPr>
          <w:rFonts w:cs="Arial"/>
          <w:b/>
          <w:szCs w:val="24"/>
        </w:rPr>
        <w:t>Počet účastníků zvolené rekvalifikace</w:t>
      </w:r>
      <w:r w:rsidRPr="0020618F">
        <w:rPr>
          <w:rFonts w:cs="Arial"/>
          <w:szCs w:val="24"/>
        </w:rPr>
        <w:t>, tj. rekvalifikace, kdy si uchazeč nebo zájemce o zaměstnání sám vybírá rekvalifikační kurz a rekvalifikační zařízení, a žádá ÚP</w:t>
      </w:r>
      <w:r w:rsidR="002B698A">
        <w:rPr>
          <w:rFonts w:cs="Arial"/>
          <w:szCs w:val="24"/>
        </w:rPr>
        <w:t xml:space="preserve"> ČR</w:t>
      </w:r>
      <w:r w:rsidRPr="0020618F">
        <w:rPr>
          <w:rFonts w:cs="Arial"/>
          <w:szCs w:val="24"/>
        </w:rPr>
        <w:t xml:space="preserve"> o schválení a úhradu zvolené rekvalifikace, </w:t>
      </w:r>
      <w:r w:rsidRPr="002B698A">
        <w:rPr>
          <w:rFonts w:cs="Arial"/>
          <w:b/>
          <w:szCs w:val="24"/>
        </w:rPr>
        <w:t xml:space="preserve">tvořil z celkového počtu účastníků rekvalifikace v uvedeném období 45% </w:t>
      </w:r>
      <w:r w:rsidRPr="0020618F">
        <w:rPr>
          <w:rFonts w:cs="Arial"/>
          <w:szCs w:val="24"/>
        </w:rPr>
        <w:t>(v roce 2015 cca 47%).</w:t>
      </w:r>
    </w:p>
    <w:p w:rsidR="00E6252E" w:rsidRPr="0020618F" w:rsidRDefault="00E6252E" w:rsidP="00E6252E">
      <w:pPr>
        <w:spacing w:line="240" w:lineRule="auto"/>
        <w:rPr>
          <w:rFonts w:cs="Arial"/>
          <w:szCs w:val="24"/>
        </w:rPr>
      </w:pPr>
    </w:p>
    <w:p w:rsidR="00595420" w:rsidRDefault="0020618F" w:rsidP="00E6252E">
      <w:pPr>
        <w:spacing w:line="240" w:lineRule="auto"/>
        <w:rPr>
          <w:rFonts w:cs="Arial"/>
          <w:szCs w:val="24"/>
        </w:rPr>
      </w:pPr>
      <w:r w:rsidRPr="0020618F">
        <w:rPr>
          <w:rFonts w:cs="Arial"/>
          <w:szCs w:val="24"/>
        </w:rPr>
        <w:t>Snížení počtu účastníků rekvalifikace je dáno nižším počtem nezaměstnaných v evidenci ÚP ČR</w:t>
      </w:r>
      <w:r w:rsidR="00595420">
        <w:rPr>
          <w:rFonts w:cs="Arial"/>
          <w:szCs w:val="24"/>
        </w:rPr>
        <w:t xml:space="preserve"> a související vhodností zařazení uchazeče o zaměstnání do rekvalifikačního kurzu</w:t>
      </w:r>
      <w:r w:rsidRPr="0020618F">
        <w:rPr>
          <w:rFonts w:cs="Arial"/>
          <w:szCs w:val="24"/>
        </w:rPr>
        <w:t xml:space="preserve">. </w:t>
      </w:r>
    </w:p>
    <w:p w:rsidR="00E6252E" w:rsidRDefault="00E6252E" w:rsidP="00E6252E">
      <w:pPr>
        <w:spacing w:line="240" w:lineRule="auto"/>
        <w:rPr>
          <w:rFonts w:cs="Arial"/>
          <w:szCs w:val="24"/>
        </w:rPr>
      </w:pPr>
    </w:p>
    <w:p w:rsidR="0020618F" w:rsidRDefault="0020618F" w:rsidP="00E6252E">
      <w:pPr>
        <w:spacing w:line="240" w:lineRule="auto"/>
        <w:rPr>
          <w:rFonts w:cs="Arial"/>
          <w:szCs w:val="24"/>
        </w:rPr>
      </w:pPr>
      <w:r w:rsidRPr="0020618F">
        <w:rPr>
          <w:rFonts w:cs="Arial"/>
          <w:szCs w:val="24"/>
        </w:rPr>
        <w:t xml:space="preserve">Nejpočetnější skupinou v rekvalifikaci jsou dlouhodobě uchazeči/zájemci o zaměstnání ve věku 35 – 39 let, 40 – 44 let a 22 – 29 let. Z hlediska vzdělání se jedná o osoby se </w:t>
      </w:r>
      <w:proofErr w:type="gramStart"/>
      <w:r w:rsidRPr="0020618F">
        <w:rPr>
          <w:rFonts w:cs="Arial"/>
          <w:szCs w:val="24"/>
        </w:rPr>
        <w:t>SOV</w:t>
      </w:r>
      <w:proofErr w:type="gramEnd"/>
      <w:r w:rsidRPr="0020618F">
        <w:rPr>
          <w:rFonts w:cs="Arial"/>
          <w:szCs w:val="24"/>
        </w:rPr>
        <w:t xml:space="preserve"> (s vyučením), ÚSO s maturitou (bez vyučení) a osoby se základním vzděláním.</w:t>
      </w:r>
    </w:p>
    <w:p w:rsidR="00E6252E" w:rsidRDefault="00E6252E" w:rsidP="00E6252E">
      <w:pPr>
        <w:spacing w:line="240" w:lineRule="auto"/>
        <w:rPr>
          <w:rFonts w:cs="Arial"/>
          <w:szCs w:val="24"/>
        </w:rPr>
      </w:pPr>
    </w:p>
    <w:p w:rsidR="009D62A8" w:rsidRDefault="009D62A8" w:rsidP="00E6252E">
      <w:pPr>
        <w:spacing w:line="240" w:lineRule="auto"/>
        <w:rPr>
          <w:rFonts w:cs="Arial"/>
          <w:szCs w:val="24"/>
        </w:rPr>
      </w:pPr>
    </w:p>
    <w:p w:rsidR="0020618F" w:rsidRPr="0020618F" w:rsidRDefault="0020618F" w:rsidP="0020618F">
      <w:pPr>
        <w:spacing w:after="200"/>
        <w:rPr>
          <w:rFonts w:asciiTheme="minorHAnsi" w:hAnsiTheme="minorHAnsi"/>
          <w:b/>
          <w:sz w:val="22"/>
        </w:rPr>
      </w:pPr>
      <w:r w:rsidRPr="0020618F">
        <w:rPr>
          <w:rFonts w:asciiTheme="minorHAnsi" w:hAnsiTheme="minorHAnsi"/>
          <w:b/>
          <w:sz w:val="22"/>
        </w:rPr>
        <w:t>Tabulka: Statistika rekvalifikací za období leden až srpen r. 2015 a r. 2016:</w:t>
      </w:r>
    </w:p>
    <w:tbl>
      <w:tblPr>
        <w:tblW w:w="960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81"/>
        <w:gridCol w:w="1656"/>
        <w:gridCol w:w="1656"/>
        <w:gridCol w:w="1656"/>
        <w:gridCol w:w="1656"/>
      </w:tblGrid>
      <w:tr w:rsidR="0020618F" w:rsidRPr="0020618F" w:rsidTr="00586936">
        <w:trPr>
          <w:trHeight w:val="590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</w:rPr>
            </w:pPr>
            <w:r w:rsidRPr="0020618F">
              <w:rPr>
                <w:rFonts w:ascii="Calibri" w:hAnsi="Calibri" w:cs="Calibri"/>
                <w:b/>
                <w:bCs/>
                <w:color w:val="FFFFFF" w:themeColor="background1"/>
                <w:sz w:val="22"/>
              </w:rPr>
              <w:t>Rekvalifikace (leden - srpen)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</w:rPr>
            </w:pPr>
            <w:r w:rsidRPr="0020618F">
              <w:rPr>
                <w:rFonts w:ascii="Calibri" w:hAnsi="Calibri" w:cs="Calibri"/>
                <w:b/>
                <w:bCs/>
                <w:color w:val="FFFFFF" w:themeColor="background1"/>
                <w:sz w:val="22"/>
              </w:rPr>
              <w:t>2015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</w:rPr>
            </w:pPr>
            <w:r w:rsidRPr="0020618F">
              <w:rPr>
                <w:rFonts w:ascii="Calibri" w:hAnsi="Calibri" w:cs="Calibri"/>
                <w:b/>
                <w:bCs/>
                <w:color w:val="FFFFFF" w:themeColor="background1"/>
                <w:sz w:val="22"/>
              </w:rPr>
              <w:t>2016</w:t>
            </w:r>
          </w:p>
        </w:tc>
      </w:tr>
      <w:tr w:rsidR="0020618F" w:rsidRPr="0020618F" w:rsidTr="00586936">
        <w:trPr>
          <w:trHeight w:val="374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kraj/typ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Zvolená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Zabezpečovaná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Zvolená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Zabezpečovaná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Praha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2 108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287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1 032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257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Středočeský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1 014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1 214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520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955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Jihočeský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848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670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331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701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Plzeňský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351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976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207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564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Karlovarský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459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493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256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198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Ústecký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1 124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696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578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308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Liberecký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722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866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373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445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Královéhradecký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359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500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86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204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Pardubický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224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778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230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109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Kraj Vysočina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749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854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687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22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Jihomoravský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1 074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2 190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575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1 055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Olomoucký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530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880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611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6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Zlínský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1 216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582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502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1 026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Moravskoslezský kraj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1 972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3 212</w:t>
            </w:r>
          </w:p>
        </w:tc>
        <w:tc>
          <w:tcPr>
            <w:tcW w:w="1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688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2 305</w:t>
            </w:r>
          </w:p>
        </w:tc>
      </w:tr>
      <w:tr w:rsidR="0020618F" w:rsidRPr="0020618F" w:rsidTr="00586936">
        <w:trPr>
          <w:trHeight w:val="288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Celkem ČR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12 750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14 198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6 676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20618F" w:rsidRPr="0020618F" w:rsidRDefault="0020618F" w:rsidP="0020618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20618F">
              <w:rPr>
                <w:rFonts w:ascii="Calibri" w:hAnsi="Calibri" w:cs="Calibri"/>
                <w:color w:val="000000"/>
                <w:sz w:val="22"/>
              </w:rPr>
              <w:t>8 155</w:t>
            </w:r>
          </w:p>
        </w:tc>
      </w:tr>
    </w:tbl>
    <w:p w:rsidR="0020618F" w:rsidRDefault="0020618F" w:rsidP="00761A64"/>
    <w:p w:rsidR="00B80718" w:rsidRPr="00B80718" w:rsidRDefault="00B80718" w:rsidP="00E6252E">
      <w:pPr>
        <w:spacing w:line="240" w:lineRule="auto"/>
        <w:rPr>
          <w:rFonts w:cs="Arial"/>
          <w:szCs w:val="24"/>
        </w:rPr>
      </w:pPr>
      <w:r w:rsidRPr="00B80718">
        <w:rPr>
          <w:b/>
        </w:rPr>
        <w:t xml:space="preserve">Z úrovně MPSV je </w:t>
      </w:r>
      <w:r>
        <w:rPr>
          <w:b/>
        </w:rPr>
        <w:t xml:space="preserve">zároveň </w:t>
      </w:r>
      <w:r w:rsidRPr="00B80718">
        <w:rPr>
          <w:b/>
        </w:rPr>
        <w:t>připravován projekt „</w:t>
      </w:r>
      <w:r w:rsidR="002B698A" w:rsidRPr="00B80718">
        <w:rPr>
          <w:b/>
        </w:rPr>
        <w:t xml:space="preserve"> Kvasar</w:t>
      </w:r>
      <w:r w:rsidRPr="00B80718">
        <w:rPr>
          <w:b/>
        </w:rPr>
        <w:t>“</w:t>
      </w:r>
      <w:r>
        <w:rPr>
          <w:b/>
        </w:rPr>
        <w:t xml:space="preserve">, </w:t>
      </w:r>
      <w:r w:rsidRPr="00B80718">
        <w:t xml:space="preserve">jehož </w:t>
      </w:r>
      <w:r>
        <w:t>smyslem</w:t>
      </w:r>
      <w:r w:rsidRPr="00B80718">
        <w:rPr>
          <w:rFonts w:cs="Arial"/>
          <w:color w:val="080808"/>
          <w:szCs w:val="24"/>
        </w:rPr>
        <w:t xml:space="preserve"> je, ve spolupráci se zaměstnavateli a sdruženími zaměstnavatelů, navr</w:t>
      </w:r>
      <w:r>
        <w:rPr>
          <w:rFonts w:cs="Arial"/>
          <w:color w:val="080808"/>
          <w:szCs w:val="24"/>
        </w:rPr>
        <w:t xml:space="preserve">hnout </w:t>
      </w:r>
      <w:r w:rsidRPr="00B80718">
        <w:rPr>
          <w:rFonts w:cs="Arial"/>
          <w:color w:val="080808"/>
          <w:szCs w:val="24"/>
        </w:rPr>
        <w:t>reviz</w:t>
      </w:r>
      <w:r>
        <w:rPr>
          <w:rFonts w:cs="Arial"/>
          <w:color w:val="080808"/>
          <w:szCs w:val="24"/>
        </w:rPr>
        <w:t>i</w:t>
      </w:r>
      <w:r w:rsidRPr="00B80718">
        <w:rPr>
          <w:rFonts w:cs="Arial"/>
          <w:color w:val="080808"/>
          <w:szCs w:val="24"/>
        </w:rPr>
        <w:t xml:space="preserve"> systému rekvalifikací, </w:t>
      </w:r>
      <w:r>
        <w:rPr>
          <w:rFonts w:cs="Arial"/>
          <w:color w:val="080808"/>
          <w:szCs w:val="24"/>
        </w:rPr>
        <w:t>a to</w:t>
      </w:r>
      <w:r w:rsidRPr="00B80718">
        <w:rPr>
          <w:rFonts w:cs="Arial"/>
          <w:color w:val="080808"/>
          <w:szCs w:val="24"/>
        </w:rPr>
        <w:t xml:space="preserve"> mj. </w:t>
      </w:r>
      <w:r>
        <w:rPr>
          <w:rFonts w:cs="Arial"/>
          <w:color w:val="080808"/>
          <w:szCs w:val="24"/>
        </w:rPr>
        <w:t xml:space="preserve">tak, aby lépe reagovaly na potřeby trhu práce a uplatnění uchazečů o zaměstnání, např. </w:t>
      </w:r>
      <w:r w:rsidR="00AF1CDD">
        <w:rPr>
          <w:rFonts w:cs="Arial"/>
          <w:b/>
          <w:szCs w:val="24"/>
        </w:rPr>
        <w:t>dostatečným</w:t>
      </w:r>
      <w:r w:rsidRPr="00B80718">
        <w:rPr>
          <w:rFonts w:cs="Arial"/>
          <w:b/>
          <w:szCs w:val="24"/>
        </w:rPr>
        <w:t xml:space="preserve"> podíl</w:t>
      </w:r>
      <w:r w:rsidR="00AF1CDD">
        <w:rPr>
          <w:rFonts w:cs="Arial"/>
          <w:b/>
          <w:szCs w:val="24"/>
        </w:rPr>
        <w:t>em</w:t>
      </w:r>
      <w:r w:rsidRPr="00B80718">
        <w:rPr>
          <w:rFonts w:cs="Arial"/>
          <w:b/>
          <w:szCs w:val="24"/>
        </w:rPr>
        <w:t xml:space="preserve"> praxe v průběhu rekvalifikací</w:t>
      </w:r>
      <w:r>
        <w:rPr>
          <w:rFonts w:cs="Arial"/>
          <w:color w:val="080808"/>
          <w:szCs w:val="24"/>
        </w:rPr>
        <w:t xml:space="preserve"> nebo díky </w:t>
      </w:r>
      <w:r w:rsidRPr="00B80718">
        <w:rPr>
          <w:rFonts w:cs="Arial"/>
          <w:b/>
          <w:color w:val="080808"/>
          <w:szCs w:val="24"/>
        </w:rPr>
        <w:t>prostřednictvím modularizace rekvalifikací tak, aby byly schopny reflektovat již naučené dovednosti a rekvalifikovaná osoba mohla být vzdělávána pouze v těch částech, které skutečně potřebuje</w:t>
      </w:r>
      <w:r w:rsidRPr="00B80718">
        <w:rPr>
          <w:rFonts w:cs="Arial"/>
          <w:b/>
          <w:szCs w:val="24"/>
        </w:rPr>
        <w:t xml:space="preserve">. </w:t>
      </w:r>
    </w:p>
    <w:p w:rsidR="00B80718" w:rsidRDefault="00B80718" w:rsidP="00E6252E">
      <w:pPr>
        <w:spacing w:line="240" w:lineRule="auto"/>
        <w:rPr>
          <w:rFonts w:cs="Arial"/>
          <w:b/>
          <w:szCs w:val="24"/>
          <w:u w:val="single"/>
        </w:rPr>
      </w:pPr>
    </w:p>
    <w:p w:rsidR="00761A64" w:rsidRPr="00E74562" w:rsidRDefault="00761A64" w:rsidP="004F7EFC">
      <w:pPr>
        <w:spacing w:after="200"/>
        <w:rPr>
          <w:b/>
        </w:rPr>
      </w:pPr>
      <w:r w:rsidRPr="00E74562">
        <w:rPr>
          <w:rFonts w:cs="Arial"/>
          <w:b/>
          <w:szCs w:val="24"/>
        </w:rPr>
        <w:t xml:space="preserve">15. </w:t>
      </w:r>
      <w:r w:rsidRPr="00E74562">
        <w:rPr>
          <w:b/>
        </w:rPr>
        <w:t>Predikce trhu práce</w:t>
      </w:r>
    </w:p>
    <w:p w:rsidR="00761A64" w:rsidRDefault="00761A64" w:rsidP="00761A64">
      <w:pPr>
        <w:spacing w:after="200"/>
        <w:rPr>
          <w:b/>
          <w:u w:val="single"/>
        </w:rPr>
      </w:pPr>
      <w:r>
        <w:rPr>
          <w:b/>
          <w:u w:val="single"/>
        </w:rPr>
        <w:t>Popis opatření:</w:t>
      </w:r>
    </w:p>
    <w:p w:rsidR="00761A64" w:rsidRDefault="00761A64" w:rsidP="00E6252E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>MPSV vytvoří systém predikcí vývoje trhu práce, tak aby bylo možné v dostatečném předstihu reagovat na vývoj trhu práce</w:t>
      </w:r>
      <w:r>
        <w:rPr>
          <w:rFonts w:cs="Arial"/>
          <w:szCs w:val="24"/>
        </w:rPr>
        <w:t xml:space="preserve"> a </w:t>
      </w:r>
      <w:r w:rsidRPr="00C605D8">
        <w:rPr>
          <w:rFonts w:cs="Arial"/>
          <w:szCs w:val="24"/>
        </w:rPr>
        <w:t>zabezpečit tak dostatek pracovní síly ve vhodné kvalifikační struktuře.</w:t>
      </w:r>
      <w:r>
        <w:rPr>
          <w:rFonts w:cs="Arial"/>
          <w:szCs w:val="24"/>
        </w:rPr>
        <w:t xml:space="preserve"> Využito bude již realizovaných kroků (projekt PŘEKVAP)</w:t>
      </w:r>
    </w:p>
    <w:p w:rsidR="00E6252E" w:rsidRDefault="00E6252E" w:rsidP="00E6252E">
      <w:pPr>
        <w:spacing w:line="240" w:lineRule="auto"/>
        <w:rPr>
          <w:rFonts w:cs="Arial"/>
          <w:szCs w:val="24"/>
        </w:rPr>
      </w:pPr>
    </w:p>
    <w:p w:rsidR="00761A64" w:rsidRDefault="00761A64" w:rsidP="00E6252E">
      <w:pPr>
        <w:spacing w:line="240" w:lineRule="auto"/>
        <w:rPr>
          <w:rFonts w:cs="Arial"/>
          <w:b/>
          <w:szCs w:val="24"/>
          <w:u w:val="single"/>
        </w:rPr>
      </w:pPr>
      <w:r w:rsidRPr="00761A64">
        <w:rPr>
          <w:rFonts w:cs="Arial"/>
          <w:b/>
          <w:szCs w:val="24"/>
          <w:u w:val="single"/>
        </w:rPr>
        <w:t>Plnění opatření:</w:t>
      </w:r>
    </w:p>
    <w:p w:rsidR="00E6252E" w:rsidRDefault="00E6252E" w:rsidP="00E6252E">
      <w:pPr>
        <w:spacing w:line="240" w:lineRule="auto"/>
        <w:rPr>
          <w:rFonts w:cs="Arial"/>
          <w:b/>
          <w:szCs w:val="24"/>
          <w:u w:val="single"/>
        </w:rPr>
      </w:pPr>
    </w:p>
    <w:p w:rsidR="00761A64" w:rsidRDefault="00761A64" w:rsidP="00E6252E">
      <w:pPr>
        <w:spacing w:line="240" w:lineRule="auto"/>
      </w:pPr>
      <w:r>
        <w:t>MPSV připrav</w:t>
      </w:r>
      <w:r w:rsidR="00595420">
        <w:t>ilo</w:t>
      </w:r>
      <w:r>
        <w:t xml:space="preserve"> projekt Predikce trhu práce (KOMPAS) jehož cílem je vytvoření systému komplexních predikcí vývoje trhu práce a jeho potřeb, včetně potřeb kvalifikačních. Projekt navazuje na projekt Předvídání kvalifikačních potřeb (Překvap). Předmětem projektu je vytvoření udržitelného systému spolehlivých predikcí a monitoringu trhu práce, který bude propojovat národní a regionální úroveň a jehož výsledky budou reflektovat podstatné dopady technologických trendů na trh práce a specifika regionálního vývoje. V rámci projektu bude zdokonalen predikční model předvídání potřeb trhu práce, a to jak pro národní úroveň, tak pro úroveň regionů. Vytvořeno bude v rámci MPSV predikční pracoviště. Do projektu budou významně zapojeni rovněž partneři, zejména na regionální úrovni – kraje či teritoriální pakty zaměstnanosti.</w:t>
      </w:r>
    </w:p>
    <w:p w:rsidR="00E6252E" w:rsidRDefault="00E6252E" w:rsidP="00E6252E">
      <w:pPr>
        <w:spacing w:line="240" w:lineRule="auto"/>
      </w:pPr>
    </w:p>
    <w:p w:rsidR="00761A64" w:rsidRDefault="00761A64" w:rsidP="00E6252E">
      <w:pPr>
        <w:spacing w:line="240" w:lineRule="auto"/>
        <w:rPr>
          <w:b/>
        </w:rPr>
      </w:pPr>
      <w:r w:rsidRPr="00AF1CDD">
        <w:rPr>
          <w:b/>
        </w:rPr>
        <w:t>Projektový záměr byl schválen monitorovacím výborem i příslušným programovým partnerstvím OP Z. Realizace projektu bude zahájena v závěru roku 2016/počátkem 2017.</w:t>
      </w:r>
    </w:p>
    <w:p w:rsidR="00E6252E" w:rsidRDefault="00E6252E" w:rsidP="00E6252E">
      <w:pPr>
        <w:spacing w:line="240" w:lineRule="auto"/>
        <w:rPr>
          <w:b/>
          <w:i/>
        </w:rPr>
      </w:pPr>
    </w:p>
    <w:p w:rsidR="00761A64" w:rsidRPr="00E74562" w:rsidRDefault="00761A64" w:rsidP="004F7EFC">
      <w:pPr>
        <w:spacing w:line="240" w:lineRule="auto"/>
        <w:rPr>
          <w:b/>
        </w:rPr>
      </w:pPr>
      <w:r w:rsidRPr="00E74562">
        <w:rPr>
          <w:b/>
        </w:rPr>
        <w:t>16. Spolupráce na trhu práce</w:t>
      </w:r>
    </w:p>
    <w:p w:rsidR="00E6252E" w:rsidRDefault="00E6252E" w:rsidP="00E6252E">
      <w:pPr>
        <w:spacing w:line="240" w:lineRule="auto"/>
        <w:rPr>
          <w:b/>
          <w:u w:val="single"/>
        </w:rPr>
      </w:pPr>
    </w:p>
    <w:p w:rsidR="00761A64" w:rsidRDefault="00761A64" w:rsidP="00E6252E">
      <w:pPr>
        <w:spacing w:line="240" w:lineRule="auto"/>
        <w:rPr>
          <w:b/>
          <w:u w:val="single"/>
        </w:rPr>
      </w:pPr>
      <w:r>
        <w:rPr>
          <w:b/>
          <w:u w:val="single"/>
        </w:rPr>
        <w:t>Popis opatření:</w:t>
      </w:r>
    </w:p>
    <w:p w:rsidR="00E6252E" w:rsidRDefault="00E6252E" w:rsidP="00E6252E">
      <w:pPr>
        <w:spacing w:line="240" w:lineRule="auto"/>
        <w:rPr>
          <w:b/>
          <w:u w:val="single"/>
        </w:rPr>
      </w:pPr>
    </w:p>
    <w:p w:rsidR="00761A64" w:rsidRDefault="00761A64" w:rsidP="00E6252E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>Spolupráce všech zúčastněných aktérů trhu práce (státní správy, zaměstnavatel</w:t>
      </w:r>
      <w:r>
        <w:rPr>
          <w:rFonts w:cs="Arial"/>
          <w:szCs w:val="24"/>
        </w:rPr>
        <w:t>ů</w:t>
      </w:r>
      <w:r w:rsidRPr="00C605D8">
        <w:rPr>
          <w:rFonts w:cs="Arial"/>
          <w:szCs w:val="24"/>
        </w:rPr>
        <w:t>, samosprávy, zástupc</w:t>
      </w:r>
      <w:r>
        <w:rPr>
          <w:rFonts w:cs="Arial"/>
          <w:szCs w:val="24"/>
        </w:rPr>
        <w:t>ů</w:t>
      </w:r>
      <w:r w:rsidRPr="00C605D8">
        <w:rPr>
          <w:rFonts w:cs="Arial"/>
          <w:szCs w:val="24"/>
        </w:rPr>
        <w:t xml:space="preserve"> zaměstnanců, vzdělávací</w:t>
      </w:r>
      <w:r>
        <w:rPr>
          <w:rFonts w:cs="Arial"/>
          <w:szCs w:val="24"/>
        </w:rPr>
        <w:t>ch</w:t>
      </w:r>
      <w:r w:rsidRPr="00C605D8">
        <w:rPr>
          <w:rFonts w:cs="Arial"/>
          <w:szCs w:val="24"/>
        </w:rPr>
        <w:t xml:space="preserve"> instituc</w:t>
      </w:r>
      <w:r>
        <w:rPr>
          <w:rFonts w:cs="Arial"/>
          <w:szCs w:val="24"/>
        </w:rPr>
        <w:t>í, nestátních neziskových organizací a dalších aktérů ovlivňujících trh práce</w:t>
      </w:r>
      <w:r w:rsidRPr="00C605D8">
        <w:rPr>
          <w:rFonts w:cs="Arial"/>
          <w:szCs w:val="24"/>
        </w:rPr>
        <w:t>) je zcela nezbytným předpokladem k realizaci významné části výše uvedených opatření.</w:t>
      </w:r>
    </w:p>
    <w:p w:rsidR="00E6252E" w:rsidRPr="00C605D8" w:rsidRDefault="00E6252E" w:rsidP="00E6252E">
      <w:pPr>
        <w:spacing w:line="240" w:lineRule="auto"/>
        <w:rPr>
          <w:rFonts w:cs="Arial"/>
          <w:szCs w:val="24"/>
        </w:rPr>
      </w:pPr>
    </w:p>
    <w:p w:rsidR="00761A64" w:rsidRDefault="00761A64" w:rsidP="00E6252E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>Ze strany státní správy bude zaměstnavatelům poskytnuta maximální možn</w:t>
      </w:r>
      <w:r>
        <w:rPr>
          <w:rFonts w:cs="Arial"/>
          <w:szCs w:val="24"/>
        </w:rPr>
        <w:t>á</w:t>
      </w:r>
      <w:r w:rsidRPr="00C605D8">
        <w:rPr>
          <w:rFonts w:cs="Arial"/>
          <w:szCs w:val="24"/>
        </w:rPr>
        <w:t xml:space="preserve"> podpora při podpoře zaměstnanosti a kvalifikace pracovní síly, zejména </w:t>
      </w:r>
      <w:r>
        <w:rPr>
          <w:rFonts w:cs="Arial"/>
          <w:szCs w:val="24"/>
        </w:rPr>
        <w:t> ve prospěch</w:t>
      </w:r>
      <w:r w:rsidRPr="00C605D8">
        <w:rPr>
          <w:rFonts w:cs="Arial"/>
          <w:szCs w:val="24"/>
        </w:rPr>
        <w:t xml:space="preserve"> znevýhodněných skupin osob.</w:t>
      </w:r>
    </w:p>
    <w:p w:rsidR="00E6252E" w:rsidRPr="00C605D8" w:rsidRDefault="00E6252E" w:rsidP="00E6252E">
      <w:pPr>
        <w:spacing w:line="240" w:lineRule="auto"/>
        <w:rPr>
          <w:rFonts w:cs="Arial"/>
          <w:szCs w:val="24"/>
        </w:rPr>
      </w:pPr>
    </w:p>
    <w:p w:rsidR="00761A64" w:rsidRDefault="00761A64" w:rsidP="00E6252E">
      <w:pPr>
        <w:spacing w:line="240" w:lineRule="auto"/>
        <w:rPr>
          <w:rFonts w:cs="Arial"/>
          <w:szCs w:val="24"/>
        </w:rPr>
      </w:pPr>
      <w:r w:rsidRPr="00C605D8">
        <w:rPr>
          <w:rFonts w:cs="Arial"/>
          <w:szCs w:val="24"/>
        </w:rPr>
        <w:t>Primární platformou pro posilování spolupráce na trhu práce, zejména v oblasti realizace politiky zaměstnanosti, jsou poradní sbory zřizované Ú</w:t>
      </w:r>
      <w:r w:rsidR="00A5698A">
        <w:rPr>
          <w:rFonts w:cs="Arial"/>
          <w:szCs w:val="24"/>
        </w:rPr>
        <w:t>P</w:t>
      </w:r>
      <w:r w:rsidRPr="00C605D8">
        <w:rPr>
          <w:rFonts w:cs="Arial"/>
          <w:szCs w:val="24"/>
        </w:rPr>
        <w:t xml:space="preserve"> ČR podle zákona o zaměstnanosti.</w:t>
      </w:r>
    </w:p>
    <w:p w:rsidR="00E6252E" w:rsidRDefault="00E6252E" w:rsidP="00E6252E">
      <w:pPr>
        <w:spacing w:line="240" w:lineRule="auto"/>
        <w:rPr>
          <w:rFonts w:cs="Arial"/>
          <w:szCs w:val="24"/>
        </w:rPr>
      </w:pPr>
    </w:p>
    <w:p w:rsidR="00761A64" w:rsidRDefault="00761A64" w:rsidP="00E6252E">
      <w:pPr>
        <w:spacing w:line="240" w:lineRule="auto"/>
        <w:rPr>
          <w:rFonts w:cs="Arial"/>
          <w:b/>
          <w:szCs w:val="24"/>
          <w:u w:val="single"/>
        </w:rPr>
      </w:pPr>
      <w:r w:rsidRPr="00761A64">
        <w:rPr>
          <w:rFonts w:cs="Arial"/>
          <w:b/>
          <w:szCs w:val="24"/>
          <w:u w:val="single"/>
        </w:rPr>
        <w:t>Plnění opatření:</w:t>
      </w:r>
    </w:p>
    <w:p w:rsidR="00E6252E" w:rsidRDefault="00E6252E" w:rsidP="00E6252E">
      <w:pPr>
        <w:spacing w:line="240" w:lineRule="auto"/>
        <w:rPr>
          <w:rFonts w:cs="Arial"/>
          <w:b/>
          <w:szCs w:val="24"/>
          <w:u w:val="single"/>
        </w:rPr>
      </w:pPr>
    </w:p>
    <w:p w:rsidR="00761A64" w:rsidRDefault="00761A64" w:rsidP="00E6252E">
      <w:pPr>
        <w:spacing w:line="240" w:lineRule="auto"/>
        <w:rPr>
          <w:rFonts w:cs="Arial"/>
          <w:szCs w:val="24"/>
        </w:rPr>
      </w:pPr>
      <w:r>
        <w:t xml:space="preserve">Základním prvkem spolupráce na trhu </w:t>
      </w:r>
      <w:r w:rsidRPr="00AF1CDD">
        <w:rPr>
          <w:b/>
        </w:rPr>
        <w:t>práce jsou poradní sbory ÚP ČR</w:t>
      </w:r>
      <w:r>
        <w:t xml:space="preserve"> zřizované na základě §</w:t>
      </w:r>
      <w:r w:rsidR="00A5698A">
        <w:t xml:space="preserve"> </w:t>
      </w:r>
      <w:r>
        <w:t>7</w:t>
      </w:r>
      <w:r w:rsidR="00A5698A">
        <w:t xml:space="preserve"> odst. 2</w:t>
      </w:r>
      <w:r>
        <w:t xml:space="preserve"> zákona o zaměstnanosti. Organizaci poradních sborů v rámci ÚP ČR upravuje směrnice GŘ č. 6/2014</w:t>
      </w:r>
      <w:r w:rsidR="00A5698A">
        <w:t>,</w:t>
      </w:r>
      <w:r>
        <w:t xml:space="preserve"> a to jak na úrovni krajských poboček ÚP ČR, tak na úrovni vybraných kontaktních pracovišť ÚP ČR. </w:t>
      </w:r>
      <w:r w:rsidRPr="002E0C25">
        <w:t>Poradní sbory svou činností zabezpečují spolupráci na trhu práce mezi ÚP ČR, zaměstnavateli, odborovými organizacemi, d</w:t>
      </w:r>
      <w:r w:rsidR="00EB1BB2">
        <w:t>ružstevními orgány, městskými a </w:t>
      </w:r>
      <w:r w:rsidRPr="002E0C25">
        <w:t xml:space="preserve">obecními úřady, zaměstnavatelskými svazy, hospodářskou komorou a dalšími organizacemi </w:t>
      </w:r>
      <w:r w:rsidR="00A5698A">
        <w:br/>
      </w:r>
      <w:r w:rsidRPr="002E0C25">
        <w:t xml:space="preserve">a institucemi. </w:t>
      </w:r>
      <w:r w:rsidR="00595420" w:rsidRPr="00595420">
        <w:rPr>
          <w:rFonts w:cs="Arial"/>
          <w:szCs w:val="24"/>
        </w:rPr>
        <w:t>K</w:t>
      </w:r>
      <w:r w:rsidR="00595420" w:rsidRPr="0020618F">
        <w:rPr>
          <w:rFonts w:cs="Arial"/>
          <w:szCs w:val="24"/>
        </w:rPr>
        <w:t xml:space="preserve">oordinují </w:t>
      </w:r>
      <w:r w:rsidR="00595420" w:rsidRPr="00595420">
        <w:rPr>
          <w:rFonts w:cs="Arial"/>
          <w:szCs w:val="24"/>
        </w:rPr>
        <w:t xml:space="preserve">tak </w:t>
      </w:r>
      <w:r w:rsidR="00595420" w:rsidRPr="0020618F">
        <w:rPr>
          <w:rFonts w:cs="Arial"/>
          <w:szCs w:val="24"/>
        </w:rPr>
        <w:t xml:space="preserve">uplatňování státní politiky zaměstnanosti ve svém obvodu, vyjadřují se zejména ke zřizování společensky účelných pracovních míst, </w:t>
      </w:r>
      <w:r w:rsidR="00A5698A">
        <w:rPr>
          <w:rFonts w:cs="Arial"/>
          <w:szCs w:val="24"/>
        </w:rPr>
        <w:br/>
      </w:r>
      <w:r w:rsidR="00595420" w:rsidRPr="0020618F">
        <w:rPr>
          <w:rFonts w:cs="Arial"/>
          <w:szCs w:val="24"/>
        </w:rPr>
        <w:t xml:space="preserve">k vytváření míst pro </w:t>
      </w:r>
      <w:r w:rsidR="00A5698A">
        <w:rPr>
          <w:rFonts w:cs="Arial"/>
          <w:szCs w:val="24"/>
        </w:rPr>
        <w:t>VPP</w:t>
      </w:r>
      <w:r w:rsidR="00595420" w:rsidRPr="0020618F">
        <w:rPr>
          <w:rFonts w:cs="Arial"/>
          <w:szCs w:val="24"/>
        </w:rPr>
        <w:t xml:space="preserve">, k veřejné službě a k dalším opatřením </w:t>
      </w:r>
      <w:r w:rsidR="00A5698A">
        <w:rPr>
          <w:rFonts w:cs="Arial"/>
          <w:szCs w:val="24"/>
        </w:rPr>
        <w:t>APZ</w:t>
      </w:r>
      <w:r w:rsidR="00595420" w:rsidRPr="0020618F">
        <w:rPr>
          <w:rFonts w:cs="Arial"/>
          <w:szCs w:val="24"/>
        </w:rPr>
        <w:t>, k programům strukturálních a organizačních změn, k programům rekvalifikace a k organizaci poradenské činnosti.</w:t>
      </w:r>
    </w:p>
    <w:p w:rsidR="00EB1BB2" w:rsidRPr="00595420" w:rsidRDefault="00EB1BB2" w:rsidP="00E6252E">
      <w:pPr>
        <w:spacing w:line="240" w:lineRule="auto"/>
        <w:rPr>
          <w:rFonts w:cs="Arial"/>
          <w:szCs w:val="24"/>
        </w:rPr>
      </w:pPr>
    </w:p>
    <w:p w:rsidR="00761A64" w:rsidRDefault="00761A64" w:rsidP="00E6252E">
      <w:pPr>
        <w:spacing w:line="240" w:lineRule="auto"/>
      </w:pPr>
      <w:r>
        <w:t>V rámci OP</w:t>
      </w:r>
      <w:r w:rsidR="00A5698A">
        <w:t xml:space="preserve"> </w:t>
      </w:r>
      <w:r>
        <w:t>Z byla s cílem podpořit regionální spolupráci na trhu práce při podpoře zaměstnanosti znevýhodněných skupin vyhlášena výzva č. 55 v rámci IP 1.1 zaměřená na podporu aktivit teritoriálních paktů zaměstnanosti v práci s cílovými skupinami, alokace: 98 mil. Kč</w:t>
      </w:r>
      <w:r w:rsidR="00E6252E">
        <w:t>.</w:t>
      </w:r>
    </w:p>
    <w:p w:rsidR="00E6252E" w:rsidRDefault="00E6252E" w:rsidP="00E6252E">
      <w:pPr>
        <w:spacing w:line="240" w:lineRule="auto"/>
      </w:pPr>
    </w:p>
    <w:p w:rsidR="004F7EFC" w:rsidRDefault="004F7EFC" w:rsidP="0020618F">
      <w:pPr>
        <w:spacing w:after="200"/>
        <w:rPr>
          <w:rFonts w:asciiTheme="minorHAnsi" w:hAnsiTheme="minorHAnsi"/>
          <w:b/>
          <w:sz w:val="22"/>
        </w:rPr>
      </w:pPr>
    </w:p>
    <w:p w:rsidR="004F7EFC" w:rsidRDefault="004F7EFC" w:rsidP="0020618F">
      <w:pPr>
        <w:spacing w:after="200"/>
        <w:rPr>
          <w:rFonts w:asciiTheme="minorHAnsi" w:hAnsiTheme="minorHAnsi"/>
          <w:b/>
          <w:sz w:val="22"/>
        </w:rPr>
      </w:pPr>
    </w:p>
    <w:p w:rsidR="004F7EFC" w:rsidRDefault="004F7EFC" w:rsidP="0020618F">
      <w:pPr>
        <w:spacing w:after="200"/>
        <w:rPr>
          <w:rFonts w:asciiTheme="minorHAnsi" w:hAnsiTheme="minorHAnsi"/>
          <w:b/>
          <w:sz w:val="22"/>
        </w:rPr>
      </w:pPr>
    </w:p>
    <w:p w:rsidR="0020618F" w:rsidRPr="0020618F" w:rsidRDefault="0020618F" w:rsidP="0020618F">
      <w:pPr>
        <w:spacing w:after="200"/>
        <w:rPr>
          <w:rFonts w:asciiTheme="minorHAnsi" w:hAnsiTheme="minorHAnsi"/>
          <w:b/>
          <w:color w:val="FF0000"/>
          <w:sz w:val="22"/>
        </w:rPr>
      </w:pPr>
      <w:bookmarkStart w:id="0" w:name="_GoBack"/>
      <w:bookmarkEnd w:id="0"/>
      <w:r w:rsidRPr="0020618F">
        <w:rPr>
          <w:rFonts w:asciiTheme="minorHAnsi" w:hAnsiTheme="minorHAnsi"/>
          <w:b/>
          <w:sz w:val="22"/>
        </w:rPr>
        <w:t xml:space="preserve">Tabulka: Poradní sbory 2016 </w:t>
      </w:r>
    </w:p>
    <w:tbl>
      <w:tblPr>
        <w:tblStyle w:val="Stednstnovn1zvraznn1"/>
        <w:tblW w:w="9677" w:type="dxa"/>
        <w:tblLook w:val="04A0" w:firstRow="1" w:lastRow="0" w:firstColumn="1" w:lastColumn="0" w:noHBand="0" w:noVBand="1"/>
      </w:tblPr>
      <w:tblGrid>
        <w:gridCol w:w="2997"/>
        <w:gridCol w:w="1013"/>
        <w:gridCol w:w="1059"/>
        <w:gridCol w:w="1152"/>
        <w:gridCol w:w="1152"/>
        <w:gridCol w:w="1152"/>
        <w:gridCol w:w="1152"/>
      </w:tblGrid>
      <w:tr w:rsidR="0020618F" w:rsidRPr="0020618F" w:rsidTr="00B333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hideMark/>
          </w:tcPr>
          <w:p w:rsidR="0020618F" w:rsidRPr="0020618F" w:rsidRDefault="0020618F" w:rsidP="0020618F">
            <w:pPr>
              <w:jc w:val="center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Kraj</w:t>
            </w:r>
          </w:p>
        </w:tc>
        <w:tc>
          <w:tcPr>
            <w:tcW w:w="1013" w:type="dxa"/>
            <w:hideMark/>
          </w:tcPr>
          <w:p w:rsidR="0020618F" w:rsidRPr="0020618F" w:rsidRDefault="0020618F" w:rsidP="00206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I.  Q 2015</w:t>
            </w:r>
          </w:p>
        </w:tc>
        <w:tc>
          <w:tcPr>
            <w:tcW w:w="1059" w:type="dxa"/>
            <w:hideMark/>
          </w:tcPr>
          <w:p w:rsidR="0020618F" w:rsidRPr="0020618F" w:rsidRDefault="0020618F" w:rsidP="00206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II. Q 2015</w:t>
            </w:r>
          </w:p>
        </w:tc>
        <w:tc>
          <w:tcPr>
            <w:tcW w:w="1152" w:type="dxa"/>
            <w:hideMark/>
          </w:tcPr>
          <w:p w:rsidR="0020618F" w:rsidRPr="0020618F" w:rsidRDefault="0020618F" w:rsidP="00206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III. Q 2015</w:t>
            </w:r>
          </w:p>
        </w:tc>
        <w:tc>
          <w:tcPr>
            <w:tcW w:w="1152" w:type="dxa"/>
            <w:hideMark/>
          </w:tcPr>
          <w:p w:rsidR="0020618F" w:rsidRPr="0020618F" w:rsidRDefault="0020618F" w:rsidP="00206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IV. Q 2015</w:t>
            </w:r>
          </w:p>
        </w:tc>
        <w:tc>
          <w:tcPr>
            <w:tcW w:w="1152" w:type="dxa"/>
            <w:hideMark/>
          </w:tcPr>
          <w:p w:rsidR="0020618F" w:rsidRPr="0020618F" w:rsidRDefault="0020618F" w:rsidP="00206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I. Q 2016</w:t>
            </w:r>
          </w:p>
        </w:tc>
        <w:tc>
          <w:tcPr>
            <w:tcW w:w="1152" w:type="dxa"/>
            <w:hideMark/>
          </w:tcPr>
          <w:p w:rsidR="0020618F" w:rsidRPr="0020618F" w:rsidRDefault="0020618F" w:rsidP="00206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II. Q 2016</w:t>
            </w:r>
          </w:p>
        </w:tc>
      </w:tr>
      <w:tr w:rsidR="0020618F" w:rsidRPr="0020618F" w:rsidTr="00B33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Hlavní město Praha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</w:tr>
      <w:tr w:rsidR="0020618F" w:rsidRPr="0020618F" w:rsidTr="00B33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Středočeský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12</w:t>
            </w:r>
          </w:p>
        </w:tc>
      </w:tr>
      <w:tr w:rsidR="0020618F" w:rsidRPr="0020618F" w:rsidTr="00B33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Jihočeský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5</w:t>
            </w:r>
          </w:p>
        </w:tc>
      </w:tr>
      <w:tr w:rsidR="0020618F" w:rsidRPr="0020618F" w:rsidTr="00B33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Plzeňský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</w:tr>
      <w:tr w:rsidR="0020618F" w:rsidRPr="0020618F" w:rsidTr="00B33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Karlovarský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</w:tr>
      <w:tr w:rsidR="0020618F" w:rsidRPr="0020618F" w:rsidTr="00B33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Ústecký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7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</w:tr>
      <w:tr w:rsidR="0020618F" w:rsidRPr="0020618F" w:rsidTr="00B33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Liberecký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</w:tr>
      <w:tr w:rsidR="0020618F" w:rsidRPr="0020618F" w:rsidTr="00B33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Královehradecký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</w:tr>
      <w:tr w:rsidR="0020618F" w:rsidRPr="0020618F" w:rsidTr="00B33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Pardubický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5</w:t>
            </w:r>
          </w:p>
        </w:tc>
      </w:tr>
      <w:tr w:rsidR="0020618F" w:rsidRPr="0020618F" w:rsidTr="00B33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Kraj Vysočina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4</w:t>
            </w:r>
          </w:p>
        </w:tc>
      </w:tr>
      <w:tr w:rsidR="0020618F" w:rsidRPr="0020618F" w:rsidTr="00B33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Jihomoravský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</w:tr>
      <w:tr w:rsidR="0020618F" w:rsidRPr="0020618F" w:rsidTr="00B33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Olomoucký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4</w:t>
            </w:r>
          </w:p>
        </w:tc>
      </w:tr>
      <w:tr w:rsidR="0020618F" w:rsidRPr="0020618F" w:rsidTr="00B33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Zlínský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</w:tr>
      <w:tr w:rsidR="0020618F" w:rsidRPr="0020618F" w:rsidTr="00B33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Moravskoslezský kraj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20618F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</w:tr>
      <w:tr w:rsidR="0020618F" w:rsidRPr="0020618F" w:rsidTr="00B33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7" w:type="dxa"/>
            <w:noWrap/>
            <w:hideMark/>
          </w:tcPr>
          <w:p w:rsidR="0020618F" w:rsidRPr="0020618F" w:rsidRDefault="0020618F" w:rsidP="0020618F">
            <w:pPr>
              <w:jc w:val="left"/>
              <w:rPr>
                <w:rFonts w:eastAsia="Times New Roman" w:cs="Arial"/>
                <w:sz w:val="22"/>
                <w:lang w:eastAsia="cs-CZ"/>
              </w:rPr>
            </w:pPr>
            <w:r w:rsidRPr="0020618F">
              <w:rPr>
                <w:rFonts w:eastAsia="Times New Roman" w:cs="Arial"/>
                <w:sz w:val="22"/>
                <w:lang w:eastAsia="cs-CZ"/>
              </w:rPr>
              <w:t>Celkem ČR</w:t>
            </w:r>
          </w:p>
        </w:tc>
        <w:tc>
          <w:tcPr>
            <w:tcW w:w="1013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20618F">
              <w:rPr>
                <w:rFonts w:eastAsia="Times New Roman" w:cs="Arial"/>
                <w:b/>
                <w:bCs/>
                <w:sz w:val="22"/>
                <w:lang w:eastAsia="cs-CZ"/>
              </w:rPr>
              <w:t>29</w:t>
            </w:r>
          </w:p>
        </w:tc>
        <w:tc>
          <w:tcPr>
            <w:tcW w:w="1059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20618F">
              <w:rPr>
                <w:rFonts w:eastAsia="Times New Roman" w:cs="Arial"/>
                <w:b/>
                <w:bCs/>
                <w:sz w:val="22"/>
                <w:lang w:eastAsia="cs-CZ"/>
              </w:rPr>
              <w:t>51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20618F">
              <w:rPr>
                <w:rFonts w:eastAsia="Times New Roman" w:cs="Arial"/>
                <w:b/>
                <w:bCs/>
                <w:sz w:val="22"/>
                <w:lang w:eastAsia="cs-CZ"/>
              </w:rPr>
              <w:t>14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20618F">
              <w:rPr>
                <w:rFonts w:eastAsia="Times New Roman" w:cs="Arial"/>
                <w:b/>
                <w:bCs/>
                <w:sz w:val="22"/>
                <w:lang w:eastAsia="cs-CZ"/>
              </w:rPr>
              <w:t>46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20618F">
              <w:rPr>
                <w:rFonts w:eastAsia="Times New Roman" w:cs="Arial"/>
                <w:b/>
                <w:bCs/>
                <w:sz w:val="22"/>
                <w:lang w:eastAsia="cs-CZ"/>
              </w:rPr>
              <w:t>32</w:t>
            </w:r>
          </w:p>
        </w:tc>
        <w:tc>
          <w:tcPr>
            <w:tcW w:w="1152" w:type="dxa"/>
            <w:noWrap/>
            <w:hideMark/>
          </w:tcPr>
          <w:p w:rsidR="0020618F" w:rsidRPr="0020618F" w:rsidRDefault="0020618F" w:rsidP="00206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20618F">
              <w:rPr>
                <w:rFonts w:eastAsia="Times New Roman" w:cs="Arial"/>
                <w:b/>
                <w:bCs/>
                <w:sz w:val="22"/>
                <w:lang w:eastAsia="cs-CZ"/>
              </w:rPr>
              <w:t>50</w:t>
            </w:r>
          </w:p>
        </w:tc>
      </w:tr>
    </w:tbl>
    <w:p w:rsidR="0020618F" w:rsidRPr="0020618F" w:rsidRDefault="0020618F" w:rsidP="0020618F">
      <w:pPr>
        <w:spacing w:after="200"/>
        <w:jc w:val="left"/>
        <w:rPr>
          <w:rFonts w:asciiTheme="minorHAnsi" w:hAnsiTheme="minorHAnsi"/>
          <w:sz w:val="22"/>
        </w:rPr>
      </w:pPr>
    </w:p>
    <w:sectPr w:rsidR="0020618F" w:rsidRPr="0020618F" w:rsidSect="005C2BF5">
      <w:footerReference w:type="default" r:id="rId14"/>
      <w:pgSz w:w="11906" w:h="16838"/>
      <w:pgMar w:top="567" w:right="1417" w:bottom="851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0A0" w:rsidRDefault="008C50A0" w:rsidP="006F7EFE">
      <w:pPr>
        <w:spacing w:line="240" w:lineRule="auto"/>
      </w:pPr>
      <w:r>
        <w:separator/>
      </w:r>
    </w:p>
  </w:endnote>
  <w:endnote w:type="continuationSeparator" w:id="0">
    <w:p w:rsidR="008C50A0" w:rsidRDefault="008C50A0" w:rsidP="006F7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 obyeejné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1795732"/>
      <w:docPartObj>
        <w:docPartGallery w:val="Page Numbers (Bottom of Page)"/>
        <w:docPartUnique/>
      </w:docPartObj>
    </w:sdtPr>
    <w:sdtEndPr/>
    <w:sdtContent>
      <w:p w:rsidR="005C2BF5" w:rsidRDefault="005C2BF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EFC">
          <w:rPr>
            <w:noProof/>
          </w:rPr>
          <w:t>19</w:t>
        </w:r>
        <w:r>
          <w:fldChar w:fldCharType="end"/>
        </w:r>
      </w:p>
    </w:sdtContent>
  </w:sdt>
  <w:p w:rsidR="008C50A0" w:rsidRDefault="008C50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0A0" w:rsidRDefault="008C50A0" w:rsidP="006F7EFE">
      <w:pPr>
        <w:spacing w:line="240" w:lineRule="auto"/>
      </w:pPr>
      <w:r>
        <w:separator/>
      </w:r>
    </w:p>
  </w:footnote>
  <w:footnote w:type="continuationSeparator" w:id="0">
    <w:p w:rsidR="008C50A0" w:rsidRDefault="008C50A0" w:rsidP="006F7EFE">
      <w:pPr>
        <w:spacing w:line="240" w:lineRule="auto"/>
      </w:pPr>
      <w:r>
        <w:continuationSeparator/>
      </w:r>
    </w:p>
  </w:footnote>
  <w:footnote w:id="1">
    <w:p w:rsidR="001F696E" w:rsidRDefault="001F696E">
      <w:pPr>
        <w:pStyle w:val="Textpoznpodarou"/>
      </w:pPr>
      <w:r>
        <w:rPr>
          <w:rStyle w:val="Znakapoznpodarou"/>
        </w:rPr>
        <w:footnoteRef/>
      </w:r>
      <w:r>
        <w:t xml:space="preserve"> v měsíci září přicházejí pravidelně do evidence uchazečů o zaměstnání absolventi škol, zejména středních, což vede k meziměsíčním výchylkám</w:t>
      </w:r>
    </w:p>
  </w:footnote>
  <w:footnote w:id="2">
    <w:p w:rsidR="008C50A0" w:rsidRPr="00862C7A" w:rsidRDefault="008C50A0" w:rsidP="002B698A">
      <w:pPr>
        <w:pStyle w:val="Textpoznpodarou"/>
        <w:rPr>
          <w:rFonts w:ascii="Arial" w:hAnsi="Arial" w:cs="Arial"/>
        </w:rPr>
      </w:pPr>
      <w:r w:rsidRPr="00862C7A">
        <w:rPr>
          <w:rStyle w:val="Znakapoznpodarou"/>
          <w:rFonts w:ascii="Arial" w:hAnsi="Arial" w:cs="Arial"/>
        </w:rPr>
        <w:footnoteRef/>
      </w:r>
      <w:r w:rsidRPr="00862C7A">
        <w:rPr>
          <w:rFonts w:ascii="Arial" w:hAnsi="Arial" w:cs="Arial"/>
        </w:rPr>
        <w:t xml:space="preserve"> S nastavením horních limitů uznatelných nákladů.</w:t>
      </w:r>
    </w:p>
  </w:footnote>
  <w:footnote w:id="3">
    <w:p w:rsidR="008C50A0" w:rsidRDefault="008C50A0" w:rsidP="002B698A">
      <w:pPr>
        <w:pStyle w:val="Textpoznpodarou"/>
      </w:pPr>
      <w:r w:rsidRPr="00862C7A">
        <w:rPr>
          <w:rStyle w:val="Znakapoznpodarou"/>
          <w:rFonts w:ascii="Arial" w:hAnsi="Arial" w:cs="Arial"/>
        </w:rPr>
        <w:footnoteRef/>
      </w:r>
      <w:r w:rsidRPr="00862C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Nejen s</w:t>
      </w:r>
      <w:r w:rsidRPr="00862C7A">
        <w:rPr>
          <w:rFonts w:ascii="Arial" w:hAnsi="Arial" w:cs="Arial"/>
        </w:rPr>
        <w:t>ociálních</w:t>
      </w:r>
      <w:r>
        <w:rPr>
          <w:rFonts w:ascii="Arial" w:hAnsi="Arial" w:cs="Arial"/>
        </w:rPr>
        <w:t xml:space="preserve"> služeb</w:t>
      </w:r>
      <w:r w:rsidRPr="00862C7A">
        <w:rPr>
          <w:rFonts w:ascii="Arial" w:hAnsi="Arial" w:cs="Arial"/>
        </w:rPr>
        <w:t>, ale i v širším smyslu</w:t>
      </w:r>
      <w:r>
        <w:rPr>
          <w:rFonts w:ascii="Arial" w:hAnsi="Arial" w:cs="Arial"/>
        </w:rPr>
        <w:t>,</w:t>
      </w:r>
      <w:r w:rsidRPr="00862C7A">
        <w:rPr>
          <w:rFonts w:ascii="Arial" w:hAnsi="Arial" w:cs="Arial"/>
        </w:rPr>
        <w:t xml:space="preserve"> např. služeb péče o děti.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BF5" w:rsidRDefault="005C2BF5">
    <w:pPr>
      <w:pStyle w:val="Zhlav"/>
      <w:jc w:val="center"/>
    </w:pPr>
  </w:p>
  <w:p w:rsidR="008C50A0" w:rsidRDefault="008C50A0" w:rsidP="006C25CB">
    <w:pPr>
      <w:tabs>
        <w:tab w:val="left" w:pos="113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5E50"/>
    <w:multiLevelType w:val="hybridMultilevel"/>
    <w:tmpl w:val="E94A82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E96B13"/>
    <w:multiLevelType w:val="hybridMultilevel"/>
    <w:tmpl w:val="22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F030D"/>
    <w:multiLevelType w:val="hybridMultilevel"/>
    <w:tmpl w:val="9E26A994"/>
    <w:lvl w:ilvl="0" w:tplc="0358B42C">
      <w:start w:val="1"/>
      <w:numFmt w:val="decimal"/>
      <w:lvlText w:val="%1."/>
      <w:lvlJc w:val="left"/>
      <w:pPr>
        <w:ind w:left="292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45" w:hanging="360"/>
      </w:pPr>
    </w:lvl>
    <w:lvl w:ilvl="2" w:tplc="0405001B" w:tentative="1">
      <w:start w:val="1"/>
      <w:numFmt w:val="lowerRoman"/>
      <w:lvlText w:val="%3."/>
      <w:lvlJc w:val="right"/>
      <w:pPr>
        <w:ind w:left="4365" w:hanging="180"/>
      </w:pPr>
    </w:lvl>
    <w:lvl w:ilvl="3" w:tplc="0405000F" w:tentative="1">
      <w:start w:val="1"/>
      <w:numFmt w:val="decimal"/>
      <w:lvlText w:val="%4."/>
      <w:lvlJc w:val="left"/>
      <w:pPr>
        <w:ind w:left="5085" w:hanging="360"/>
      </w:pPr>
    </w:lvl>
    <w:lvl w:ilvl="4" w:tplc="04050019" w:tentative="1">
      <w:start w:val="1"/>
      <w:numFmt w:val="lowerLetter"/>
      <w:lvlText w:val="%5."/>
      <w:lvlJc w:val="left"/>
      <w:pPr>
        <w:ind w:left="5805" w:hanging="360"/>
      </w:pPr>
    </w:lvl>
    <w:lvl w:ilvl="5" w:tplc="0405001B" w:tentative="1">
      <w:start w:val="1"/>
      <w:numFmt w:val="lowerRoman"/>
      <w:lvlText w:val="%6."/>
      <w:lvlJc w:val="right"/>
      <w:pPr>
        <w:ind w:left="6525" w:hanging="180"/>
      </w:pPr>
    </w:lvl>
    <w:lvl w:ilvl="6" w:tplc="0405000F" w:tentative="1">
      <w:start w:val="1"/>
      <w:numFmt w:val="decimal"/>
      <w:lvlText w:val="%7."/>
      <w:lvlJc w:val="left"/>
      <w:pPr>
        <w:ind w:left="7245" w:hanging="360"/>
      </w:pPr>
    </w:lvl>
    <w:lvl w:ilvl="7" w:tplc="04050019" w:tentative="1">
      <w:start w:val="1"/>
      <w:numFmt w:val="lowerLetter"/>
      <w:lvlText w:val="%8."/>
      <w:lvlJc w:val="left"/>
      <w:pPr>
        <w:ind w:left="7965" w:hanging="360"/>
      </w:pPr>
    </w:lvl>
    <w:lvl w:ilvl="8" w:tplc="040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">
    <w:nsid w:val="1D0B67C7"/>
    <w:multiLevelType w:val="hybridMultilevel"/>
    <w:tmpl w:val="C70E0A20"/>
    <w:lvl w:ilvl="0" w:tplc="808CF7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44AD9"/>
    <w:multiLevelType w:val="hybridMultilevel"/>
    <w:tmpl w:val="F9D4FEE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A1F6C"/>
    <w:multiLevelType w:val="hybridMultilevel"/>
    <w:tmpl w:val="350A4A9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0CF6AC1"/>
    <w:multiLevelType w:val="hybridMultilevel"/>
    <w:tmpl w:val="73249C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6085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BF603C9"/>
    <w:multiLevelType w:val="hybridMultilevel"/>
    <w:tmpl w:val="E15E5552"/>
    <w:lvl w:ilvl="0" w:tplc="07C6B7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792B04"/>
    <w:multiLevelType w:val="hybridMultilevel"/>
    <w:tmpl w:val="B84826A8"/>
    <w:lvl w:ilvl="0" w:tplc="040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3D6E563F"/>
    <w:multiLevelType w:val="hybridMultilevel"/>
    <w:tmpl w:val="83DE4D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84115"/>
    <w:multiLevelType w:val="hybridMultilevel"/>
    <w:tmpl w:val="07B8744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7528EA"/>
    <w:multiLevelType w:val="hybridMultilevel"/>
    <w:tmpl w:val="415E1D1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851F5A"/>
    <w:multiLevelType w:val="hybridMultilevel"/>
    <w:tmpl w:val="0F7EA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A7274B"/>
    <w:multiLevelType w:val="multilevel"/>
    <w:tmpl w:val="87C2C7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06F53BF"/>
    <w:multiLevelType w:val="hybridMultilevel"/>
    <w:tmpl w:val="348EA8C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608E7C7D"/>
    <w:multiLevelType w:val="hybridMultilevel"/>
    <w:tmpl w:val="9716D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C84787"/>
    <w:multiLevelType w:val="hybridMultilevel"/>
    <w:tmpl w:val="11CC1CE6"/>
    <w:lvl w:ilvl="0" w:tplc="DDACA8AA">
      <w:start w:val="5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1E2AD9"/>
    <w:multiLevelType w:val="hybridMultilevel"/>
    <w:tmpl w:val="A22E4050"/>
    <w:lvl w:ilvl="0" w:tplc="19E851C6">
      <w:start w:val="1"/>
      <w:numFmt w:val="decimal"/>
      <w:lvlText w:val="%1."/>
      <w:lvlJc w:val="left"/>
      <w:pPr>
        <w:ind w:left="29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45" w:hanging="360"/>
      </w:pPr>
    </w:lvl>
    <w:lvl w:ilvl="2" w:tplc="0405001B" w:tentative="1">
      <w:start w:val="1"/>
      <w:numFmt w:val="lowerRoman"/>
      <w:lvlText w:val="%3."/>
      <w:lvlJc w:val="right"/>
      <w:pPr>
        <w:ind w:left="4365" w:hanging="180"/>
      </w:pPr>
    </w:lvl>
    <w:lvl w:ilvl="3" w:tplc="0405000F" w:tentative="1">
      <w:start w:val="1"/>
      <w:numFmt w:val="decimal"/>
      <w:lvlText w:val="%4."/>
      <w:lvlJc w:val="left"/>
      <w:pPr>
        <w:ind w:left="5085" w:hanging="360"/>
      </w:pPr>
    </w:lvl>
    <w:lvl w:ilvl="4" w:tplc="04050019" w:tentative="1">
      <w:start w:val="1"/>
      <w:numFmt w:val="lowerLetter"/>
      <w:lvlText w:val="%5."/>
      <w:lvlJc w:val="left"/>
      <w:pPr>
        <w:ind w:left="5805" w:hanging="360"/>
      </w:pPr>
    </w:lvl>
    <w:lvl w:ilvl="5" w:tplc="0405001B" w:tentative="1">
      <w:start w:val="1"/>
      <w:numFmt w:val="lowerRoman"/>
      <w:lvlText w:val="%6."/>
      <w:lvlJc w:val="right"/>
      <w:pPr>
        <w:ind w:left="6525" w:hanging="180"/>
      </w:pPr>
    </w:lvl>
    <w:lvl w:ilvl="6" w:tplc="0405000F" w:tentative="1">
      <w:start w:val="1"/>
      <w:numFmt w:val="decimal"/>
      <w:lvlText w:val="%7."/>
      <w:lvlJc w:val="left"/>
      <w:pPr>
        <w:ind w:left="7245" w:hanging="360"/>
      </w:pPr>
    </w:lvl>
    <w:lvl w:ilvl="7" w:tplc="04050019" w:tentative="1">
      <w:start w:val="1"/>
      <w:numFmt w:val="lowerLetter"/>
      <w:lvlText w:val="%8."/>
      <w:lvlJc w:val="left"/>
      <w:pPr>
        <w:ind w:left="7965" w:hanging="360"/>
      </w:pPr>
    </w:lvl>
    <w:lvl w:ilvl="8" w:tplc="040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19">
    <w:nsid w:val="6E272388"/>
    <w:multiLevelType w:val="hybridMultilevel"/>
    <w:tmpl w:val="47701B1A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7D9B68D2"/>
    <w:multiLevelType w:val="multilevel"/>
    <w:tmpl w:val="87C2C7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F6F1FA7"/>
    <w:multiLevelType w:val="hybridMultilevel"/>
    <w:tmpl w:val="C9183F0A"/>
    <w:lvl w:ilvl="0" w:tplc="07825D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9"/>
  </w:num>
  <w:num w:numId="5">
    <w:abstractNumId w:val="11"/>
  </w:num>
  <w:num w:numId="6">
    <w:abstractNumId w:val="21"/>
  </w:num>
  <w:num w:numId="7">
    <w:abstractNumId w:val="15"/>
  </w:num>
  <w:num w:numId="8">
    <w:abstractNumId w:val="0"/>
  </w:num>
  <w:num w:numId="9">
    <w:abstractNumId w:val="12"/>
  </w:num>
  <w:num w:numId="10">
    <w:abstractNumId w:val="20"/>
  </w:num>
  <w:num w:numId="11">
    <w:abstractNumId w:val="16"/>
  </w:num>
  <w:num w:numId="12">
    <w:abstractNumId w:val="3"/>
  </w:num>
  <w:num w:numId="13">
    <w:abstractNumId w:val="4"/>
  </w:num>
  <w:num w:numId="14">
    <w:abstractNumId w:val="13"/>
  </w:num>
  <w:num w:numId="15">
    <w:abstractNumId w:val="10"/>
  </w:num>
  <w:num w:numId="16">
    <w:abstractNumId w:val="19"/>
  </w:num>
  <w:num w:numId="17">
    <w:abstractNumId w:val="18"/>
  </w:num>
  <w:num w:numId="18">
    <w:abstractNumId w:val="2"/>
  </w:num>
  <w:num w:numId="19">
    <w:abstractNumId w:val="5"/>
  </w:num>
  <w:num w:numId="20">
    <w:abstractNumId w:val="8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FF"/>
    <w:rsid w:val="000261B9"/>
    <w:rsid w:val="00056A44"/>
    <w:rsid w:val="00084B25"/>
    <w:rsid w:val="000A365A"/>
    <w:rsid w:val="000B6D53"/>
    <w:rsid w:val="000C653B"/>
    <w:rsid w:val="000E0C7B"/>
    <w:rsid w:val="00103357"/>
    <w:rsid w:val="00104BEE"/>
    <w:rsid w:val="00106D13"/>
    <w:rsid w:val="001105B2"/>
    <w:rsid w:val="0012383A"/>
    <w:rsid w:val="00141B9B"/>
    <w:rsid w:val="001A397F"/>
    <w:rsid w:val="001C4FDE"/>
    <w:rsid w:val="001D2802"/>
    <w:rsid w:val="001F696E"/>
    <w:rsid w:val="0020618F"/>
    <w:rsid w:val="00210A3B"/>
    <w:rsid w:val="00216071"/>
    <w:rsid w:val="0023569C"/>
    <w:rsid w:val="00255F0D"/>
    <w:rsid w:val="002764BE"/>
    <w:rsid w:val="00290FDD"/>
    <w:rsid w:val="002A02CD"/>
    <w:rsid w:val="002B698A"/>
    <w:rsid w:val="002E0C25"/>
    <w:rsid w:val="00340D01"/>
    <w:rsid w:val="003526C4"/>
    <w:rsid w:val="00356196"/>
    <w:rsid w:val="003826E0"/>
    <w:rsid w:val="00383CD3"/>
    <w:rsid w:val="003842D4"/>
    <w:rsid w:val="003E5074"/>
    <w:rsid w:val="003F71AD"/>
    <w:rsid w:val="0042468B"/>
    <w:rsid w:val="00447201"/>
    <w:rsid w:val="004F18F7"/>
    <w:rsid w:val="004F7EFC"/>
    <w:rsid w:val="005212C7"/>
    <w:rsid w:val="0053098B"/>
    <w:rsid w:val="005437C4"/>
    <w:rsid w:val="005706BF"/>
    <w:rsid w:val="00586936"/>
    <w:rsid w:val="00595420"/>
    <w:rsid w:val="00596DFE"/>
    <w:rsid w:val="005B4C0F"/>
    <w:rsid w:val="005C2BF5"/>
    <w:rsid w:val="005E521B"/>
    <w:rsid w:val="00615C70"/>
    <w:rsid w:val="006330AD"/>
    <w:rsid w:val="006413BC"/>
    <w:rsid w:val="00644CA5"/>
    <w:rsid w:val="00682458"/>
    <w:rsid w:val="0069278C"/>
    <w:rsid w:val="00697AC8"/>
    <w:rsid w:val="006C22C7"/>
    <w:rsid w:val="006C25CB"/>
    <w:rsid w:val="006D0E38"/>
    <w:rsid w:val="006E6BFF"/>
    <w:rsid w:val="006F7EFE"/>
    <w:rsid w:val="00761A64"/>
    <w:rsid w:val="007D01C1"/>
    <w:rsid w:val="007E2E72"/>
    <w:rsid w:val="007E38CF"/>
    <w:rsid w:val="007F5CE2"/>
    <w:rsid w:val="00820298"/>
    <w:rsid w:val="00835A93"/>
    <w:rsid w:val="00842745"/>
    <w:rsid w:val="008523B5"/>
    <w:rsid w:val="00862C31"/>
    <w:rsid w:val="008A7BC7"/>
    <w:rsid w:val="008B3B45"/>
    <w:rsid w:val="008B753F"/>
    <w:rsid w:val="008C0148"/>
    <w:rsid w:val="008C34AF"/>
    <w:rsid w:val="008C4FBE"/>
    <w:rsid w:val="008C50A0"/>
    <w:rsid w:val="008D6033"/>
    <w:rsid w:val="008F6019"/>
    <w:rsid w:val="00921211"/>
    <w:rsid w:val="0093305B"/>
    <w:rsid w:val="00950027"/>
    <w:rsid w:val="00960B45"/>
    <w:rsid w:val="009A3B85"/>
    <w:rsid w:val="009D3EF5"/>
    <w:rsid w:val="009D62A8"/>
    <w:rsid w:val="009E1A4D"/>
    <w:rsid w:val="009F225D"/>
    <w:rsid w:val="00A04A11"/>
    <w:rsid w:val="00A20FE1"/>
    <w:rsid w:val="00A5698A"/>
    <w:rsid w:val="00A723C2"/>
    <w:rsid w:val="00A9179D"/>
    <w:rsid w:val="00AC1479"/>
    <w:rsid w:val="00AF1CDD"/>
    <w:rsid w:val="00B15411"/>
    <w:rsid w:val="00B157B2"/>
    <w:rsid w:val="00B27047"/>
    <w:rsid w:val="00B3162D"/>
    <w:rsid w:val="00B333BD"/>
    <w:rsid w:val="00B35099"/>
    <w:rsid w:val="00B61FE7"/>
    <w:rsid w:val="00B71813"/>
    <w:rsid w:val="00B80718"/>
    <w:rsid w:val="00BB4734"/>
    <w:rsid w:val="00C148D3"/>
    <w:rsid w:val="00C34133"/>
    <w:rsid w:val="00C44BFF"/>
    <w:rsid w:val="00C56833"/>
    <w:rsid w:val="00C6645E"/>
    <w:rsid w:val="00C71AA9"/>
    <w:rsid w:val="00C7409C"/>
    <w:rsid w:val="00CC66E3"/>
    <w:rsid w:val="00CD2D54"/>
    <w:rsid w:val="00CD4E07"/>
    <w:rsid w:val="00CD509B"/>
    <w:rsid w:val="00CE5371"/>
    <w:rsid w:val="00CF12AE"/>
    <w:rsid w:val="00D06C61"/>
    <w:rsid w:val="00D12BDE"/>
    <w:rsid w:val="00D14F3F"/>
    <w:rsid w:val="00D31526"/>
    <w:rsid w:val="00D40D54"/>
    <w:rsid w:val="00D60245"/>
    <w:rsid w:val="00DC4B65"/>
    <w:rsid w:val="00E06B35"/>
    <w:rsid w:val="00E43741"/>
    <w:rsid w:val="00E6252E"/>
    <w:rsid w:val="00E74562"/>
    <w:rsid w:val="00EA1EB0"/>
    <w:rsid w:val="00EB1BB2"/>
    <w:rsid w:val="00ED4D66"/>
    <w:rsid w:val="00F03D56"/>
    <w:rsid w:val="00F30EC0"/>
    <w:rsid w:val="00F43CC0"/>
    <w:rsid w:val="00F50CF8"/>
    <w:rsid w:val="00F9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E07"/>
    <w:pPr>
      <w:spacing w:after="0"/>
      <w:jc w:val="both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72"/>
    <w:qFormat/>
    <w:rsid w:val="006E6B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6B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B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84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ln"/>
    <w:rsid w:val="006F7EFE"/>
    <w:pPr>
      <w:autoSpaceDE w:val="0"/>
      <w:autoSpaceDN w:val="0"/>
      <w:spacing w:line="240" w:lineRule="auto"/>
      <w:jc w:val="left"/>
    </w:pPr>
    <w:rPr>
      <w:rFonts w:ascii="Calibri" w:hAnsi="Calibri" w:cs="Times New Roman"/>
      <w:color w:val="000000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6F7EFE"/>
    <w:pPr>
      <w:spacing w:line="240" w:lineRule="auto"/>
      <w:jc w:val="left"/>
    </w:pPr>
    <w:rPr>
      <w:rFonts w:ascii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F7EFE"/>
    <w:rPr>
      <w:rFonts w:ascii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6F7EFE"/>
    <w:rPr>
      <w:vertAlign w:val="superscript"/>
    </w:rPr>
  </w:style>
  <w:style w:type="character" w:styleId="Hypertextovodkaz">
    <w:name w:val="Hyperlink"/>
    <w:basedOn w:val="Standardnpsmoodstavce"/>
    <w:uiPriority w:val="99"/>
    <w:rsid w:val="00C71AA9"/>
    <w:rPr>
      <w:rFonts w:ascii="Times New Roman" w:hAnsi="Times New Roman" w:cs="Times New Roman"/>
      <w:color w:val="0000FF"/>
      <w:u w:val="single"/>
    </w:rPr>
  </w:style>
  <w:style w:type="paragraph" w:styleId="Nzev">
    <w:name w:val="Title"/>
    <w:basedOn w:val="Normln"/>
    <w:link w:val="NzevChar"/>
    <w:uiPriority w:val="99"/>
    <w:qFormat/>
    <w:rsid w:val="00C71AA9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spacing w:line="240" w:lineRule="auto"/>
      <w:jc w:val="center"/>
    </w:pPr>
    <w:rPr>
      <w:rFonts w:ascii="Times New Roman CE obyeejné" w:eastAsia="Times New Roman" w:hAnsi="Times New Roman CE obyeejné" w:cs="Times New Roman CE obyeejné"/>
      <w:b/>
      <w:bCs/>
      <w:sz w:val="28"/>
      <w:szCs w:val="28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C71AA9"/>
    <w:rPr>
      <w:rFonts w:ascii="Times New Roman CE obyeejné" w:eastAsia="Times New Roman" w:hAnsi="Times New Roman CE obyeejné" w:cs="Times New Roman CE obyeejné"/>
      <w:b/>
      <w:bCs/>
      <w:sz w:val="28"/>
      <w:szCs w:val="28"/>
      <w:lang w:eastAsia="cs-CZ"/>
    </w:rPr>
  </w:style>
  <w:style w:type="table" w:styleId="Stednstnovn1zvraznn1">
    <w:name w:val="Medium Shading 1 Accent 1"/>
    <w:basedOn w:val="Normlntabulka"/>
    <w:uiPriority w:val="63"/>
    <w:rsid w:val="00F927F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960B4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0B45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960B4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0B45"/>
    <w:rPr>
      <w:rFonts w:ascii="Arial" w:hAnsi="Arial"/>
      <w:sz w:val="24"/>
    </w:rPr>
  </w:style>
  <w:style w:type="character" w:styleId="Zvraznn">
    <w:name w:val="Emphasis"/>
    <w:basedOn w:val="Standardnpsmoodstavce"/>
    <w:uiPriority w:val="20"/>
    <w:qFormat/>
    <w:rsid w:val="00C6645E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D602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02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024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2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245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60245"/>
    <w:pPr>
      <w:spacing w:after="0" w:line="240" w:lineRule="auto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E07"/>
    <w:pPr>
      <w:spacing w:after="0"/>
      <w:jc w:val="both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72"/>
    <w:qFormat/>
    <w:rsid w:val="006E6B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6B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B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84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ln"/>
    <w:rsid w:val="006F7EFE"/>
    <w:pPr>
      <w:autoSpaceDE w:val="0"/>
      <w:autoSpaceDN w:val="0"/>
      <w:spacing w:line="240" w:lineRule="auto"/>
      <w:jc w:val="left"/>
    </w:pPr>
    <w:rPr>
      <w:rFonts w:ascii="Calibri" w:hAnsi="Calibri" w:cs="Times New Roman"/>
      <w:color w:val="000000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6F7EFE"/>
    <w:pPr>
      <w:spacing w:line="240" w:lineRule="auto"/>
      <w:jc w:val="left"/>
    </w:pPr>
    <w:rPr>
      <w:rFonts w:ascii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F7EFE"/>
    <w:rPr>
      <w:rFonts w:ascii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6F7EFE"/>
    <w:rPr>
      <w:vertAlign w:val="superscript"/>
    </w:rPr>
  </w:style>
  <w:style w:type="character" w:styleId="Hypertextovodkaz">
    <w:name w:val="Hyperlink"/>
    <w:basedOn w:val="Standardnpsmoodstavce"/>
    <w:uiPriority w:val="99"/>
    <w:rsid w:val="00C71AA9"/>
    <w:rPr>
      <w:rFonts w:ascii="Times New Roman" w:hAnsi="Times New Roman" w:cs="Times New Roman"/>
      <w:color w:val="0000FF"/>
      <w:u w:val="single"/>
    </w:rPr>
  </w:style>
  <w:style w:type="paragraph" w:styleId="Nzev">
    <w:name w:val="Title"/>
    <w:basedOn w:val="Normln"/>
    <w:link w:val="NzevChar"/>
    <w:uiPriority w:val="99"/>
    <w:qFormat/>
    <w:rsid w:val="00C71AA9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spacing w:line="240" w:lineRule="auto"/>
      <w:jc w:val="center"/>
    </w:pPr>
    <w:rPr>
      <w:rFonts w:ascii="Times New Roman CE obyeejné" w:eastAsia="Times New Roman" w:hAnsi="Times New Roman CE obyeejné" w:cs="Times New Roman CE obyeejné"/>
      <w:b/>
      <w:bCs/>
      <w:sz w:val="28"/>
      <w:szCs w:val="28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C71AA9"/>
    <w:rPr>
      <w:rFonts w:ascii="Times New Roman CE obyeejné" w:eastAsia="Times New Roman" w:hAnsi="Times New Roman CE obyeejné" w:cs="Times New Roman CE obyeejné"/>
      <w:b/>
      <w:bCs/>
      <w:sz w:val="28"/>
      <w:szCs w:val="28"/>
      <w:lang w:eastAsia="cs-CZ"/>
    </w:rPr>
  </w:style>
  <w:style w:type="table" w:styleId="Stednstnovn1zvraznn1">
    <w:name w:val="Medium Shading 1 Accent 1"/>
    <w:basedOn w:val="Normlntabulka"/>
    <w:uiPriority w:val="63"/>
    <w:rsid w:val="00F927F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960B4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0B45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960B4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0B45"/>
    <w:rPr>
      <w:rFonts w:ascii="Arial" w:hAnsi="Arial"/>
      <w:sz w:val="24"/>
    </w:rPr>
  </w:style>
  <w:style w:type="character" w:styleId="Zvraznn">
    <w:name w:val="Emphasis"/>
    <w:basedOn w:val="Standardnpsmoodstavce"/>
    <w:uiPriority w:val="20"/>
    <w:qFormat/>
    <w:rsid w:val="00C6645E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D602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02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024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2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245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60245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4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Předvýběrová řízení </c:v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List3!$C$9:$C$22</c:f>
              <c:strCache>
                <c:ptCount val="14"/>
                <c:pt idx="0">
                  <c:v>Hlavní město Praha</c:v>
                </c:pt>
                <c:pt idx="1">
                  <c:v>Středočeský kraj</c:v>
                </c:pt>
                <c:pt idx="2">
                  <c:v>Jihočeský kraj</c:v>
                </c:pt>
                <c:pt idx="3">
                  <c:v>Plzeňský kraj</c:v>
                </c:pt>
                <c:pt idx="4">
                  <c:v>Karlovarský kraj</c:v>
                </c:pt>
                <c:pt idx="5">
                  <c:v>Ústecký kraj</c:v>
                </c:pt>
                <c:pt idx="6">
                  <c:v>Liberecký kraj</c:v>
                </c:pt>
                <c:pt idx="7">
                  <c:v>Královehradecký kraj</c:v>
                </c:pt>
                <c:pt idx="8">
                  <c:v>Pardubický kraj</c:v>
                </c:pt>
                <c:pt idx="9">
                  <c:v>Kraj Vysočina</c:v>
                </c:pt>
                <c:pt idx="10">
                  <c:v>Jihomoravský kraj</c:v>
                </c:pt>
                <c:pt idx="11">
                  <c:v>Olomoucký kraj</c:v>
                </c:pt>
                <c:pt idx="12">
                  <c:v>Zlínský kraj</c:v>
                </c:pt>
                <c:pt idx="13">
                  <c:v>Moravskoslezský kraj</c:v>
                </c:pt>
              </c:strCache>
            </c:strRef>
          </c:cat>
          <c:val>
            <c:numRef>
              <c:f>List3!$D$9:$D$22</c:f>
              <c:numCache>
                <c:formatCode>General</c:formatCode>
                <c:ptCount val="14"/>
                <c:pt idx="0">
                  <c:v>63</c:v>
                </c:pt>
                <c:pt idx="1">
                  <c:v>44</c:v>
                </c:pt>
                <c:pt idx="2">
                  <c:v>275</c:v>
                </c:pt>
                <c:pt idx="3">
                  <c:v>45</c:v>
                </c:pt>
                <c:pt idx="4">
                  <c:v>76</c:v>
                </c:pt>
                <c:pt idx="5">
                  <c:v>57</c:v>
                </c:pt>
                <c:pt idx="6">
                  <c:v>41</c:v>
                </c:pt>
                <c:pt idx="7">
                  <c:v>24</c:v>
                </c:pt>
                <c:pt idx="8">
                  <c:v>126</c:v>
                </c:pt>
                <c:pt idx="9">
                  <c:v>154</c:v>
                </c:pt>
                <c:pt idx="10">
                  <c:v>305</c:v>
                </c:pt>
                <c:pt idx="11">
                  <c:v>14</c:v>
                </c:pt>
                <c:pt idx="12">
                  <c:v>176</c:v>
                </c:pt>
                <c:pt idx="13">
                  <c:v>15</c:v>
                </c:pt>
              </c:numCache>
            </c:numRef>
          </c:val>
        </c:ser>
        <c:ser>
          <c:idx val="1"/>
          <c:order val="1"/>
          <c:tx>
            <c:v>Výběrová řízení </c:v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List3!$C$9:$C$22</c:f>
              <c:strCache>
                <c:ptCount val="14"/>
                <c:pt idx="0">
                  <c:v>Hlavní město Praha</c:v>
                </c:pt>
                <c:pt idx="1">
                  <c:v>Středočeský kraj</c:v>
                </c:pt>
                <c:pt idx="2">
                  <c:v>Jihočeský kraj</c:v>
                </c:pt>
                <c:pt idx="3">
                  <c:v>Plzeňský kraj</c:v>
                </c:pt>
                <c:pt idx="4">
                  <c:v>Karlovarský kraj</c:v>
                </c:pt>
                <c:pt idx="5">
                  <c:v>Ústecký kraj</c:v>
                </c:pt>
                <c:pt idx="6">
                  <c:v>Liberecký kraj</c:v>
                </c:pt>
                <c:pt idx="7">
                  <c:v>Královehradecký kraj</c:v>
                </c:pt>
                <c:pt idx="8">
                  <c:v>Pardubický kraj</c:v>
                </c:pt>
                <c:pt idx="9">
                  <c:v>Kraj Vysočina</c:v>
                </c:pt>
                <c:pt idx="10">
                  <c:v>Jihomoravský kraj</c:v>
                </c:pt>
                <c:pt idx="11">
                  <c:v>Olomoucký kraj</c:v>
                </c:pt>
                <c:pt idx="12">
                  <c:v>Zlínský kraj</c:v>
                </c:pt>
                <c:pt idx="13">
                  <c:v>Moravskoslezský kraj</c:v>
                </c:pt>
              </c:strCache>
            </c:strRef>
          </c:cat>
          <c:val>
            <c:numRef>
              <c:f>List3!$E$9:$E$22</c:f>
              <c:numCache>
                <c:formatCode>General</c:formatCode>
                <c:ptCount val="14"/>
                <c:pt idx="0">
                  <c:v>23</c:v>
                </c:pt>
                <c:pt idx="1">
                  <c:v>96</c:v>
                </c:pt>
                <c:pt idx="2">
                  <c:v>75</c:v>
                </c:pt>
                <c:pt idx="3">
                  <c:v>41</c:v>
                </c:pt>
                <c:pt idx="4">
                  <c:v>25</c:v>
                </c:pt>
                <c:pt idx="5">
                  <c:v>100</c:v>
                </c:pt>
                <c:pt idx="6">
                  <c:v>37</c:v>
                </c:pt>
                <c:pt idx="7">
                  <c:v>55</c:v>
                </c:pt>
                <c:pt idx="8">
                  <c:v>1</c:v>
                </c:pt>
                <c:pt idx="9">
                  <c:v>19</c:v>
                </c:pt>
                <c:pt idx="10">
                  <c:v>39</c:v>
                </c:pt>
                <c:pt idx="11">
                  <c:v>41</c:v>
                </c:pt>
                <c:pt idx="12">
                  <c:v>39</c:v>
                </c:pt>
                <c:pt idx="13">
                  <c:v>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0293376"/>
        <c:axId val="200307456"/>
      </c:barChart>
      <c:catAx>
        <c:axId val="200293376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 w="19050"/>
        </c:spPr>
        <c:txPr>
          <a:bodyPr rot="-1680000" vert="horz"/>
          <a:lstStyle/>
          <a:p>
            <a:pPr>
              <a:defRPr/>
            </a:pPr>
            <a:endParaRPr lang="cs-CZ"/>
          </a:p>
        </c:txPr>
        <c:crossAx val="200307456"/>
        <c:crosses val="autoZero"/>
        <c:auto val="0"/>
        <c:lblAlgn val="ctr"/>
        <c:lblOffset val="100"/>
        <c:tickLblSkip val="1"/>
        <c:noMultiLvlLbl val="0"/>
      </c:catAx>
      <c:valAx>
        <c:axId val="2003074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029337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baseline="0"/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200"/>
              <a:t>VPP - podíl umístěných uchazečů k</a:t>
            </a:r>
            <a:r>
              <a:rPr lang="cs-CZ" sz="1200" baseline="0"/>
              <a:t> uchazečům o zaměstnání </a:t>
            </a:r>
          </a:p>
          <a:p>
            <a:pPr>
              <a:defRPr/>
            </a:pPr>
            <a:r>
              <a:rPr lang="cs-CZ" sz="1200" i="1" baseline="0"/>
              <a:t>(v %, k </a:t>
            </a:r>
            <a:r>
              <a:rPr lang="cs-CZ" sz="1200" i="1"/>
              <a:t>30. září</a:t>
            </a:r>
            <a:r>
              <a:rPr lang="cs-CZ" sz="1200" i="1" baseline="0"/>
              <a:t>)</a:t>
            </a:r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2578204313927493E-2"/>
          <c:y val="0.14215250155586223"/>
          <c:w val="0.93742179568607253"/>
          <c:h val="0.51021267960061689"/>
        </c:manualLayout>
      </c:layout>
      <c:bar3DChart>
        <c:barDir val="col"/>
        <c:grouping val="clustered"/>
        <c:varyColors val="0"/>
        <c:ser>
          <c:idx val="0"/>
          <c:order val="0"/>
          <c:tx>
            <c:v>rok 2015</c:v>
          </c:tx>
          <c:invertIfNegative val="0"/>
          <c:dLbls>
            <c:numFmt formatCode="#,##0.0" sourceLinked="0"/>
            <c:txPr>
              <a:bodyPr/>
              <a:lstStyle/>
              <a:p>
                <a:pPr>
                  <a:defRPr b="1">
                    <a:solidFill>
                      <a:schemeClr val="tx2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'[1]graf_VPP+SÚPM+REK'!$B$7:$B$21</c:f>
              <c:strCache>
                <c:ptCount val="15"/>
                <c:pt idx="0">
                  <c:v>Praha</c:v>
                </c:pt>
                <c:pt idx="1">
                  <c:v>Středočeský kraj</c:v>
                </c:pt>
                <c:pt idx="2">
                  <c:v>Jihočeský kraj</c:v>
                </c:pt>
                <c:pt idx="3">
                  <c:v>Plzeňský kraj</c:v>
                </c:pt>
                <c:pt idx="4">
                  <c:v>Karlovarský kraj</c:v>
                </c:pt>
                <c:pt idx="5">
                  <c:v>Ústecký kraj</c:v>
                </c:pt>
                <c:pt idx="6">
                  <c:v>Liberecký kraj</c:v>
                </c:pt>
                <c:pt idx="7">
                  <c:v>Královéhradecký kraj</c:v>
                </c:pt>
                <c:pt idx="8">
                  <c:v>Pardubický kraj</c:v>
                </c:pt>
                <c:pt idx="9">
                  <c:v>Vysočina</c:v>
                </c:pt>
                <c:pt idx="10">
                  <c:v>Jihomoravský kraj</c:v>
                </c:pt>
                <c:pt idx="11">
                  <c:v>Olomoucký kraj</c:v>
                </c:pt>
                <c:pt idx="12">
                  <c:v>Zlínský kraj</c:v>
                </c:pt>
                <c:pt idx="13">
                  <c:v>Moravskoslezský kraj</c:v>
                </c:pt>
                <c:pt idx="14">
                  <c:v>Celkem ČR</c:v>
                </c:pt>
              </c:strCache>
            </c:strRef>
          </c:cat>
          <c:val>
            <c:numRef>
              <c:f>'[1]graf_VPP+SÚPM+REK'!$E$7:$E$21</c:f>
              <c:numCache>
                <c:formatCode>General</c:formatCode>
                <c:ptCount val="15"/>
                <c:pt idx="0">
                  <c:v>0.15098636172371971</c:v>
                </c:pt>
                <c:pt idx="1">
                  <c:v>4.5170185619623817</c:v>
                </c:pt>
                <c:pt idx="2">
                  <c:v>6.8515337423312879</c:v>
                </c:pt>
                <c:pt idx="3">
                  <c:v>4.5145128791591782</c:v>
                </c:pt>
                <c:pt idx="4">
                  <c:v>5.7963014076731989</c:v>
                </c:pt>
                <c:pt idx="5">
                  <c:v>7.4593894612557374</c:v>
                </c:pt>
                <c:pt idx="6">
                  <c:v>7.2709013306552857</c:v>
                </c:pt>
                <c:pt idx="7">
                  <c:v>6.4263837234740757</c:v>
                </c:pt>
                <c:pt idx="8">
                  <c:v>9.2007001166861144</c:v>
                </c:pt>
                <c:pt idx="9">
                  <c:v>6.0316815597075548</c:v>
                </c:pt>
                <c:pt idx="10">
                  <c:v>4.9688989123713219</c:v>
                </c:pt>
                <c:pt idx="11">
                  <c:v>6.3771687368876755</c:v>
                </c:pt>
                <c:pt idx="12">
                  <c:v>6.2404222714115445</c:v>
                </c:pt>
                <c:pt idx="13">
                  <c:v>3.8111946071389102</c:v>
                </c:pt>
                <c:pt idx="14">
                  <c:v>5.2187207377525704</c:v>
                </c:pt>
              </c:numCache>
            </c:numRef>
          </c:val>
        </c:ser>
        <c:ser>
          <c:idx val="1"/>
          <c:order val="1"/>
          <c:tx>
            <c:v>rok 2016</c:v>
          </c:tx>
          <c:invertIfNegative val="0"/>
          <c:dLbls>
            <c:numFmt formatCode="#,##0.0" sourceLinked="0"/>
            <c:txPr>
              <a:bodyPr/>
              <a:lstStyle/>
              <a:p>
                <a:pPr>
                  <a:defRPr b="1">
                    <a:solidFill>
                      <a:srgbClr val="C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'[1]graf_VPP+SÚPM+REK'!$B$7:$B$21</c:f>
              <c:strCache>
                <c:ptCount val="15"/>
                <c:pt idx="0">
                  <c:v>Praha</c:v>
                </c:pt>
                <c:pt idx="1">
                  <c:v>Středočeský kraj</c:v>
                </c:pt>
                <c:pt idx="2">
                  <c:v>Jihočeský kraj</c:v>
                </c:pt>
                <c:pt idx="3">
                  <c:v>Plzeňský kraj</c:v>
                </c:pt>
                <c:pt idx="4">
                  <c:v>Karlovarský kraj</c:v>
                </c:pt>
                <c:pt idx="5">
                  <c:v>Ústecký kraj</c:v>
                </c:pt>
                <c:pt idx="6">
                  <c:v>Liberecký kraj</c:v>
                </c:pt>
                <c:pt idx="7">
                  <c:v>Královéhradecký kraj</c:v>
                </c:pt>
                <c:pt idx="8">
                  <c:v>Pardubický kraj</c:v>
                </c:pt>
                <c:pt idx="9">
                  <c:v>Vysočina</c:v>
                </c:pt>
                <c:pt idx="10">
                  <c:v>Jihomoravský kraj</c:v>
                </c:pt>
                <c:pt idx="11">
                  <c:v>Olomoucký kraj</c:v>
                </c:pt>
                <c:pt idx="12">
                  <c:v>Zlínský kraj</c:v>
                </c:pt>
                <c:pt idx="13">
                  <c:v>Moravskoslezský kraj</c:v>
                </c:pt>
                <c:pt idx="14">
                  <c:v>Celkem ČR</c:v>
                </c:pt>
              </c:strCache>
            </c:strRef>
          </c:cat>
          <c:val>
            <c:numRef>
              <c:f>'[1]graf_VPP+SÚPM+REK'!$N$7:$N$21</c:f>
              <c:numCache>
                <c:formatCode>General</c:formatCode>
                <c:ptCount val="15"/>
                <c:pt idx="0">
                  <c:v>0.21670037561398442</c:v>
                </c:pt>
                <c:pt idx="1">
                  <c:v>4.4864573639614047</c:v>
                </c:pt>
                <c:pt idx="2">
                  <c:v>7.1002252252252251</c:v>
                </c:pt>
                <c:pt idx="3">
                  <c:v>4.751676104927423</c:v>
                </c:pt>
                <c:pt idx="4">
                  <c:v>6.4242323375218442</c:v>
                </c:pt>
                <c:pt idx="5">
                  <c:v>6.6276511672611544</c:v>
                </c:pt>
                <c:pt idx="6">
                  <c:v>7.4900972272236226</c:v>
                </c:pt>
                <c:pt idx="7">
                  <c:v>5.9291792478726322</c:v>
                </c:pt>
                <c:pt idx="8">
                  <c:v>7.7107753142211548</c:v>
                </c:pt>
                <c:pt idx="9">
                  <c:v>5.9942124844977265</c:v>
                </c:pt>
                <c:pt idx="10">
                  <c:v>3.4380715562771011</c:v>
                </c:pt>
                <c:pt idx="11">
                  <c:v>6.4987207242668763</c:v>
                </c:pt>
                <c:pt idx="12">
                  <c:v>5.9989754098360661</c:v>
                </c:pt>
                <c:pt idx="13">
                  <c:v>3.8308060654429368</c:v>
                </c:pt>
                <c:pt idx="14">
                  <c:v>4.8865561144375169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box"/>
        <c:axId val="264899584"/>
        <c:axId val="264942336"/>
        <c:axId val="0"/>
      </c:bar3DChart>
      <c:catAx>
        <c:axId val="264899584"/>
        <c:scaling>
          <c:orientation val="minMax"/>
        </c:scaling>
        <c:delete val="0"/>
        <c:axPos val="b"/>
        <c:majorTickMark val="none"/>
        <c:minorTickMark val="none"/>
        <c:tickLblPos val="nextTo"/>
        <c:crossAx val="264942336"/>
        <c:crosses val="autoZero"/>
        <c:auto val="1"/>
        <c:lblAlgn val="ctr"/>
        <c:lblOffset val="100"/>
        <c:noMultiLvlLbl val="0"/>
      </c:catAx>
      <c:valAx>
        <c:axId val="2649423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26489958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2979406086635865"/>
          <c:y val="0.92822041993003479"/>
          <c:w val="0.53768777249951194"/>
          <c:h val="4.9763763352506166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200"/>
              <a:t>SÚPM - podíl umístěných uchazečů </a:t>
            </a:r>
          </a:p>
          <a:p>
            <a:pPr>
              <a:defRPr/>
            </a:pPr>
            <a:r>
              <a:rPr lang="cs-CZ" sz="1200"/>
              <a:t>k</a:t>
            </a:r>
            <a:r>
              <a:rPr lang="cs-CZ" sz="1200" baseline="0"/>
              <a:t> uchazečům o zaměstnání </a:t>
            </a:r>
            <a:r>
              <a:rPr lang="cs-CZ" sz="1200" i="1" baseline="0"/>
              <a:t>(v %, k 30. září)</a:t>
            </a:r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v>rok 2015</c:v>
          </c:tx>
          <c:invertIfNegative val="0"/>
          <c:dLbls>
            <c:numFmt formatCode="#,##0.0" sourceLinked="0"/>
            <c:txPr>
              <a:bodyPr/>
              <a:lstStyle/>
              <a:p>
                <a:pPr>
                  <a:defRPr b="1">
                    <a:solidFill>
                      <a:schemeClr val="tx2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'[1]graf_VPP+SÚPM+REK'!$B$7:$B$21</c:f>
              <c:strCache>
                <c:ptCount val="15"/>
                <c:pt idx="0">
                  <c:v>Praha</c:v>
                </c:pt>
                <c:pt idx="1">
                  <c:v>Středočeský kraj</c:v>
                </c:pt>
                <c:pt idx="2">
                  <c:v>Jihočeský kraj</c:v>
                </c:pt>
                <c:pt idx="3">
                  <c:v>Plzeňský kraj</c:v>
                </c:pt>
                <c:pt idx="4">
                  <c:v>Karlovarský kraj</c:v>
                </c:pt>
                <c:pt idx="5">
                  <c:v>Ústecký kraj</c:v>
                </c:pt>
                <c:pt idx="6">
                  <c:v>Liberecký kraj</c:v>
                </c:pt>
                <c:pt idx="7">
                  <c:v>Královéhradecký kraj</c:v>
                </c:pt>
                <c:pt idx="8">
                  <c:v>Pardubický kraj</c:v>
                </c:pt>
                <c:pt idx="9">
                  <c:v>Vysočina</c:v>
                </c:pt>
                <c:pt idx="10">
                  <c:v>Jihomoravský kraj</c:v>
                </c:pt>
                <c:pt idx="11">
                  <c:v>Olomoucký kraj</c:v>
                </c:pt>
                <c:pt idx="12">
                  <c:v>Zlínský kraj</c:v>
                </c:pt>
                <c:pt idx="13">
                  <c:v>Moravskoslezský kraj</c:v>
                </c:pt>
                <c:pt idx="14">
                  <c:v>Celkem ČR</c:v>
                </c:pt>
              </c:strCache>
            </c:strRef>
          </c:cat>
          <c:val>
            <c:numRef>
              <c:f>'[1]graf_VPP+SÚPM+REK'!$G$7:$G$21</c:f>
              <c:numCache>
                <c:formatCode>General</c:formatCode>
                <c:ptCount val="15"/>
                <c:pt idx="0">
                  <c:v>1.2598698052028414</c:v>
                </c:pt>
                <c:pt idx="1">
                  <c:v>3.9943202864551179</c:v>
                </c:pt>
                <c:pt idx="2">
                  <c:v>14.674846625766872</c:v>
                </c:pt>
                <c:pt idx="3">
                  <c:v>3.9481566192887874</c:v>
                </c:pt>
                <c:pt idx="4">
                  <c:v>4.4852332321280706</c:v>
                </c:pt>
                <c:pt idx="5">
                  <c:v>8.4953628763497164</c:v>
                </c:pt>
                <c:pt idx="6">
                  <c:v>4.9560632688927946</c:v>
                </c:pt>
                <c:pt idx="7">
                  <c:v>4.8895208925836799</c:v>
                </c:pt>
                <c:pt idx="8">
                  <c:v>6.0910151691948657</c:v>
                </c:pt>
                <c:pt idx="9">
                  <c:v>7.1334281072298946</c:v>
                </c:pt>
                <c:pt idx="10">
                  <c:v>4.7033574624422538</c:v>
                </c:pt>
                <c:pt idx="11">
                  <c:v>12.751007359552432</c:v>
                </c:pt>
                <c:pt idx="12">
                  <c:v>6.9853567171803164</c:v>
                </c:pt>
                <c:pt idx="13">
                  <c:v>5.9302132832357168</c:v>
                </c:pt>
                <c:pt idx="14">
                  <c:v>6.2030417204759178</c:v>
                </c:pt>
              </c:numCache>
            </c:numRef>
          </c:val>
        </c:ser>
        <c:ser>
          <c:idx val="1"/>
          <c:order val="1"/>
          <c:tx>
            <c:v>rok 2016</c:v>
          </c:tx>
          <c:invertIfNegative val="0"/>
          <c:dLbls>
            <c:numFmt formatCode="#,##0.0" sourceLinked="0"/>
            <c:txPr>
              <a:bodyPr/>
              <a:lstStyle/>
              <a:p>
                <a:pPr>
                  <a:defRPr b="1">
                    <a:solidFill>
                      <a:srgbClr val="C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'[1]graf_VPP+SÚPM+REK'!$B$7:$B$21</c:f>
              <c:strCache>
                <c:ptCount val="15"/>
                <c:pt idx="0">
                  <c:v>Praha</c:v>
                </c:pt>
                <c:pt idx="1">
                  <c:v>Středočeský kraj</c:v>
                </c:pt>
                <c:pt idx="2">
                  <c:v>Jihočeský kraj</c:v>
                </c:pt>
                <c:pt idx="3">
                  <c:v>Plzeňský kraj</c:v>
                </c:pt>
                <c:pt idx="4">
                  <c:v>Karlovarský kraj</c:v>
                </c:pt>
                <c:pt idx="5">
                  <c:v>Ústecký kraj</c:v>
                </c:pt>
                <c:pt idx="6">
                  <c:v>Liberecký kraj</c:v>
                </c:pt>
                <c:pt idx="7">
                  <c:v>Královéhradecký kraj</c:v>
                </c:pt>
                <c:pt idx="8">
                  <c:v>Pardubický kraj</c:v>
                </c:pt>
                <c:pt idx="9">
                  <c:v>Vysočina</c:v>
                </c:pt>
                <c:pt idx="10">
                  <c:v>Jihomoravský kraj</c:v>
                </c:pt>
                <c:pt idx="11">
                  <c:v>Olomoucký kraj</c:v>
                </c:pt>
                <c:pt idx="12">
                  <c:v>Zlínský kraj</c:v>
                </c:pt>
                <c:pt idx="13">
                  <c:v>Moravskoslezský kraj</c:v>
                </c:pt>
                <c:pt idx="14">
                  <c:v>Celkem ČR</c:v>
                </c:pt>
              </c:strCache>
            </c:strRef>
          </c:cat>
          <c:val>
            <c:numRef>
              <c:f>'[1]graf_VPP+SÚPM+REK'!$P$7:$P$21</c:f>
              <c:numCache>
                <c:formatCode>General</c:formatCode>
                <c:ptCount val="15"/>
                <c:pt idx="0">
                  <c:v>1.8694019069633057</c:v>
                </c:pt>
                <c:pt idx="1">
                  <c:v>2.5566929519518049</c:v>
                </c:pt>
                <c:pt idx="2">
                  <c:v>2.9110360360360361</c:v>
                </c:pt>
                <c:pt idx="3">
                  <c:v>2.9942068606391983</c:v>
                </c:pt>
                <c:pt idx="4">
                  <c:v>1.8140966963468421</c:v>
                </c:pt>
                <c:pt idx="5">
                  <c:v>4.8869048890407738</c:v>
                </c:pt>
                <c:pt idx="6">
                  <c:v>5.8756451806505821</c:v>
                </c:pt>
                <c:pt idx="7">
                  <c:v>2.9302772440296461</c:v>
                </c:pt>
                <c:pt idx="8">
                  <c:v>3.6576754695664451</c:v>
                </c:pt>
                <c:pt idx="9">
                  <c:v>4.6536349140731117</c:v>
                </c:pt>
                <c:pt idx="10">
                  <c:v>2.45371036353548</c:v>
                </c:pt>
                <c:pt idx="11">
                  <c:v>6.2625467427671726</c:v>
                </c:pt>
                <c:pt idx="12">
                  <c:v>5.2407786885245899</c:v>
                </c:pt>
                <c:pt idx="13">
                  <c:v>3.6512370311252993</c:v>
                </c:pt>
                <c:pt idx="14">
                  <c:v>3.6226362639455925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box"/>
        <c:axId val="265136768"/>
        <c:axId val="265154944"/>
        <c:axId val="0"/>
      </c:bar3DChart>
      <c:catAx>
        <c:axId val="265136768"/>
        <c:scaling>
          <c:orientation val="minMax"/>
        </c:scaling>
        <c:delete val="0"/>
        <c:axPos val="b"/>
        <c:majorTickMark val="none"/>
        <c:minorTickMark val="none"/>
        <c:tickLblPos val="nextTo"/>
        <c:crossAx val="265154944"/>
        <c:crosses val="autoZero"/>
        <c:auto val="1"/>
        <c:lblAlgn val="ctr"/>
        <c:lblOffset val="100"/>
        <c:noMultiLvlLbl val="0"/>
      </c:catAx>
      <c:valAx>
        <c:axId val="2651549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26513676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86A3C-B0D8-4820-ADC1-F7317624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20</Pages>
  <Words>5312</Words>
  <Characters>31347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Dudek Pavel Mgr. (MPSV)</dc:creator>
  <cp:lastModifiedBy>Dudek Pavel Mgr. (MPSV)</cp:lastModifiedBy>
  <cp:revision>8</cp:revision>
  <cp:lastPrinted>2016-11-04T08:42:00Z</cp:lastPrinted>
  <dcterms:created xsi:type="dcterms:W3CDTF">2016-11-03T14:23:00Z</dcterms:created>
  <dcterms:modified xsi:type="dcterms:W3CDTF">2016-11-23T13:42:00Z</dcterms:modified>
</cp:coreProperties>
</file>