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13" w:rsidRDefault="00184D13" w:rsidP="00484D3B">
      <w:pPr>
        <w:spacing w:line="240" w:lineRule="auto"/>
        <w:jc w:val="center"/>
      </w:pPr>
      <w:bookmarkStart w:id="0" w:name="_GoBack"/>
      <w:r>
        <w:rPr>
          <w:noProof/>
          <w:lang w:eastAsia="cs-CZ"/>
        </w:rPr>
        <w:drawing>
          <wp:inline distT="0" distB="0" distL="0" distR="0" wp14:anchorId="40F4D7C3" wp14:editId="0C063CAB">
            <wp:extent cx="1009650" cy="971550"/>
            <wp:effectExtent l="0" t="0" r="0" b="0"/>
            <wp:docPr id="519" name="Obrázek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bookmarkEnd w:id="0"/>
    </w:p>
    <w:p w:rsidR="00184D13" w:rsidRDefault="00184D13" w:rsidP="00484D3B">
      <w:pPr>
        <w:spacing w:line="240" w:lineRule="auto"/>
        <w:jc w:val="center"/>
      </w:pPr>
    </w:p>
    <w:p w:rsidR="00184D13" w:rsidRDefault="00184D13" w:rsidP="00484D3B">
      <w:pPr>
        <w:spacing w:line="240" w:lineRule="auto"/>
        <w:jc w:val="center"/>
      </w:pPr>
    </w:p>
    <w:p w:rsidR="00184D13" w:rsidRDefault="00184D13" w:rsidP="00484D3B">
      <w:pPr>
        <w:spacing w:line="240" w:lineRule="auto"/>
        <w:jc w:val="center"/>
      </w:pPr>
    </w:p>
    <w:p w:rsidR="00184D13" w:rsidRPr="006C25CB" w:rsidRDefault="00184D13" w:rsidP="00484D3B">
      <w:pPr>
        <w:spacing w:line="240" w:lineRule="auto"/>
        <w:ind w:firstLine="1"/>
        <w:jc w:val="center"/>
        <w:rPr>
          <w:caps/>
          <w:spacing w:val="60"/>
        </w:rPr>
      </w:pPr>
      <w:r w:rsidRPr="006C25CB">
        <w:rPr>
          <w:caps/>
          <w:spacing w:val="60"/>
        </w:rPr>
        <w:t>Ministerstvo práce a sociálních věcí</w:t>
      </w:r>
    </w:p>
    <w:p w:rsidR="00184D13" w:rsidRDefault="00184D13" w:rsidP="00484D3B">
      <w:pPr>
        <w:spacing w:line="240" w:lineRule="auto"/>
        <w:jc w:val="center"/>
      </w:pPr>
      <w:r w:rsidRPr="006C25CB">
        <w:rPr>
          <w:noProof/>
          <w:lang w:eastAsia="cs-CZ"/>
        </w:rPr>
        <mc:AlternateContent>
          <mc:Choice Requires="wps">
            <w:drawing>
              <wp:anchor distT="0" distB="0" distL="114300" distR="114300" simplePos="0" relativeHeight="251659264" behindDoc="0" locked="0" layoutInCell="0" allowOverlap="1" wp14:anchorId="66522404" wp14:editId="783C9A9F">
                <wp:simplePos x="0" y="0"/>
                <wp:positionH relativeFrom="column">
                  <wp:posOffset>-61595</wp:posOffset>
                </wp:positionH>
                <wp:positionV relativeFrom="paragraph">
                  <wp:posOffset>104140</wp:posOffset>
                </wp:positionV>
                <wp:extent cx="6111875" cy="0"/>
                <wp:effectExtent l="0" t="0" r="22225" b="19050"/>
                <wp:wrapNone/>
                <wp:docPr id="31" name="Přímá spojnic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8.2pt" to="476.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" o:allowincell="f"/>
            </w:pict>
          </mc:Fallback>
        </mc:AlternateContent>
      </w:r>
    </w:p>
    <w:p w:rsidR="00184D13" w:rsidRDefault="00184D13" w:rsidP="00484D3B">
      <w:pPr>
        <w:spacing w:line="240" w:lineRule="auto"/>
      </w:pPr>
    </w:p>
    <w:p w:rsidR="00184D13" w:rsidRDefault="00184D13" w:rsidP="00484D3B">
      <w:pPr>
        <w:spacing w:line="240" w:lineRule="auto"/>
      </w:pPr>
    </w:p>
    <w:p w:rsidR="00184D13" w:rsidRDefault="00184D13" w:rsidP="00484D3B">
      <w:pPr>
        <w:spacing w:line="240" w:lineRule="auto"/>
      </w:pPr>
    </w:p>
    <w:p w:rsidR="00184D13" w:rsidRPr="00B333BD" w:rsidRDefault="00184D13" w:rsidP="00484D3B">
      <w:pPr>
        <w:spacing w:line="240" w:lineRule="auto"/>
      </w:pPr>
    </w:p>
    <w:p w:rsidR="00184D13" w:rsidRPr="00B333BD" w:rsidRDefault="00184D13" w:rsidP="00484D3B">
      <w:pPr>
        <w:spacing w:line="240" w:lineRule="auto"/>
        <w:jc w:val="center"/>
        <w:rPr>
          <w:b/>
          <w:sz w:val="36"/>
        </w:rPr>
      </w:pPr>
      <w:r>
        <w:rPr>
          <w:b/>
          <w:sz w:val="36"/>
        </w:rPr>
        <w:t>ANALÝZA NABÍDKY A POPTÁVKY NA TRHU PRÁCE</w:t>
      </w:r>
    </w:p>
    <w:p w:rsidR="00184D13" w:rsidRDefault="00184D13" w:rsidP="00484D3B">
      <w:pPr>
        <w:spacing w:line="240" w:lineRule="auto"/>
        <w:jc w:val="center"/>
        <w:rPr>
          <w:b/>
          <w:sz w:val="36"/>
        </w:rPr>
      </w:pPr>
    </w:p>
    <w:p w:rsidR="00184D13" w:rsidRDefault="00184D13" w:rsidP="00484D3B">
      <w:pPr>
        <w:spacing w:line="240" w:lineRule="auto"/>
        <w:jc w:val="center"/>
        <w:rPr>
          <w:b/>
          <w:sz w:val="36"/>
        </w:rPr>
      </w:pPr>
    </w:p>
    <w:p w:rsidR="00184D13" w:rsidRPr="00B333BD" w:rsidRDefault="00184D13" w:rsidP="00484D3B">
      <w:pPr>
        <w:spacing w:line="240" w:lineRule="auto"/>
        <w:jc w:val="center"/>
        <w:rPr>
          <w:b/>
          <w:sz w:val="36"/>
        </w:rPr>
      </w:pPr>
      <w:r>
        <w:rPr>
          <w:b/>
          <w:sz w:val="36"/>
        </w:rPr>
        <w:t>Průběžná zpráva – stav k 31. 12. 2016</w:t>
      </w:r>
    </w:p>
    <w:p w:rsidR="00184D13" w:rsidRPr="00B333BD" w:rsidRDefault="00184D13" w:rsidP="00484D3B">
      <w:pPr>
        <w:spacing w:line="240" w:lineRule="auto"/>
        <w:jc w:val="center"/>
        <w:rPr>
          <w:b/>
          <w:sz w:val="36"/>
        </w:rPr>
      </w:pPr>
    </w:p>
    <w:p w:rsidR="00184D13" w:rsidRPr="00B333BD" w:rsidRDefault="00184D13" w:rsidP="00484D3B">
      <w:pPr>
        <w:spacing w:line="240" w:lineRule="auto"/>
        <w:jc w:val="center"/>
        <w:rPr>
          <w:b/>
          <w:sz w:val="36"/>
        </w:rPr>
      </w:pPr>
    </w:p>
    <w:p w:rsidR="00184D13" w:rsidRDefault="00184D13" w:rsidP="00484D3B">
      <w:pPr>
        <w:spacing w:line="240" w:lineRule="auto"/>
        <w:jc w:val="center"/>
        <w:rPr>
          <w:b/>
          <w:sz w:val="36"/>
        </w:rPr>
      </w:pPr>
      <w:r>
        <w:rPr>
          <w:b/>
          <w:sz w:val="36"/>
        </w:rPr>
        <w:t>únor 2017</w:t>
      </w:r>
    </w:p>
    <w:p w:rsidR="00153127" w:rsidRDefault="00184D13" w:rsidP="00484D3B">
      <w:pPr>
        <w:spacing w:after="200" w:line="240" w:lineRule="auto"/>
        <w:jc w:val="left"/>
        <w:rPr>
          <w:b/>
          <w:sz w:val="36"/>
        </w:rPr>
        <w:sectPr w:rsidR="00153127" w:rsidSect="00AB7C96">
          <w:footerReference w:type="default" r:id="rId10"/>
          <w:headerReference w:type="first" r:id="rId11"/>
          <w:pgSz w:w="11906" w:h="16838"/>
          <w:pgMar w:top="1417" w:right="1417" w:bottom="1417" w:left="1417" w:header="708" w:footer="708" w:gutter="0"/>
          <w:pgNumType w:fmt="lowerRoman" w:start="1"/>
          <w:cols w:space="708"/>
          <w:titlePg/>
          <w:docGrid w:linePitch="360"/>
        </w:sectPr>
      </w:pPr>
      <w:r>
        <w:rPr>
          <w:b/>
          <w:sz w:val="36"/>
        </w:rPr>
        <w:br w:type="page"/>
      </w:r>
    </w:p>
    <w:p w:rsidR="00184D13" w:rsidRDefault="00184D13" w:rsidP="00484D3B">
      <w:pPr>
        <w:spacing w:after="200" w:line="240" w:lineRule="auto"/>
        <w:jc w:val="left"/>
        <w:rPr>
          <w:b/>
          <w:sz w:val="36"/>
        </w:rPr>
      </w:pPr>
    </w:p>
    <w:sdt>
      <w:sdtPr>
        <w:rPr>
          <w:rFonts w:ascii="Arial" w:eastAsiaTheme="minorHAnsi" w:hAnsi="Arial" w:cstheme="minorBidi"/>
          <w:b w:val="0"/>
          <w:bCs w:val="0"/>
          <w:color w:val="auto"/>
          <w:sz w:val="24"/>
          <w:szCs w:val="22"/>
          <w:lang w:eastAsia="en-US"/>
        </w:rPr>
        <w:id w:val="-1822725733"/>
        <w:docPartObj>
          <w:docPartGallery w:val="Table of Contents"/>
          <w:docPartUnique/>
        </w:docPartObj>
      </w:sdtPr>
      <w:sdtEndPr/>
      <w:sdtContent>
        <w:p w:rsidR="00153127" w:rsidRDefault="00153127">
          <w:pPr>
            <w:pStyle w:val="Nadpisobsahu"/>
          </w:pPr>
          <w:r>
            <w:t>Obsah</w:t>
          </w:r>
        </w:p>
        <w:p w:rsidR="000D7385" w:rsidRDefault="00153127">
          <w:pPr>
            <w:pStyle w:val="Obsah1"/>
            <w:tabs>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76556220" w:history="1">
            <w:r w:rsidR="000D7385" w:rsidRPr="00C26ADF">
              <w:rPr>
                <w:rStyle w:val="Hypertextovodkaz"/>
                <w:noProof/>
                <w:lang w:eastAsia="cs-CZ"/>
              </w:rPr>
              <w:t>Seznam grafů, tabulek a zkratek</w:t>
            </w:r>
            <w:r w:rsidR="000D7385">
              <w:rPr>
                <w:noProof/>
                <w:webHidden/>
              </w:rPr>
              <w:tab/>
            </w:r>
            <w:r w:rsidR="000D7385">
              <w:rPr>
                <w:noProof/>
                <w:webHidden/>
              </w:rPr>
              <w:fldChar w:fldCharType="begin"/>
            </w:r>
            <w:r w:rsidR="000D7385">
              <w:rPr>
                <w:noProof/>
                <w:webHidden/>
              </w:rPr>
              <w:instrText xml:space="preserve"> PAGEREF _Toc476556220 \h </w:instrText>
            </w:r>
            <w:r w:rsidR="000D7385">
              <w:rPr>
                <w:noProof/>
                <w:webHidden/>
              </w:rPr>
            </w:r>
            <w:r w:rsidR="000D7385">
              <w:rPr>
                <w:noProof/>
                <w:webHidden/>
              </w:rPr>
              <w:fldChar w:fldCharType="separate"/>
            </w:r>
            <w:r w:rsidR="004A5D48">
              <w:rPr>
                <w:noProof/>
                <w:webHidden/>
              </w:rPr>
              <w:t>i</w:t>
            </w:r>
            <w:r w:rsidR="000D7385">
              <w:rPr>
                <w:noProof/>
                <w:webHidden/>
              </w:rPr>
              <w:fldChar w:fldCharType="end"/>
            </w:r>
          </w:hyperlink>
        </w:p>
        <w:p w:rsidR="000D7385" w:rsidRDefault="00AB7C96">
          <w:pPr>
            <w:pStyle w:val="Obsah1"/>
            <w:tabs>
              <w:tab w:val="left" w:pos="993"/>
              <w:tab w:val="right" w:leader="dot" w:pos="9062"/>
            </w:tabs>
            <w:rPr>
              <w:rFonts w:asciiTheme="minorHAnsi" w:eastAsiaTheme="minorEastAsia" w:hAnsiTheme="minorHAnsi"/>
              <w:noProof/>
              <w:sz w:val="22"/>
              <w:lang w:eastAsia="cs-CZ"/>
            </w:rPr>
          </w:pPr>
          <w:hyperlink w:anchor="_Toc476556221" w:history="1">
            <w:r w:rsidR="000D7385" w:rsidRPr="00C26ADF">
              <w:rPr>
                <w:rStyle w:val="Hypertextovodkaz"/>
                <w:noProof/>
              </w:rPr>
              <w:t>A)</w:t>
            </w:r>
            <w:r w:rsidR="000D7385">
              <w:rPr>
                <w:rFonts w:asciiTheme="minorHAnsi" w:eastAsiaTheme="minorEastAsia" w:hAnsiTheme="minorHAnsi"/>
                <w:noProof/>
                <w:sz w:val="22"/>
                <w:lang w:eastAsia="cs-CZ"/>
              </w:rPr>
              <w:tab/>
            </w:r>
            <w:r w:rsidR="000D7385" w:rsidRPr="00C26ADF">
              <w:rPr>
                <w:rStyle w:val="Hypertextovodkaz"/>
                <w:noProof/>
              </w:rPr>
              <w:t>Analýza nabídky a poptávky</w:t>
            </w:r>
            <w:r w:rsidR="000D7385">
              <w:rPr>
                <w:noProof/>
                <w:webHidden/>
              </w:rPr>
              <w:tab/>
            </w:r>
            <w:r w:rsidR="000D7385">
              <w:rPr>
                <w:noProof/>
                <w:webHidden/>
              </w:rPr>
              <w:fldChar w:fldCharType="begin"/>
            </w:r>
            <w:r w:rsidR="000D7385">
              <w:rPr>
                <w:noProof/>
                <w:webHidden/>
              </w:rPr>
              <w:instrText xml:space="preserve"> PAGEREF _Toc476556221 \h </w:instrText>
            </w:r>
            <w:r w:rsidR="000D7385">
              <w:rPr>
                <w:noProof/>
                <w:webHidden/>
              </w:rPr>
            </w:r>
            <w:r w:rsidR="000D7385">
              <w:rPr>
                <w:noProof/>
                <w:webHidden/>
              </w:rPr>
              <w:fldChar w:fldCharType="separate"/>
            </w:r>
            <w:r w:rsidR="004A5D48">
              <w:rPr>
                <w:noProof/>
                <w:webHidden/>
              </w:rPr>
              <w:t>1</w:t>
            </w:r>
            <w:r w:rsidR="000D7385">
              <w:rPr>
                <w:noProof/>
                <w:webHidden/>
              </w:rPr>
              <w:fldChar w:fldCharType="end"/>
            </w:r>
          </w:hyperlink>
        </w:p>
        <w:p w:rsidR="000D7385" w:rsidRDefault="00AB7C96">
          <w:pPr>
            <w:pStyle w:val="Obsah2"/>
            <w:rPr>
              <w:rFonts w:asciiTheme="minorHAnsi" w:eastAsiaTheme="minorEastAsia" w:hAnsiTheme="minorHAnsi"/>
              <w:noProof/>
              <w:sz w:val="22"/>
              <w:lang w:eastAsia="cs-CZ"/>
            </w:rPr>
          </w:pPr>
          <w:hyperlink w:anchor="_Toc476556222" w:history="1">
            <w:r w:rsidR="000D7385" w:rsidRPr="00C26ADF">
              <w:rPr>
                <w:rStyle w:val="Hypertextovodkaz"/>
                <w:noProof/>
              </w:rPr>
              <w:t>1.</w:t>
            </w:r>
            <w:r w:rsidR="000D7385">
              <w:rPr>
                <w:rFonts w:asciiTheme="minorHAnsi" w:eastAsiaTheme="minorEastAsia" w:hAnsiTheme="minorHAnsi"/>
                <w:noProof/>
                <w:sz w:val="22"/>
                <w:lang w:eastAsia="cs-CZ"/>
              </w:rPr>
              <w:tab/>
            </w:r>
            <w:r w:rsidR="000D7385" w:rsidRPr="00C26ADF">
              <w:rPr>
                <w:rStyle w:val="Hypertextovodkaz"/>
                <w:noProof/>
              </w:rPr>
              <w:t>Situace na trhu práce k 31. 12. 2016</w:t>
            </w:r>
            <w:r w:rsidR="000D7385">
              <w:rPr>
                <w:noProof/>
                <w:webHidden/>
              </w:rPr>
              <w:tab/>
            </w:r>
            <w:r w:rsidR="000D7385">
              <w:rPr>
                <w:noProof/>
                <w:webHidden/>
              </w:rPr>
              <w:fldChar w:fldCharType="begin"/>
            </w:r>
            <w:r w:rsidR="000D7385">
              <w:rPr>
                <w:noProof/>
                <w:webHidden/>
              </w:rPr>
              <w:instrText xml:space="preserve"> PAGEREF _Toc476556222 \h </w:instrText>
            </w:r>
            <w:r w:rsidR="000D7385">
              <w:rPr>
                <w:noProof/>
                <w:webHidden/>
              </w:rPr>
            </w:r>
            <w:r w:rsidR="000D7385">
              <w:rPr>
                <w:noProof/>
                <w:webHidden/>
              </w:rPr>
              <w:fldChar w:fldCharType="separate"/>
            </w:r>
            <w:r w:rsidR="004A5D48">
              <w:rPr>
                <w:noProof/>
                <w:webHidden/>
              </w:rPr>
              <w:t>1</w:t>
            </w:r>
            <w:r w:rsidR="000D7385">
              <w:rPr>
                <w:noProof/>
                <w:webHidden/>
              </w:rPr>
              <w:fldChar w:fldCharType="end"/>
            </w:r>
          </w:hyperlink>
        </w:p>
        <w:p w:rsidR="000D7385" w:rsidRDefault="00AB7C96">
          <w:pPr>
            <w:pStyle w:val="Obsah2"/>
            <w:rPr>
              <w:rFonts w:asciiTheme="minorHAnsi" w:eastAsiaTheme="minorEastAsia" w:hAnsiTheme="minorHAnsi"/>
              <w:noProof/>
              <w:sz w:val="22"/>
              <w:lang w:eastAsia="cs-CZ"/>
            </w:rPr>
          </w:pPr>
          <w:hyperlink w:anchor="_Toc476556223" w:history="1">
            <w:r w:rsidR="000D7385" w:rsidRPr="00C26ADF">
              <w:rPr>
                <w:rStyle w:val="Hypertextovodkaz"/>
                <w:noProof/>
              </w:rPr>
              <w:t>2.</w:t>
            </w:r>
            <w:r w:rsidR="000D7385">
              <w:rPr>
                <w:rFonts w:asciiTheme="minorHAnsi" w:eastAsiaTheme="minorEastAsia" w:hAnsiTheme="minorHAnsi"/>
                <w:noProof/>
                <w:sz w:val="22"/>
                <w:lang w:eastAsia="cs-CZ"/>
              </w:rPr>
              <w:tab/>
            </w:r>
            <w:r w:rsidR="000D7385" w:rsidRPr="00C26ADF">
              <w:rPr>
                <w:rStyle w:val="Hypertextovodkaz"/>
                <w:noProof/>
              </w:rPr>
              <w:t>Volná pracovní místa a jejich neobsazenost</w:t>
            </w:r>
            <w:r w:rsidR="000D7385">
              <w:rPr>
                <w:noProof/>
                <w:webHidden/>
              </w:rPr>
              <w:tab/>
            </w:r>
            <w:r w:rsidR="000D7385">
              <w:rPr>
                <w:noProof/>
                <w:webHidden/>
              </w:rPr>
              <w:fldChar w:fldCharType="begin"/>
            </w:r>
            <w:r w:rsidR="000D7385">
              <w:rPr>
                <w:noProof/>
                <w:webHidden/>
              </w:rPr>
              <w:instrText xml:space="preserve"> PAGEREF _Toc476556223 \h </w:instrText>
            </w:r>
            <w:r w:rsidR="000D7385">
              <w:rPr>
                <w:noProof/>
                <w:webHidden/>
              </w:rPr>
            </w:r>
            <w:r w:rsidR="000D7385">
              <w:rPr>
                <w:noProof/>
                <w:webHidden/>
              </w:rPr>
              <w:fldChar w:fldCharType="separate"/>
            </w:r>
            <w:r w:rsidR="004A5D48">
              <w:rPr>
                <w:noProof/>
                <w:webHidden/>
              </w:rPr>
              <w:t>3</w:t>
            </w:r>
            <w:r w:rsidR="000D7385">
              <w:rPr>
                <w:noProof/>
                <w:webHidden/>
              </w:rPr>
              <w:fldChar w:fldCharType="end"/>
            </w:r>
          </w:hyperlink>
        </w:p>
        <w:p w:rsidR="000D7385" w:rsidRDefault="00AB7C96">
          <w:pPr>
            <w:pStyle w:val="Obsah3"/>
            <w:tabs>
              <w:tab w:val="left" w:pos="1320"/>
              <w:tab w:val="right" w:leader="dot" w:pos="9062"/>
            </w:tabs>
            <w:rPr>
              <w:rFonts w:asciiTheme="minorHAnsi" w:eastAsiaTheme="minorEastAsia" w:hAnsiTheme="minorHAnsi"/>
              <w:noProof/>
              <w:sz w:val="22"/>
              <w:lang w:eastAsia="cs-CZ"/>
            </w:rPr>
          </w:pPr>
          <w:hyperlink w:anchor="_Toc476556224" w:history="1">
            <w:r w:rsidR="000D7385" w:rsidRPr="00C26ADF">
              <w:rPr>
                <w:rStyle w:val="Hypertextovodkaz"/>
                <w:noProof/>
                <w14:scene3d>
                  <w14:camera w14:prst="orthographicFront"/>
                  <w14:lightRig w14:rig="threePt" w14:dir="t">
                    <w14:rot w14:lat="0" w14:lon="0" w14:rev="0"/>
                  </w14:lightRig>
                </w14:scene3d>
              </w:rPr>
              <w:t>2.1.</w:t>
            </w:r>
            <w:r w:rsidR="000D7385">
              <w:rPr>
                <w:rFonts w:asciiTheme="minorHAnsi" w:eastAsiaTheme="minorEastAsia" w:hAnsiTheme="minorHAnsi"/>
                <w:noProof/>
                <w:sz w:val="22"/>
                <w:lang w:eastAsia="cs-CZ"/>
              </w:rPr>
              <w:tab/>
            </w:r>
            <w:r w:rsidR="000D7385" w:rsidRPr="00C26ADF">
              <w:rPr>
                <w:rStyle w:val="Hypertextovodkaz"/>
                <w:noProof/>
              </w:rPr>
              <w:t>Struktura VPM podle zaměstnání</w:t>
            </w:r>
            <w:r w:rsidR="000D7385">
              <w:rPr>
                <w:noProof/>
                <w:webHidden/>
              </w:rPr>
              <w:tab/>
            </w:r>
            <w:r w:rsidR="000D7385">
              <w:rPr>
                <w:noProof/>
                <w:webHidden/>
              </w:rPr>
              <w:fldChar w:fldCharType="begin"/>
            </w:r>
            <w:r w:rsidR="000D7385">
              <w:rPr>
                <w:noProof/>
                <w:webHidden/>
              </w:rPr>
              <w:instrText xml:space="preserve"> PAGEREF _Toc476556224 \h </w:instrText>
            </w:r>
            <w:r w:rsidR="000D7385">
              <w:rPr>
                <w:noProof/>
                <w:webHidden/>
              </w:rPr>
            </w:r>
            <w:r w:rsidR="000D7385">
              <w:rPr>
                <w:noProof/>
                <w:webHidden/>
              </w:rPr>
              <w:fldChar w:fldCharType="separate"/>
            </w:r>
            <w:r w:rsidR="004A5D48">
              <w:rPr>
                <w:noProof/>
                <w:webHidden/>
              </w:rPr>
              <w:t>4</w:t>
            </w:r>
            <w:r w:rsidR="000D7385">
              <w:rPr>
                <w:noProof/>
                <w:webHidden/>
              </w:rPr>
              <w:fldChar w:fldCharType="end"/>
            </w:r>
          </w:hyperlink>
        </w:p>
        <w:p w:rsidR="000D7385" w:rsidRDefault="00AB7C96">
          <w:pPr>
            <w:pStyle w:val="Obsah3"/>
            <w:tabs>
              <w:tab w:val="left" w:pos="1320"/>
              <w:tab w:val="right" w:leader="dot" w:pos="9062"/>
            </w:tabs>
            <w:rPr>
              <w:rFonts w:asciiTheme="minorHAnsi" w:eastAsiaTheme="minorEastAsia" w:hAnsiTheme="minorHAnsi"/>
              <w:noProof/>
              <w:sz w:val="22"/>
              <w:lang w:eastAsia="cs-CZ"/>
            </w:rPr>
          </w:pPr>
          <w:hyperlink w:anchor="_Toc476556225" w:history="1">
            <w:r w:rsidR="000D7385" w:rsidRPr="00C26ADF">
              <w:rPr>
                <w:rStyle w:val="Hypertextovodkaz"/>
                <w:noProof/>
                <w14:scene3d>
                  <w14:camera w14:prst="orthographicFront"/>
                  <w14:lightRig w14:rig="threePt" w14:dir="t">
                    <w14:rot w14:lat="0" w14:lon="0" w14:rev="0"/>
                  </w14:lightRig>
                </w14:scene3d>
              </w:rPr>
              <w:t>2.2.</w:t>
            </w:r>
            <w:r w:rsidR="000D7385">
              <w:rPr>
                <w:rFonts w:asciiTheme="minorHAnsi" w:eastAsiaTheme="minorEastAsia" w:hAnsiTheme="minorHAnsi"/>
                <w:noProof/>
                <w:sz w:val="22"/>
                <w:lang w:eastAsia="cs-CZ"/>
              </w:rPr>
              <w:tab/>
            </w:r>
            <w:r w:rsidR="000D7385" w:rsidRPr="00C26ADF">
              <w:rPr>
                <w:rStyle w:val="Hypertextovodkaz"/>
                <w:noProof/>
              </w:rPr>
              <w:t>Struktura VPM podle vzdělání</w:t>
            </w:r>
            <w:r w:rsidR="000D7385">
              <w:rPr>
                <w:noProof/>
                <w:webHidden/>
              </w:rPr>
              <w:tab/>
            </w:r>
            <w:r w:rsidR="000D7385">
              <w:rPr>
                <w:noProof/>
                <w:webHidden/>
              </w:rPr>
              <w:fldChar w:fldCharType="begin"/>
            </w:r>
            <w:r w:rsidR="000D7385">
              <w:rPr>
                <w:noProof/>
                <w:webHidden/>
              </w:rPr>
              <w:instrText xml:space="preserve"> PAGEREF _Toc476556225 \h </w:instrText>
            </w:r>
            <w:r w:rsidR="000D7385">
              <w:rPr>
                <w:noProof/>
                <w:webHidden/>
              </w:rPr>
            </w:r>
            <w:r w:rsidR="000D7385">
              <w:rPr>
                <w:noProof/>
                <w:webHidden/>
              </w:rPr>
              <w:fldChar w:fldCharType="separate"/>
            </w:r>
            <w:r w:rsidR="004A5D48">
              <w:rPr>
                <w:noProof/>
                <w:webHidden/>
              </w:rPr>
              <w:t>5</w:t>
            </w:r>
            <w:r w:rsidR="000D7385">
              <w:rPr>
                <w:noProof/>
                <w:webHidden/>
              </w:rPr>
              <w:fldChar w:fldCharType="end"/>
            </w:r>
          </w:hyperlink>
        </w:p>
        <w:p w:rsidR="000D7385" w:rsidRDefault="00AB7C96">
          <w:pPr>
            <w:pStyle w:val="Obsah3"/>
            <w:tabs>
              <w:tab w:val="left" w:pos="1320"/>
              <w:tab w:val="right" w:leader="dot" w:pos="9062"/>
            </w:tabs>
            <w:rPr>
              <w:rFonts w:asciiTheme="minorHAnsi" w:eastAsiaTheme="minorEastAsia" w:hAnsiTheme="minorHAnsi"/>
              <w:noProof/>
              <w:sz w:val="22"/>
              <w:lang w:eastAsia="cs-CZ"/>
            </w:rPr>
          </w:pPr>
          <w:hyperlink w:anchor="_Toc476556226" w:history="1">
            <w:r w:rsidR="000D7385" w:rsidRPr="00C26ADF">
              <w:rPr>
                <w:rStyle w:val="Hypertextovodkaz"/>
                <w:noProof/>
                <w14:scene3d>
                  <w14:camera w14:prst="orthographicFront"/>
                  <w14:lightRig w14:rig="threePt" w14:dir="t">
                    <w14:rot w14:lat="0" w14:lon="0" w14:rev="0"/>
                  </w14:lightRig>
                </w14:scene3d>
              </w:rPr>
              <w:t>2.3.</w:t>
            </w:r>
            <w:r w:rsidR="000D7385">
              <w:rPr>
                <w:rFonts w:asciiTheme="minorHAnsi" w:eastAsiaTheme="minorEastAsia" w:hAnsiTheme="minorHAnsi"/>
                <w:noProof/>
                <w:sz w:val="22"/>
                <w:lang w:eastAsia="cs-CZ"/>
              </w:rPr>
              <w:tab/>
            </w:r>
            <w:r w:rsidR="000D7385" w:rsidRPr="00C26ADF">
              <w:rPr>
                <w:rStyle w:val="Hypertextovodkaz"/>
                <w:noProof/>
              </w:rPr>
              <w:t>Nasycenost pracovního trhu pracovní silou</w:t>
            </w:r>
            <w:r w:rsidR="000D7385">
              <w:rPr>
                <w:noProof/>
                <w:webHidden/>
              </w:rPr>
              <w:tab/>
            </w:r>
            <w:r w:rsidR="000D7385">
              <w:rPr>
                <w:noProof/>
                <w:webHidden/>
              </w:rPr>
              <w:fldChar w:fldCharType="begin"/>
            </w:r>
            <w:r w:rsidR="000D7385">
              <w:rPr>
                <w:noProof/>
                <w:webHidden/>
              </w:rPr>
              <w:instrText xml:space="preserve"> PAGEREF _Toc476556226 \h </w:instrText>
            </w:r>
            <w:r w:rsidR="000D7385">
              <w:rPr>
                <w:noProof/>
                <w:webHidden/>
              </w:rPr>
            </w:r>
            <w:r w:rsidR="000D7385">
              <w:rPr>
                <w:noProof/>
                <w:webHidden/>
              </w:rPr>
              <w:fldChar w:fldCharType="separate"/>
            </w:r>
            <w:r w:rsidR="004A5D48">
              <w:rPr>
                <w:noProof/>
                <w:webHidden/>
              </w:rPr>
              <w:t>7</w:t>
            </w:r>
            <w:r w:rsidR="000D7385">
              <w:rPr>
                <w:noProof/>
                <w:webHidden/>
              </w:rPr>
              <w:fldChar w:fldCharType="end"/>
            </w:r>
          </w:hyperlink>
        </w:p>
        <w:p w:rsidR="000D7385" w:rsidRDefault="00AB7C96">
          <w:pPr>
            <w:pStyle w:val="Obsah3"/>
            <w:tabs>
              <w:tab w:val="left" w:pos="1320"/>
              <w:tab w:val="right" w:leader="dot" w:pos="9062"/>
            </w:tabs>
            <w:rPr>
              <w:rFonts w:asciiTheme="minorHAnsi" w:eastAsiaTheme="minorEastAsia" w:hAnsiTheme="minorHAnsi"/>
              <w:noProof/>
              <w:sz w:val="22"/>
              <w:lang w:eastAsia="cs-CZ"/>
            </w:rPr>
          </w:pPr>
          <w:hyperlink w:anchor="_Toc476556227" w:history="1">
            <w:r w:rsidR="000D7385" w:rsidRPr="00C26ADF">
              <w:rPr>
                <w:rStyle w:val="Hypertextovodkaz"/>
                <w:noProof/>
                <w14:scene3d>
                  <w14:camera w14:prst="orthographicFront"/>
                  <w14:lightRig w14:rig="threePt" w14:dir="t">
                    <w14:rot w14:lat="0" w14:lon="0" w14:rev="0"/>
                  </w14:lightRig>
                </w14:scene3d>
              </w:rPr>
              <w:t>2.4.</w:t>
            </w:r>
            <w:r w:rsidR="000D7385">
              <w:rPr>
                <w:rFonts w:asciiTheme="minorHAnsi" w:eastAsiaTheme="minorEastAsia" w:hAnsiTheme="minorHAnsi"/>
                <w:noProof/>
                <w:sz w:val="22"/>
                <w:lang w:eastAsia="cs-CZ"/>
              </w:rPr>
              <w:tab/>
            </w:r>
            <w:r w:rsidR="000D7385" w:rsidRPr="00C26ADF">
              <w:rPr>
                <w:rStyle w:val="Hypertextovodkaz"/>
                <w:noProof/>
              </w:rPr>
              <w:t>VPM pro cizince</w:t>
            </w:r>
            <w:r w:rsidR="000D7385">
              <w:rPr>
                <w:noProof/>
                <w:webHidden/>
              </w:rPr>
              <w:tab/>
            </w:r>
            <w:r w:rsidR="000D7385">
              <w:rPr>
                <w:noProof/>
                <w:webHidden/>
              </w:rPr>
              <w:fldChar w:fldCharType="begin"/>
            </w:r>
            <w:r w:rsidR="000D7385">
              <w:rPr>
                <w:noProof/>
                <w:webHidden/>
              </w:rPr>
              <w:instrText xml:space="preserve"> PAGEREF _Toc476556227 \h </w:instrText>
            </w:r>
            <w:r w:rsidR="000D7385">
              <w:rPr>
                <w:noProof/>
                <w:webHidden/>
              </w:rPr>
            </w:r>
            <w:r w:rsidR="000D7385">
              <w:rPr>
                <w:noProof/>
                <w:webHidden/>
              </w:rPr>
              <w:fldChar w:fldCharType="separate"/>
            </w:r>
            <w:r w:rsidR="004A5D48">
              <w:rPr>
                <w:noProof/>
                <w:webHidden/>
              </w:rPr>
              <w:t>7</w:t>
            </w:r>
            <w:r w:rsidR="000D7385">
              <w:rPr>
                <w:noProof/>
                <w:webHidden/>
              </w:rPr>
              <w:fldChar w:fldCharType="end"/>
            </w:r>
          </w:hyperlink>
        </w:p>
        <w:p w:rsidR="000D7385" w:rsidRDefault="00AB7C96">
          <w:pPr>
            <w:pStyle w:val="Obsah3"/>
            <w:tabs>
              <w:tab w:val="left" w:pos="1320"/>
              <w:tab w:val="right" w:leader="dot" w:pos="9062"/>
            </w:tabs>
            <w:rPr>
              <w:rFonts w:asciiTheme="minorHAnsi" w:eastAsiaTheme="minorEastAsia" w:hAnsiTheme="minorHAnsi"/>
              <w:noProof/>
              <w:sz w:val="22"/>
              <w:lang w:eastAsia="cs-CZ"/>
            </w:rPr>
          </w:pPr>
          <w:hyperlink w:anchor="_Toc476556228" w:history="1">
            <w:r w:rsidR="000D7385" w:rsidRPr="00C26ADF">
              <w:rPr>
                <w:rStyle w:val="Hypertextovodkaz"/>
                <w:noProof/>
                <w14:scene3d>
                  <w14:camera w14:prst="orthographicFront"/>
                  <w14:lightRig w14:rig="threePt" w14:dir="t">
                    <w14:rot w14:lat="0" w14:lon="0" w14:rev="0"/>
                  </w14:lightRig>
                </w14:scene3d>
              </w:rPr>
              <w:t>2.5.</w:t>
            </w:r>
            <w:r w:rsidR="000D7385">
              <w:rPr>
                <w:rFonts w:asciiTheme="minorHAnsi" w:eastAsiaTheme="minorEastAsia" w:hAnsiTheme="minorHAnsi"/>
                <w:noProof/>
                <w:sz w:val="22"/>
                <w:lang w:eastAsia="cs-CZ"/>
              </w:rPr>
              <w:tab/>
            </w:r>
            <w:r w:rsidR="000D7385" w:rsidRPr="00C26ADF">
              <w:rPr>
                <w:rStyle w:val="Hypertextovodkaz"/>
                <w:noProof/>
              </w:rPr>
              <w:t>Průměrný výdělek</w:t>
            </w:r>
            <w:r w:rsidR="000D7385">
              <w:rPr>
                <w:noProof/>
                <w:webHidden/>
              </w:rPr>
              <w:tab/>
            </w:r>
            <w:r w:rsidR="000D7385">
              <w:rPr>
                <w:noProof/>
                <w:webHidden/>
              </w:rPr>
              <w:fldChar w:fldCharType="begin"/>
            </w:r>
            <w:r w:rsidR="000D7385">
              <w:rPr>
                <w:noProof/>
                <w:webHidden/>
              </w:rPr>
              <w:instrText xml:space="preserve"> PAGEREF _Toc476556228 \h </w:instrText>
            </w:r>
            <w:r w:rsidR="000D7385">
              <w:rPr>
                <w:noProof/>
                <w:webHidden/>
              </w:rPr>
            </w:r>
            <w:r w:rsidR="000D7385">
              <w:rPr>
                <w:noProof/>
                <w:webHidden/>
              </w:rPr>
              <w:fldChar w:fldCharType="separate"/>
            </w:r>
            <w:r w:rsidR="004A5D48">
              <w:rPr>
                <w:noProof/>
                <w:webHidden/>
              </w:rPr>
              <w:t>8</w:t>
            </w:r>
            <w:r w:rsidR="000D7385">
              <w:rPr>
                <w:noProof/>
                <w:webHidden/>
              </w:rPr>
              <w:fldChar w:fldCharType="end"/>
            </w:r>
          </w:hyperlink>
        </w:p>
        <w:p w:rsidR="000D7385" w:rsidRDefault="00AB7C96">
          <w:pPr>
            <w:pStyle w:val="Obsah2"/>
            <w:rPr>
              <w:rFonts w:asciiTheme="minorHAnsi" w:eastAsiaTheme="minorEastAsia" w:hAnsiTheme="minorHAnsi"/>
              <w:noProof/>
              <w:sz w:val="22"/>
              <w:lang w:eastAsia="cs-CZ"/>
            </w:rPr>
          </w:pPr>
          <w:hyperlink w:anchor="_Toc476556229" w:history="1">
            <w:r w:rsidR="000D7385" w:rsidRPr="00C26ADF">
              <w:rPr>
                <w:rStyle w:val="Hypertextovodkaz"/>
                <w:noProof/>
              </w:rPr>
              <w:t>3.</w:t>
            </w:r>
            <w:r w:rsidR="000D7385">
              <w:rPr>
                <w:rFonts w:asciiTheme="minorHAnsi" w:eastAsiaTheme="minorEastAsia" w:hAnsiTheme="minorHAnsi"/>
                <w:noProof/>
                <w:sz w:val="22"/>
                <w:lang w:eastAsia="cs-CZ"/>
              </w:rPr>
              <w:tab/>
            </w:r>
            <w:r w:rsidR="000D7385" w:rsidRPr="00C26ADF">
              <w:rPr>
                <w:rStyle w:val="Hypertextovodkaz"/>
                <w:noProof/>
              </w:rPr>
              <w:t>Přehled nabídky a poptávky</w:t>
            </w:r>
            <w:r w:rsidR="000D7385">
              <w:rPr>
                <w:noProof/>
                <w:webHidden/>
              </w:rPr>
              <w:tab/>
            </w:r>
            <w:r w:rsidR="000D7385">
              <w:rPr>
                <w:noProof/>
                <w:webHidden/>
              </w:rPr>
              <w:fldChar w:fldCharType="begin"/>
            </w:r>
            <w:r w:rsidR="000D7385">
              <w:rPr>
                <w:noProof/>
                <w:webHidden/>
              </w:rPr>
              <w:instrText xml:space="preserve"> PAGEREF _Toc476556229 \h </w:instrText>
            </w:r>
            <w:r w:rsidR="000D7385">
              <w:rPr>
                <w:noProof/>
                <w:webHidden/>
              </w:rPr>
            </w:r>
            <w:r w:rsidR="000D7385">
              <w:rPr>
                <w:noProof/>
                <w:webHidden/>
              </w:rPr>
              <w:fldChar w:fldCharType="separate"/>
            </w:r>
            <w:r w:rsidR="004A5D48">
              <w:rPr>
                <w:noProof/>
                <w:webHidden/>
              </w:rPr>
              <w:t>11</w:t>
            </w:r>
            <w:r w:rsidR="000D7385">
              <w:rPr>
                <w:noProof/>
                <w:webHidden/>
              </w:rPr>
              <w:fldChar w:fldCharType="end"/>
            </w:r>
          </w:hyperlink>
        </w:p>
        <w:p w:rsidR="000D7385" w:rsidRDefault="00AB7C96">
          <w:pPr>
            <w:pStyle w:val="Obsah2"/>
            <w:rPr>
              <w:rFonts w:asciiTheme="minorHAnsi" w:eastAsiaTheme="minorEastAsia" w:hAnsiTheme="minorHAnsi"/>
              <w:noProof/>
              <w:sz w:val="22"/>
              <w:lang w:eastAsia="cs-CZ"/>
            </w:rPr>
          </w:pPr>
          <w:hyperlink w:anchor="_Toc476556230" w:history="1">
            <w:r w:rsidR="000D7385" w:rsidRPr="00C26ADF">
              <w:rPr>
                <w:rStyle w:val="Hypertextovodkaz"/>
                <w:noProof/>
              </w:rPr>
              <w:t>4.</w:t>
            </w:r>
            <w:r w:rsidR="000D7385">
              <w:rPr>
                <w:rFonts w:asciiTheme="minorHAnsi" w:eastAsiaTheme="minorEastAsia" w:hAnsiTheme="minorHAnsi"/>
                <w:noProof/>
                <w:sz w:val="22"/>
                <w:lang w:eastAsia="cs-CZ"/>
              </w:rPr>
              <w:tab/>
            </w:r>
            <w:r w:rsidR="000D7385" w:rsidRPr="00C26ADF">
              <w:rPr>
                <w:rStyle w:val="Hypertextovodkaz"/>
                <w:noProof/>
              </w:rPr>
              <w:t>Struktura uchazečů o zaměstnání</w:t>
            </w:r>
            <w:r w:rsidR="000D7385">
              <w:rPr>
                <w:noProof/>
                <w:webHidden/>
              </w:rPr>
              <w:tab/>
            </w:r>
            <w:r w:rsidR="000D7385">
              <w:rPr>
                <w:noProof/>
                <w:webHidden/>
              </w:rPr>
              <w:fldChar w:fldCharType="begin"/>
            </w:r>
            <w:r w:rsidR="000D7385">
              <w:rPr>
                <w:noProof/>
                <w:webHidden/>
              </w:rPr>
              <w:instrText xml:space="preserve"> PAGEREF _Toc476556230 \h </w:instrText>
            </w:r>
            <w:r w:rsidR="000D7385">
              <w:rPr>
                <w:noProof/>
                <w:webHidden/>
              </w:rPr>
            </w:r>
            <w:r w:rsidR="000D7385">
              <w:rPr>
                <w:noProof/>
                <w:webHidden/>
              </w:rPr>
              <w:fldChar w:fldCharType="separate"/>
            </w:r>
            <w:r w:rsidR="004A5D48">
              <w:rPr>
                <w:noProof/>
                <w:webHidden/>
              </w:rPr>
              <w:t>14</w:t>
            </w:r>
            <w:r w:rsidR="000D7385">
              <w:rPr>
                <w:noProof/>
                <w:webHidden/>
              </w:rPr>
              <w:fldChar w:fldCharType="end"/>
            </w:r>
          </w:hyperlink>
        </w:p>
        <w:p w:rsidR="000D7385" w:rsidRDefault="00AB7C96">
          <w:pPr>
            <w:pStyle w:val="Obsah3"/>
            <w:tabs>
              <w:tab w:val="left" w:pos="1320"/>
              <w:tab w:val="right" w:leader="dot" w:pos="9062"/>
            </w:tabs>
            <w:rPr>
              <w:rFonts w:asciiTheme="minorHAnsi" w:eastAsiaTheme="minorEastAsia" w:hAnsiTheme="minorHAnsi"/>
              <w:noProof/>
              <w:sz w:val="22"/>
              <w:lang w:eastAsia="cs-CZ"/>
            </w:rPr>
          </w:pPr>
          <w:hyperlink w:anchor="_Toc476556231" w:history="1">
            <w:r w:rsidR="000D7385" w:rsidRPr="00C26ADF">
              <w:rPr>
                <w:rStyle w:val="Hypertextovodkaz"/>
                <w:noProof/>
                <w14:scene3d>
                  <w14:camera w14:prst="orthographicFront"/>
                  <w14:lightRig w14:rig="threePt" w14:dir="t">
                    <w14:rot w14:lat="0" w14:lon="0" w14:rev="0"/>
                  </w14:lightRig>
                </w14:scene3d>
              </w:rPr>
              <w:t>4.1.</w:t>
            </w:r>
            <w:r w:rsidR="000D7385">
              <w:rPr>
                <w:rFonts w:asciiTheme="minorHAnsi" w:eastAsiaTheme="minorEastAsia" w:hAnsiTheme="minorHAnsi"/>
                <w:noProof/>
                <w:sz w:val="22"/>
                <w:lang w:eastAsia="cs-CZ"/>
              </w:rPr>
              <w:tab/>
            </w:r>
            <w:r w:rsidR="000D7385" w:rsidRPr="00C26ADF">
              <w:rPr>
                <w:rStyle w:val="Hypertextovodkaz"/>
                <w:noProof/>
              </w:rPr>
              <w:t>Zastoupení rizikových skupin</w:t>
            </w:r>
            <w:r w:rsidR="000D7385">
              <w:rPr>
                <w:noProof/>
                <w:webHidden/>
              </w:rPr>
              <w:tab/>
            </w:r>
            <w:r w:rsidR="000D7385">
              <w:rPr>
                <w:noProof/>
                <w:webHidden/>
              </w:rPr>
              <w:fldChar w:fldCharType="begin"/>
            </w:r>
            <w:r w:rsidR="000D7385">
              <w:rPr>
                <w:noProof/>
                <w:webHidden/>
              </w:rPr>
              <w:instrText xml:space="preserve"> PAGEREF _Toc476556231 \h </w:instrText>
            </w:r>
            <w:r w:rsidR="000D7385">
              <w:rPr>
                <w:noProof/>
                <w:webHidden/>
              </w:rPr>
            </w:r>
            <w:r w:rsidR="000D7385">
              <w:rPr>
                <w:noProof/>
                <w:webHidden/>
              </w:rPr>
              <w:fldChar w:fldCharType="separate"/>
            </w:r>
            <w:r w:rsidR="004A5D48">
              <w:rPr>
                <w:noProof/>
                <w:webHidden/>
              </w:rPr>
              <w:t>14</w:t>
            </w:r>
            <w:r w:rsidR="000D7385">
              <w:rPr>
                <w:noProof/>
                <w:webHidden/>
              </w:rPr>
              <w:fldChar w:fldCharType="end"/>
            </w:r>
          </w:hyperlink>
        </w:p>
        <w:p w:rsidR="000D7385" w:rsidRDefault="00AB7C96">
          <w:pPr>
            <w:pStyle w:val="Obsah3"/>
            <w:tabs>
              <w:tab w:val="left" w:pos="1320"/>
              <w:tab w:val="right" w:leader="dot" w:pos="9062"/>
            </w:tabs>
            <w:rPr>
              <w:rFonts w:asciiTheme="minorHAnsi" w:eastAsiaTheme="minorEastAsia" w:hAnsiTheme="minorHAnsi"/>
              <w:noProof/>
              <w:sz w:val="22"/>
              <w:lang w:eastAsia="cs-CZ"/>
            </w:rPr>
          </w:pPr>
          <w:hyperlink w:anchor="_Toc476556232" w:history="1">
            <w:r w:rsidR="000D7385" w:rsidRPr="00C26ADF">
              <w:rPr>
                <w:rStyle w:val="Hypertextovodkaz"/>
                <w:noProof/>
                <w14:scene3d>
                  <w14:camera w14:prst="orthographicFront"/>
                  <w14:lightRig w14:rig="threePt" w14:dir="t">
                    <w14:rot w14:lat="0" w14:lon="0" w14:rev="0"/>
                  </w14:lightRig>
                </w14:scene3d>
              </w:rPr>
              <w:t>4.2.</w:t>
            </w:r>
            <w:r w:rsidR="000D7385">
              <w:rPr>
                <w:rFonts w:asciiTheme="minorHAnsi" w:eastAsiaTheme="minorEastAsia" w:hAnsiTheme="minorHAnsi"/>
                <w:noProof/>
                <w:sz w:val="22"/>
                <w:lang w:eastAsia="cs-CZ"/>
              </w:rPr>
              <w:tab/>
            </w:r>
            <w:r w:rsidR="000D7385" w:rsidRPr="00C26ADF">
              <w:rPr>
                <w:rStyle w:val="Hypertextovodkaz"/>
                <w:noProof/>
              </w:rPr>
              <w:t>Podíl UoZ s PvN</w:t>
            </w:r>
            <w:r w:rsidR="000D7385">
              <w:rPr>
                <w:noProof/>
                <w:webHidden/>
              </w:rPr>
              <w:tab/>
            </w:r>
            <w:r w:rsidR="000D7385">
              <w:rPr>
                <w:noProof/>
                <w:webHidden/>
              </w:rPr>
              <w:fldChar w:fldCharType="begin"/>
            </w:r>
            <w:r w:rsidR="000D7385">
              <w:rPr>
                <w:noProof/>
                <w:webHidden/>
              </w:rPr>
              <w:instrText xml:space="preserve"> PAGEREF _Toc476556232 \h </w:instrText>
            </w:r>
            <w:r w:rsidR="000D7385">
              <w:rPr>
                <w:noProof/>
                <w:webHidden/>
              </w:rPr>
            </w:r>
            <w:r w:rsidR="000D7385">
              <w:rPr>
                <w:noProof/>
                <w:webHidden/>
              </w:rPr>
              <w:fldChar w:fldCharType="separate"/>
            </w:r>
            <w:r w:rsidR="004A5D48">
              <w:rPr>
                <w:noProof/>
                <w:webHidden/>
              </w:rPr>
              <w:t>19</w:t>
            </w:r>
            <w:r w:rsidR="000D7385">
              <w:rPr>
                <w:noProof/>
                <w:webHidden/>
              </w:rPr>
              <w:fldChar w:fldCharType="end"/>
            </w:r>
          </w:hyperlink>
        </w:p>
        <w:p w:rsidR="000D7385" w:rsidRDefault="00AB7C96">
          <w:pPr>
            <w:pStyle w:val="Obsah3"/>
            <w:tabs>
              <w:tab w:val="left" w:pos="1320"/>
              <w:tab w:val="right" w:leader="dot" w:pos="9062"/>
            </w:tabs>
            <w:rPr>
              <w:rFonts w:asciiTheme="minorHAnsi" w:eastAsiaTheme="minorEastAsia" w:hAnsiTheme="minorHAnsi"/>
              <w:noProof/>
              <w:sz w:val="22"/>
              <w:lang w:eastAsia="cs-CZ"/>
            </w:rPr>
          </w:pPr>
          <w:hyperlink w:anchor="_Toc476556237" w:history="1">
            <w:r w:rsidR="000D7385" w:rsidRPr="00C26ADF">
              <w:rPr>
                <w:rStyle w:val="Hypertextovodkaz"/>
                <w:noProof/>
                <w14:scene3d>
                  <w14:camera w14:prst="orthographicFront"/>
                  <w14:lightRig w14:rig="threePt" w14:dir="t">
                    <w14:rot w14:lat="0" w14:lon="0" w14:rev="0"/>
                  </w14:lightRig>
                </w14:scene3d>
              </w:rPr>
              <w:t>4.3.</w:t>
            </w:r>
            <w:r w:rsidR="000D7385">
              <w:rPr>
                <w:rFonts w:asciiTheme="minorHAnsi" w:eastAsiaTheme="minorEastAsia" w:hAnsiTheme="minorHAnsi"/>
                <w:noProof/>
                <w:sz w:val="22"/>
                <w:lang w:eastAsia="cs-CZ"/>
              </w:rPr>
              <w:tab/>
            </w:r>
            <w:r w:rsidR="000D7385" w:rsidRPr="00C26ADF">
              <w:rPr>
                <w:rStyle w:val="Hypertextovodkaz"/>
                <w:noProof/>
              </w:rPr>
              <w:t>UoZ vykonávající nekolidující zaměstnání</w:t>
            </w:r>
            <w:r w:rsidR="000D7385">
              <w:rPr>
                <w:noProof/>
                <w:webHidden/>
              </w:rPr>
              <w:tab/>
            </w:r>
            <w:r w:rsidR="000D7385">
              <w:rPr>
                <w:noProof/>
                <w:webHidden/>
              </w:rPr>
              <w:fldChar w:fldCharType="begin"/>
            </w:r>
            <w:r w:rsidR="000D7385">
              <w:rPr>
                <w:noProof/>
                <w:webHidden/>
              </w:rPr>
              <w:instrText xml:space="preserve"> PAGEREF _Toc476556237 \h </w:instrText>
            </w:r>
            <w:r w:rsidR="000D7385">
              <w:rPr>
                <w:noProof/>
                <w:webHidden/>
              </w:rPr>
            </w:r>
            <w:r w:rsidR="000D7385">
              <w:rPr>
                <w:noProof/>
                <w:webHidden/>
              </w:rPr>
              <w:fldChar w:fldCharType="separate"/>
            </w:r>
            <w:r w:rsidR="004A5D48">
              <w:rPr>
                <w:noProof/>
                <w:webHidden/>
              </w:rPr>
              <w:t>19</w:t>
            </w:r>
            <w:r w:rsidR="000D7385">
              <w:rPr>
                <w:noProof/>
                <w:webHidden/>
              </w:rPr>
              <w:fldChar w:fldCharType="end"/>
            </w:r>
          </w:hyperlink>
        </w:p>
        <w:p w:rsidR="000D7385" w:rsidRDefault="00AB7C96">
          <w:pPr>
            <w:pStyle w:val="Obsah2"/>
            <w:rPr>
              <w:rFonts w:asciiTheme="minorHAnsi" w:eastAsiaTheme="minorEastAsia" w:hAnsiTheme="minorHAnsi"/>
              <w:noProof/>
              <w:sz w:val="22"/>
              <w:lang w:eastAsia="cs-CZ"/>
            </w:rPr>
          </w:pPr>
          <w:hyperlink w:anchor="_Toc476556238" w:history="1">
            <w:r w:rsidR="000D7385" w:rsidRPr="00C26ADF">
              <w:rPr>
                <w:rStyle w:val="Hypertextovodkaz"/>
                <w:noProof/>
              </w:rPr>
              <w:t>5.</w:t>
            </w:r>
            <w:r w:rsidR="000D7385">
              <w:rPr>
                <w:rFonts w:asciiTheme="minorHAnsi" w:eastAsiaTheme="minorEastAsia" w:hAnsiTheme="minorHAnsi"/>
                <w:noProof/>
                <w:sz w:val="22"/>
                <w:lang w:eastAsia="cs-CZ"/>
              </w:rPr>
              <w:tab/>
            </w:r>
            <w:r w:rsidR="000D7385" w:rsidRPr="00C26ADF">
              <w:rPr>
                <w:rStyle w:val="Hypertextovodkaz"/>
                <w:noProof/>
              </w:rPr>
              <w:t>Dlouhodobá nezaměstnanost</w:t>
            </w:r>
            <w:r w:rsidR="000D7385">
              <w:rPr>
                <w:noProof/>
                <w:webHidden/>
              </w:rPr>
              <w:tab/>
            </w:r>
            <w:r w:rsidR="000D7385">
              <w:rPr>
                <w:noProof/>
                <w:webHidden/>
              </w:rPr>
              <w:fldChar w:fldCharType="begin"/>
            </w:r>
            <w:r w:rsidR="000D7385">
              <w:rPr>
                <w:noProof/>
                <w:webHidden/>
              </w:rPr>
              <w:instrText xml:space="preserve"> PAGEREF _Toc476556238 \h </w:instrText>
            </w:r>
            <w:r w:rsidR="000D7385">
              <w:rPr>
                <w:noProof/>
                <w:webHidden/>
              </w:rPr>
            </w:r>
            <w:r w:rsidR="000D7385">
              <w:rPr>
                <w:noProof/>
                <w:webHidden/>
              </w:rPr>
              <w:fldChar w:fldCharType="separate"/>
            </w:r>
            <w:r w:rsidR="004A5D48">
              <w:rPr>
                <w:noProof/>
                <w:webHidden/>
              </w:rPr>
              <w:t>22</w:t>
            </w:r>
            <w:r w:rsidR="000D7385">
              <w:rPr>
                <w:noProof/>
                <w:webHidden/>
              </w:rPr>
              <w:fldChar w:fldCharType="end"/>
            </w:r>
          </w:hyperlink>
        </w:p>
        <w:p w:rsidR="000D7385" w:rsidRDefault="00AB7C96">
          <w:pPr>
            <w:pStyle w:val="Obsah2"/>
            <w:rPr>
              <w:rFonts w:asciiTheme="minorHAnsi" w:eastAsiaTheme="minorEastAsia" w:hAnsiTheme="minorHAnsi"/>
              <w:noProof/>
              <w:sz w:val="22"/>
              <w:lang w:eastAsia="cs-CZ"/>
            </w:rPr>
          </w:pPr>
          <w:hyperlink w:anchor="_Toc476556239" w:history="1">
            <w:r w:rsidR="000D7385" w:rsidRPr="00C26ADF">
              <w:rPr>
                <w:rStyle w:val="Hypertextovodkaz"/>
                <w:noProof/>
              </w:rPr>
              <w:t>6.</w:t>
            </w:r>
            <w:r w:rsidR="000D7385">
              <w:rPr>
                <w:rFonts w:asciiTheme="minorHAnsi" w:eastAsiaTheme="minorEastAsia" w:hAnsiTheme="minorHAnsi"/>
                <w:noProof/>
                <w:sz w:val="22"/>
                <w:lang w:eastAsia="cs-CZ"/>
              </w:rPr>
              <w:tab/>
            </w:r>
            <w:r w:rsidR="000D7385" w:rsidRPr="00C26ADF">
              <w:rPr>
                <w:rStyle w:val="Hypertextovodkaz"/>
                <w:noProof/>
              </w:rPr>
              <w:t>Cizinci na českém trhu práce</w:t>
            </w:r>
            <w:r w:rsidR="000D7385">
              <w:rPr>
                <w:noProof/>
                <w:webHidden/>
              </w:rPr>
              <w:tab/>
            </w:r>
            <w:r w:rsidR="000D7385">
              <w:rPr>
                <w:noProof/>
                <w:webHidden/>
              </w:rPr>
              <w:fldChar w:fldCharType="begin"/>
            </w:r>
            <w:r w:rsidR="000D7385">
              <w:rPr>
                <w:noProof/>
                <w:webHidden/>
              </w:rPr>
              <w:instrText xml:space="preserve"> PAGEREF _Toc476556239 \h </w:instrText>
            </w:r>
            <w:r w:rsidR="000D7385">
              <w:rPr>
                <w:noProof/>
                <w:webHidden/>
              </w:rPr>
            </w:r>
            <w:r w:rsidR="000D7385">
              <w:rPr>
                <w:noProof/>
                <w:webHidden/>
              </w:rPr>
              <w:fldChar w:fldCharType="separate"/>
            </w:r>
            <w:r w:rsidR="004A5D48">
              <w:rPr>
                <w:noProof/>
                <w:webHidden/>
              </w:rPr>
              <w:t>24</w:t>
            </w:r>
            <w:r w:rsidR="000D7385">
              <w:rPr>
                <w:noProof/>
                <w:webHidden/>
              </w:rPr>
              <w:fldChar w:fldCharType="end"/>
            </w:r>
          </w:hyperlink>
        </w:p>
        <w:p w:rsidR="000D7385" w:rsidRDefault="00AB7C96">
          <w:pPr>
            <w:pStyle w:val="Obsah3"/>
            <w:tabs>
              <w:tab w:val="left" w:pos="1320"/>
              <w:tab w:val="right" w:leader="dot" w:pos="9062"/>
            </w:tabs>
            <w:rPr>
              <w:rFonts w:asciiTheme="minorHAnsi" w:eastAsiaTheme="minorEastAsia" w:hAnsiTheme="minorHAnsi"/>
              <w:noProof/>
              <w:sz w:val="22"/>
              <w:lang w:eastAsia="cs-CZ"/>
            </w:rPr>
          </w:pPr>
          <w:hyperlink w:anchor="_Toc476556240" w:history="1">
            <w:r w:rsidR="000D7385" w:rsidRPr="00C26ADF">
              <w:rPr>
                <w:rStyle w:val="Hypertextovodkaz"/>
                <w:noProof/>
                <w14:scene3d>
                  <w14:camera w14:prst="orthographicFront"/>
                  <w14:lightRig w14:rig="threePt" w14:dir="t">
                    <w14:rot w14:lat="0" w14:lon="0" w14:rev="0"/>
                  </w14:lightRig>
                </w14:scene3d>
              </w:rPr>
              <w:t>6.1.</w:t>
            </w:r>
            <w:r w:rsidR="000D7385">
              <w:rPr>
                <w:rFonts w:asciiTheme="minorHAnsi" w:eastAsiaTheme="minorEastAsia" w:hAnsiTheme="minorHAnsi"/>
                <w:noProof/>
                <w:sz w:val="22"/>
                <w:lang w:eastAsia="cs-CZ"/>
              </w:rPr>
              <w:tab/>
            </w:r>
            <w:r w:rsidR="000D7385" w:rsidRPr="00C26ADF">
              <w:rPr>
                <w:rStyle w:val="Hypertextovodkaz"/>
                <w:noProof/>
              </w:rPr>
              <w:t>Cizinci - zaměstnanci</w:t>
            </w:r>
            <w:r w:rsidR="000D7385">
              <w:rPr>
                <w:noProof/>
                <w:webHidden/>
              </w:rPr>
              <w:tab/>
            </w:r>
            <w:r w:rsidR="000D7385">
              <w:rPr>
                <w:noProof/>
                <w:webHidden/>
              </w:rPr>
              <w:fldChar w:fldCharType="begin"/>
            </w:r>
            <w:r w:rsidR="000D7385">
              <w:rPr>
                <w:noProof/>
                <w:webHidden/>
              </w:rPr>
              <w:instrText xml:space="preserve"> PAGEREF _Toc476556240 \h </w:instrText>
            </w:r>
            <w:r w:rsidR="000D7385">
              <w:rPr>
                <w:noProof/>
                <w:webHidden/>
              </w:rPr>
            </w:r>
            <w:r w:rsidR="000D7385">
              <w:rPr>
                <w:noProof/>
                <w:webHidden/>
              </w:rPr>
              <w:fldChar w:fldCharType="separate"/>
            </w:r>
            <w:r w:rsidR="004A5D48">
              <w:rPr>
                <w:noProof/>
                <w:webHidden/>
              </w:rPr>
              <w:t>24</w:t>
            </w:r>
            <w:r w:rsidR="000D7385">
              <w:rPr>
                <w:noProof/>
                <w:webHidden/>
              </w:rPr>
              <w:fldChar w:fldCharType="end"/>
            </w:r>
          </w:hyperlink>
        </w:p>
        <w:p w:rsidR="000D7385" w:rsidRDefault="00AB7C96">
          <w:pPr>
            <w:pStyle w:val="Obsah3"/>
            <w:tabs>
              <w:tab w:val="left" w:pos="1320"/>
              <w:tab w:val="right" w:leader="dot" w:pos="9062"/>
            </w:tabs>
            <w:rPr>
              <w:rFonts w:asciiTheme="minorHAnsi" w:eastAsiaTheme="minorEastAsia" w:hAnsiTheme="minorHAnsi"/>
              <w:noProof/>
              <w:sz w:val="22"/>
              <w:lang w:eastAsia="cs-CZ"/>
            </w:rPr>
          </w:pPr>
          <w:hyperlink w:anchor="_Toc476556241" w:history="1">
            <w:r w:rsidR="000D7385" w:rsidRPr="00C26ADF">
              <w:rPr>
                <w:rStyle w:val="Hypertextovodkaz"/>
                <w:noProof/>
                <w14:scene3d>
                  <w14:camera w14:prst="orthographicFront"/>
                  <w14:lightRig w14:rig="threePt" w14:dir="t">
                    <w14:rot w14:lat="0" w14:lon="0" w14:rev="0"/>
                  </w14:lightRig>
                </w14:scene3d>
              </w:rPr>
              <w:t>6.2.</w:t>
            </w:r>
            <w:r w:rsidR="000D7385">
              <w:rPr>
                <w:rFonts w:asciiTheme="minorHAnsi" w:eastAsiaTheme="minorEastAsia" w:hAnsiTheme="minorHAnsi"/>
                <w:noProof/>
                <w:sz w:val="22"/>
                <w:lang w:eastAsia="cs-CZ"/>
              </w:rPr>
              <w:tab/>
            </w:r>
            <w:r w:rsidR="000D7385" w:rsidRPr="00C26ADF">
              <w:rPr>
                <w:rStyle w:val="Hypertextovodkaz"/>
                <w:noProof/>
              </w:rPr>
              <w:t>Cizinci – držitelé živnostenského oprávnění</w:t>
            </w:r>
            <w:r w:rsidR="000D7385">
              <w:rPr>
                <w:noProof/>
                <w:webHidden/>
              </w:rPr>
              <w:tab/>
            </w:r>
            <w:r w:rsidR="000D7385">
              <w:rPr>
                <w:noProof/>
                <w:webHidden/>
              </w:rPr>
              <w:fldChar w:fldCharType="begin"/>
            </w:r>
            <w:r w:rsidR="000D7385">
              <w:rPr>
                <w:noProof/>
                <w:webHidden/>
              </w:rPr>
              <w:instrText xml:space="preserve"> PAGEREF _Toc476556241 \h </w:instrText>
            </w:r>
            <w:r w:rsidR="000D7385">
              <w:rPr>
                <w:noProof/>
                <w:webHidden/>
              </w:rPr>
            </w:r>
            <w:r w:rsidR="000D7385">
              <w:rPr>
                <w:noProof/>
                <w:webHidden/>
              </w:rPr>
              <w:fldChar w:fldCharType="separate"/>
            </w:r>
            <w:r w:rsidR="004A5D48">
              <w:rPr>
                <w:noProof/>
                <w:webHidden/>
              </w:rPr>
              <w:t>26</w:t>
            </w:r>
            <w:r w:rsidR="000D7385">
              <w:rPr>
                <w:noProof/>
                <w:webHidden/>
              </w:rPr>
              <w:fldChar w:fldCharType="end"/>
            </w:r>
          </w:hyperlink>
        </w:p>
        <w:p w:rsidR="000D7385" w:rsidRDefault="00AB7C96">
          <w:pPr>
            <w:pStyle w:val="Obsah3"/>
            <w:tabs>
              <w:tab w:val="left" w:pos="1320"/>
              <w:tab w:val="right" w:leader="dot" w:pos="9062"/>
            </w:tabs>
            <w:rPr>
              <w:rFonts w:asciiTheme="minorHAnsi" w:eastAsiaTheme="minorEastAsia" w:hAnsiTheme="minorHAnsi"/>
              <w:noProof/>
              <w:sz w:val="22"/>
              <w:lang w:eastAsia="cs-CZ"/>
            </w:rPr>
          </w:pPr>
          <w:hyperlink w:anchor="_Toc476556242" w:history="1">
            <w:r w:rsidR="000D7385" w:rsidRPr="00C26ADF">
              <w:rPr>
                <w:rStyle w:val="Hypertextovodkaz"/>
                <w:noProof/>
                <w14:scene3d>
                  <w14:camera w14:prst="orthographicFront"/>
                  <w14:lightRig w14:rig="threePt" w14:dir="t">
                    <w14:rot w14:lat="0" w14:lon="0" w14:rev="0"/>
                  </w14:lightRig>
                </w14:scene3d>
              </w:rPr>
              <w:t>6.3.</w:t>
            </w:r>
            <w:r w:rsidR="000D7385">
              <w:rPr>
                <w:rFonts w:asciiTheme="minorHAnsi" w:eastAsiaTheme="minorEastAsia" w:hAnsiTheme="minorHAnsi"/>
                <w:noProof/>
                <w:sz w:val="22"/>
                <w:lang w:eastAsia="cs-CZ"/>
              </w:rPr>
              <w:tab/>
            </w:r>
            <w:r w:rsidR="000D7385" w:rsidRPr="00C26ADF">
              <w:rPr>
                <w:rStyle w:val="Hypertextovodkaz"/>
                <w:noProof/>
              </w:rPr>
              <w:t>Zjednodušení přístupu občanů „třetích států“ na český trh práce</w:t>
            </w:r>
            <w:r w:rsidR="000D7385">
              <w:rPr>
                <w:noProof/>
                <w:webHidden/>
              </w:rPr>
              <w:tab/>
            </w:r>
            <w:r w:rsidR="000D7385">
              <w:rPr>
                <w:noProof/>
                <w:webHidden/>
              </w:rPr>
              <w:fldChar w:fldCharType="begin"/>
            </w:r>
            <w:r w:rsidR="000D7385">
              <w:rPr>
                <w:noProof/>
                <w:webHidden/>
              </w:rPr>
              <w:instrText xml:space="preserve"> PAGEREF _Toc476556242 \h </w:instrText>
            </w:r>
            <w:r w:rsidR="000D7385">
              <w:rPr>
                <w:noProof/>
                <w:webHidden/>
              </w:rPr>
            </w:r>
            <w:r w:rsidR="000D7385">
              <w:rPr>
                <w:noProof/>
                <w:webHidden/>
              </w:rPr>
              <w:fldChar w:fldCharType="separate"/>
            </w:r>
            <w:r w:rsidR="004A5D48">
              <w:rPr>
                <w:noProof/>
                <w:webHidden/>
              </w:rPr>
              <w:t>26</w:t>
            </w:r>
            <w:r w:rsidR="000D7385">
              <w:rPr>
                <w:noProof/>
                <w:webHidden/>
              </w:rPr>
              <w:fldChar w:fldCharType="end"/>
            </w:r>
          </w:hyperlink>
        </w:p>
        <w:p w:rsidR="000D7385" w:rsidRDefault="00AB7C96">
          <w:pPr>
            <w:pStyle w:val="Obsah1"/>
            <w:tabs>
              <w:tab w:val="left" w:pos="993"/>
              <w:tab w:val="right" w:leader="dot" w:pos="9062"/>
            </w:tabs>
            <w:rPr>
              <w:rFonts w:asciiTheme="minorHAnsi" w:eastAsiaTheme="minorEastAsia" w:hAnsiTheme="minorHAnsi"/>
              <w:noProof/>
              <w:sz w:val="22"/>
              <w:lang w:eastAsia="cs-CZ"/>
            </w:rPr>
          </w:pPr>
          <w:hyperlink w:anchor="_Toc476556243" w:history="1">
            <w:r w:rsidR="000D7385" w:rsidRPr="00C26ADF">
              <w:rPr>
                <w:rStyle w:val="Hypertextovodkaz"/>
                <w:noProof/>
              </w:rPr>
              <w:t>B)</w:t>
            </w:r>
            <w:r w:rsidR="000D7385">
              <w:rPr>
                <w:rFonts w:asciiTheme="minorHAnsi" w:eastAsiaTheme="minorEastAsia" w:hAnsiTheme="minorHAnsi"/>
                <w:noProof/>
                <w:sz w:val="22"/>
                <w:lang w:eastAsia="cs-CZ"/>
              </w:rPr>
              <w:tab/>
            </w:r>
            <w:r w:rsidR="000D7385" w:rsidRPr="00C26ADF">
              <w:rPr>
                <w:rStyle w:val="Hypertextovodkaz"/>
                <w:noProof/>
              </w:rPr>
              <w:t>Plnění opatření</w:t>
            </w:r>
            <w:r w:rsidR="000D7385">
              <w:rPr>
                <w:noProof/>
                <w:webHidden/>
              </w:rPr>
              <w:tab/>
            </w:r>
            <w:r w:rsidR="000D7385">
              <w:rPr>
                <w:noProof/>
                <w:webHidden/>
              </w:rPr>
              <w:fldChar w:fldCharType="begin"/>
            </w:r>
            <w:r w:rsidR="000D7385">
              <w:rPr>
                <w:noProof/>
                <w:webHidden/>
              </w:rPr>
              <w:instrText xml:space="preserve"> PAGEREF _Toc476556243 \h </w:instrText>
            </w:r>
            <w:r w:rsidR="000D7385">
              <w:rPr>
                <w:noProof/>
                <w:webHidden/>
              </w:rPr>
            </w:r>
            <w:r w:rsidR="000D7385">
              <w:rPr>
                <w:noProof/>
                <w:webHidden/>
              </w:rPr>
              <w:fldChar w:fldCharType="separate"/>
            </w:r>
            <w:r w:rsidR="004A5D48">
              <w:rPr>
                <w:noProof/>
                <w:webHidden/>
              </w:rPr>
              <w:t>28</w:t>
            </w:r>
            <w:r w:rsidR="000D7385">
              <w:rPr>
                <w:noProof/>
                <w:webHidden/>
              </w:rPr>
              <w:fldChar w:fldCharType="end"/>
            </w:r>
          </w:hyperlink>
        </w:p>
        <w:p w:rsidR="000D7385" w:rsidRDefault="00AB7C96" w:rsidP="000D7385">
          <w:pPr>
            <w:pStyle w:val="Obsah2"/>
            <w:ind w:left="142" w:firstLine="0"/>
            <w:rPr>
              <w:rFonts w:asciiTheme="minorHAnsi" w:eastAsiaTheme="minorEastAsia" w:hAnsiTheme="minorHAnsi"/>
              <w:noProof/>
              <w:sz w:val="22"/>
              <w:lang w:eastAsia="cs-CZ"/>
            </w:rPr>
          </w:pPr>
          <w:hyperlink w:anchor="_Toc476556244" w:history="1">
            <w:r w:rsidR="000D7385" w:rsidRPr="00C26ADF">
              <w:rPr>
                <w:rStyle w:val="Hypertextovodkaz"/>
                <w:rFonts w:eastAsia="Times New Roman"/>
                <w:noProof/>
                <w:lang w:eastAsia="cs-CZ"/>
              </w:rPr>
              <w:t>Sk. 1: Zvýšení motivace pracovní síly akceptovat zaměstnání</w:t>
            </w:r>
            <w:r w:rsidR="000D7385">
              <w:rPr>
                <w:noProof/>
                <w:webHidden/>
              </w:rPr>
              <w:tab/>
            </w:r>
            <w:r w:rsidR="000D7385">
              <w:rPr>
                <w:noProof/>
                <w:webHidden/>
              </w:rPr>
              <w:fldChar w:fldCharType="begin"/>
            </w:r>
            <w:r w:rsidR="000D7385">
              <w:rPr>
                <w:noProof/>
                <w:webHidden/>
              </w:rPr>
              <w:instrText xml:space="preserve"> PAGEREF _Toc476556244 \h </w:instrText>
            </w:r>
            <w:r w:rsidR="000D7385">
              <w:rPr>
                <w:noProof/>
                <w:webHidden/>
              </w:rPr>
            </w:r>
            <w:r w:rsidR="000D7385">
              <w:rPr>
                <w:noProof/>
                <w:webHidden/>
              </w:rPr>
              <w:fldChar w:fldCharType="separate"/>
            </w:r>
            <w:r w:rsidR="004A5D48">
              <w:rPr>
                <w:noProof/>
                <w:webHidden/>
              </w:rPr>
              <w:t>28</w:t>
            </w:r>
            <w:r w:rsidR="000D7385">
              <w:rPr>
                <w:noProof/>
                <w:webHidden/>
              </w:rPr>
              <w:fldChar w:fldCharType="end"/>
            </w:r>
          </w:hyperlink>
        </w:p>
        <w:p w:rsidR="000D7385" w:rsidRDefault="00AB7C96" w:rsidP="000D7385">
          <w:pPr>
            <w:pStyle w:val="Obsah2"/>
            <w:ind w:left="142" w:firstLine="0"/>
            <w:rPr>
              <w:rFonts w:asciiTheme="minorHAnsi" w:eastAsiaTheme="minorEastAsia" w:hAnsiTheme="minorHAnsi"/>
              <w:noProof/>
              <w:sz w:val="22"/>
              <w:lang w:eastAsia="cs-CZ"/>
            </w:rPr>
          </w:pPr>
          <w:hyperlink w:anchor="_Toc476556245" w:history="1">
            <w:r w:rsidR="000D7385" w:rsidRPr="00C26ADF">
              <w:rPr>
                <w:rStyle w:val="Hypertextovodkaz"/>
                <w:rFonts w:eastAsia="Times New Roman"/>
                <w:noProof/>
                <w:lang w:eastAsia="cs-CZ"/>
              </w:rPr>
              <w:t>Sk. 2: Motivace zaměstnavatelů zaměstnávat znevýhodněné skupiny osob</w:t>
            </w:r>
            <w:r w:rsidR="000D7385">
              <w:rPr>
                <w:noProof/>
                <w:webHidden/>
              </w:rPr>
              <w:tab/>
            </w:r>
            <w:r w:rsidR="000D7385">
              <w:rPr>
                <w:noProof/>
                <w:webHidden/>
              </w:rPr>
              <w:fldChar w:fldCharType="begin"/>
            </w:r>
            <w:r w:rsidR="000D7385">
              <w:rPr>
                <w:noProof/>
                <w:webHidden/>
              </w:rPr>
              <w:instrText xml:space="preserve"> PAGEREF _Toc476556245 \h </w:instrText>
            </w:r>
            <w:r w:rsidR="000D7385">
              <w:rPr>
                <w:noProof/>
                <w:webHidden/>
              </w:rPr>
            </w:r>
            <w:r w:rsidR="000D7385">
              <w:rPr>
                <w:noProof/>
                <w:webHidden/>
              </w:rPr>
              <w:fldChar w:fldCharType="separate"/>
            </w:r>
            <w:r w:rsidR="004A5D48">
              <w:rPr>
                <w:noProof/>
                <w:webHidden/>
              </w:rPr>
              <w:t>36</w:t>
            </w:r>
            <w:r w:rsidR="000D7385">
              <w:rPr>
                <w:noProof/>
                <w:webHidden/>
              </w:rPr>
              <w:fldChar w:fldCharType="end"/>
            </w:r>
          </w:hyperlink>
        </w:p>
        <w:p w:rsidR="000D7385" w:rsidRDefault="00AB7C96" w:rsidP="000D7385">
          <w:pPr>
            <w:pStyle w:val="Obsah2"/>
            <w:ind w:left="142" w:firstLine="0"/>
            <w:rPr>
              <w:rFonts w:asciiTheme="minorHAnsi" w:eastAsiaTheme="minorEastAsia" w:hAnsiTheme="minorHAnsi"/>
              <w:noProof/>
              <w:sz w:val="22"/>
              <w:lang w:eastAsia="cs-CZ"/>
            </w:rPr>
          </w:pPr>
          <w:hyperlink w:anchor="_Toc476556246" w:history="1">
            <w:r w:rsidR="000D7385" w:rsidRPr="00C26ADF">
              <w:rPr>
                <w:rStyle w:val="Hypertextovodkaz"/>
                <w:rFonts w:eastAsia="Times New Roman"/>
                <w:noProof/>
                <w:lang w:eastAsia="cs-CZ"/>
              </w:rPr>
              <w:t>Sk. 3: Intenzifikace činnosti ÚP ČR a SUIP</w:t>
            </w:r>
            <w:r w:rsidR="000D7385">
              <w:rPr>
                <w:noProof/>
                <w:webHidden/>
              </w:rPr>
              <w:tab/>
            </w:r>
            <w:r w:rsidR="000D7385">
              <w:rPr>
                <w:noProof/>
                <w:webHidden/>
              </w:rPr>
              <w:fldChar w:fldCharType="begin"/>
            </w:r>
            <w:r w:rsidR="000D7385">
              <w:rPr>
                <w:noProof/>
                <w:webHidden/>
              </w:rPr>
              <w:instrText xml:space="preserve"> PAGEREF _Toc476556246 \h </w:instrText>
            </w:r>
            <w:r w:rsidR="000D7385">
              <w:rPr>
                <w:noProof/>
                <w:webHidden/>
              </w:rPr>
            </w:r>
            <w:r w:rsidR="000D7385">
              <w:rPr>
                <w:noProof/>
                <w:webHidden/>
              </w:rPr>
              <w:fldChar w:fldCharType="separate"/>
            </w:r>
            <w:r w:rsidR="004A5D48">
              <w:rPr>
                <w:noProof/>
                <w:webHidden/>
              </w:rPr>
              <w:t>37</w:t>
            </w:r>
            <w:r w:rsidR="000D7385">
              <w:rPr>
                <w:noProof/>
                <w:webHidden/>
              </w:rPr>
              <w:fldChar w:fldCharType="end"/>
            </w:r>
          </w:hyperlink>
        </w:p>
        <w:p w:rsidR="000D7385" w:rsidRDefault="00AB7C96" w:rsidP="000D7385">
          <w:pPr>
            <w:pStyle w:val="Obsah2"/>
            <w:ind w:left="142" w:firstLine="0"/>
            <w:rPr>
              <w:rFonts w:asciiTheme="minorHAnsi" w:eastAsiaTheme="minorEastAsia" w:hAnsiTheme="minorHAnsi"/>
              <w:noProof/>
              <w:sz w:val="22"/>
              <w:lang w:eastAsia="cs-CZ"/>
            </w:rPr>
          </w:pPr>
          <w:hyperlink w:anchor="_Toc476556247" w:history="1">
            <w:r w:rsidR="000D7385" w:rsidRPr="00C26ADF">
              <w:rPr>
                <w:rStyle w:val="Hypertextovodkaz"/>
                <w:rFonts w:eastAsia="Times New Roman"/>
                <w:noProof/>
                <w:lang w:eastAsia="cs-CZ"/>
              </w:rPr>
              <w:t>Sk. 4: Zvýšení kvalifikačního souladu na trhu práce</w:t>
            </w:r>
            <w:r w:rsidR="000D7385">
              <w:rPr>
                <w:noProof/>
                <w:webHidden/>
              </w:rPr>
              <w:tab/>
            </w:r>
            <w:r w:rsidR="000D7385">
              <w:rPr>
                <w:noProof/>
                <w:webHidden/>
              </w:rPr>
              <w:fldChar w:fldCharType="begin"/>
            </w:r>
            <w:r w:rsidR="000D7385">
              <w:rPr>
                <w:noProof/>
                <w:webHidden/>
              </w:rPr>
              <w:instrText xml:space="preserve"> PAGEREF _Toc476556247 \h </w:instrText>
            </w:r>
            <w:r w:rsidR="000D7385">
              <w:rPr>
                <w:noProof/>
                <w:webHidden/>
              </w:rPr>
            </w:r>
            <w:r w:rsidR="000D7385">
              <w:rPr>
                <w:noProof/>
                <w:webHidden/>
              </w:rPr>
              <w:fldChar w:fldCharType="separate"/>
            </w:r>
            <w:r w:rsidR="004A5D48">
              <w:rPr>
                <w:noProof/>
                <w:webHidden/>
              </w:rPr>
              <w:t>41</w:t>
            </w:r>
            <w:r w:rsidR="000D7385">
              <w:rPr>
                <w:noProof/>
                <w:webHidden/>
              </w:rPr>
              <w:fldChar w:fldCharType="end"/>
            </w:r>
          </w:hyperlink>
        </w:p>
        <w:p w:rsidR="00153127" w:rsidRDefault="00153127">
          <w:r>
            <w:rPr>
              <w:b/>
              <w:bCs/>
            </w:rPr>
            <w:fldChar w:fldCharType="end"/>
          </w:r>
        </w:p>
      </w:sdtContent>
    </w:sdt>
    <w:p w:rsidR="00534DB8" w:rsidRDefault="00534DB8" w:rsidP="00484D3B">
      <w:pPr>
        <w:pStyle w:val="Seznamobrzk"/>
        <w:tabs>
          <w:tab w:val="right" w:leader="dot" w:pos="9062"/>
        </w:tabs>
        <w:spacing w:line="240" w:lineRule="auto"/>
        <w:rPr>
          <w:sz w:val="16"/>
        </w:rPr>
      </w:pPr>
    </w:p>
    <w:p w:rsidR="00153127" w:rsidRDefault="00153127" w:rsidP="00484D3B">
      <w:pPr>
        <w:spacing w:after="200" w:line="240" w:lineRule="auto"/>
        <w:jc w:val="left"/>
        <w:rPr>
          <w:rFonts w:asciiTheme="majorHAnsi" w:eastAsiaTheme="majorEastAsia" w:hAnsiTheme="majorHAnsi" w:cstheme="majorBidi"/>
          <w:b/>
          <w:bCs/>
          <w:color w:val="365F91" w:themeColor="accent1" w:themeShade="BF"/>
          <w:szCs w:val="28"/>
          <w:lang w:eastAsia="cs-CZ"/>
        </w:rPr>
        <w:sectPr w:rsidR="00153127" w:rsidSect="00153127">
          <w:footerReference w:type="default" r:id="rId12"/>
          <w:headerReference w:type="first" r:id="rId13"/>
          <w:pgSz w:w="11906" w:h="16838"/>
          <w:pgMar w:top="1417" w:right="1417" w:bottom="1417" w:left="1417" w:header="708" w:footer="708" w:gutter="0"/>
          <w:pgNumType w:fmt="lowerRoman" w:start="1"/>
          <w:cols w:space="708"/>
          <w:titlePg/>
          <w:docGrid w:linePitch="360"/>
        </w:sectPr>
      </w:pPr>
    </w:p>
    <w:p w:rsidR="00534DB8" w:rsidRPr="00484D3B" w:rsidRDefault="00534DB8" w:rsidP="00484D3B">
      <w:pPr>
        <w:pStyle w:val="Nadpis1"/>
        <w:numPr>
          <w:ilvl w:val="0"/>
          <w:numId w:val="0"/>
        </w:numPr>
        <w:spacing w:line="240" w:lineRule="auto"/>
        <w:rPr>
          <w:lang w:eastAsia="cs-CZ"/>
        </w:rPr>
      </w:pPr>
      <w:bookmarkStart w:id="1" w:name="_Toc476556220"/>
      <w:r w:rsidRPr="00484D3B">
        <w:rPr>
          <w:lang w:eastAsia="cs-CZ"/>
        </w:rPr>
        <w:lastRenderedPageBreak/>
        <w:t>Seznam grafů</w:t>
      </w:r>
      <w:r w:rsidR="00484D3B">
        <w:rPr>
          <w:lang w:eastAsia="cs-CZ"/>
        </w:rPr>
        <w:t>,</w:t>
      </w:r>
      <w:r w:rsidRPr="00484D3B">
        <w:rPr>
          <w:lang w:eastAsia="cs-CZ"/>
        </w:rPr>
        <w:t xml:space="preserve"> tabulek</w:t>
      </w:r>
      <w:r w:rsidR="00484D3B">
        <w:rPr>
          <w:lang w:eastAsia="cs-CZ"/>
        </w:rPr>
        <w:t xml:space="preserve"> a zkratek</w:t>
      </w:r>
      <w:bookmarkEnd w:id="1"/>
    </w:p>
    <w:p w:rsidR="00534DB8" w:rsidRPr="00534DB8" w:rsidRDefault="00534DB8" w:rsidP="00484D3B">
      <w:pPr>
        <w:spacing w:after="120" w:line="240" w:lineRule="auto"/>
        <w:rPr>
          <w:rFonts w:asciiTheme="majorHAnsi" w:hAnsiTheme="majorHAnsi"/>
          <w:b/>
          <w:color w:val="0070C0"/>
          <w:sz w:val="20"/>
          <w:lang w:eastAsia="cs-CZ"/>
        </w:rPr>
      </w:pPr>
      <w:r w:rsidRPr="00534DB8">
        <w:rPr>
          <w:rFonts w:asciiTheme="majorHAnsi" w:hAnsiTheme="majorHAnsi"/>
          <w:b/>
          <w:color w:val="0070C0"/>
          <w:sz w:val="20"/>
          <w:lang w:eastAsia="cs-CZ"/>
        </w:rPr>
        <w:t>Grafy</w:t>
      </w:r>
    </w:p>
    <w:p w:rsidR="000D7385" w:rsidRPr="000D7385" w:rsidRDefault="00534DB8">
      <w:pPr>
        <w:pStyle w:val="Seznamobrzk"/>
        <w:tabs>
          <w:tab w:val="right" w:leader="dot" w:pos="9062"/>
        </w:tabs>
        <w:rPr>
          <w:rFonts w:asciiTheme="minorHAnsi" w:eastAsiaTheme="minorEastAsia" w:hAnsiTheme="minorHAnsi"/>
          <w:noProof/>
          <w:sz w:val="16"/>
          <w:szCs w:val="16"/>
          <w:lang w:eastAsia="cs-CZ"/>
        </w:rPr>
      </w:pPr>
      <w:r w:rsidRPr="000D7385">
        <w:rPr>
          <w:sz w:val="16"/>
          <w:szCs w:val="16"/>
        </w:rPr>
        <w:fldChar w:fldCharType="begin"/>
      </w:r>
      <w:r w:rsidRPr="000D7385">
        <w:rPr>
          <w:sz w:val="16"/>
          <w:szCs w:val="16"/>
        </w:rPr>
        <w:instrText xml:space="preserve"> TOC \h \z \c "Graf č.:" </w:instrText>
      </w:r>
      <w:r w:rsidRPr="000D7385">
        <w:rPr>
          <w:sz w:val="16"/>
          <w:szCs w:val="16"/>
        </w:rPr>
        <w:fldChar w:fldCharType="separate"/>
      </w:r>
      <w:hyperlink w:anchor="_Toc476556278" w:history="1">
        <w:r w:rsidR="000D7385" w:rsidRPr="000D7385">
          <w:rPr>
            <w:rStyle w:val="Hypertextovodkaz"/>
            <w:noProof/>
            <w:sz w:val="16"/>
            <w:szCs w:val="16"/>
          </w:rPr>
          <w:t>Graf č.: 1 Struktura neobsazenosti VPM podle hl. tříd zaměstnání (k 31. 12. 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_Toc476556278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4</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79" w:history="1">
        <w:r w:rsidR="000D7385" w:rsidRPr="000D7385">
          <w:rPr>
            <w:rStyle w:val="Hypertextovodkaz"/>
            <w:noProof/>
            <w:sz w:val="16"/>
            <w:szCs w:val="16"/>
          </w:rPr>
          <w:t>Graf č.: 2 Struktura VPM podle hl. tříd zaměstnání a doby neobsazenosti (31. 12. 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_Toc476556279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5</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80" w:history="1">
        <w:r w:rsidR="000D7385" w:rsidRPr="000D7385">
          <w:rPr>
            <w:rStyle w:val="Hypertextovodkaz"/>
            <w:noProof/>
            <w:sz w:val="16"/>
            <w:szCs w:val="16"/>
          </w:rPr>
          <w:t>Graf č.: 3 Struktura a počty VPM podle vzdělání (31. 12. 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_Toc476556280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5</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81" w:history="1">
        <w:r w:rsidR="000D7385" w:rsidRPr="000D7385">
          <w:rPr>
            <w:rStyle w:val="Hypertextovodkaz"/>
            <w:noProof/>
            <w:sz w:val="16"/>
            <w:szCs w:val="16"/>
          </w:rPr>
          <w:t>Graf č.: 4 Podíly VPM podle vzdělání a podle doby neobsazenosti (31. 12. 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_Toc476556281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6</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82" w:history="1">
        <w:r w:rsidR="000D7385" w:rsidRPr="000D7385">
          <w:rPr>
            <w:rStyle w:val="Hypertextovodkaz"/>
            <w:noProof/>
            <w:sz w:val="16"/>
            <w:szCs w:val="16"/>
          </w:rPr>
          <w:t>Graf č.: 5 Podíly VPM podle vzdělání a podle doby neobsazenosti (30. 9. 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_Toc476556282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6</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r:id="rId14" w:anchor="_Toc476556283" w:history="1">
        <w:r w:rsidR="000D7385" w:rsidRPr="000D7385">
          <w:rPr>
            <w:rStyle w:val="Hypertextovodkaz"/>
            <w:noProof/>
            <w:sz w:val="16"/>
            <w:szCs w:val="16"/>
          </w:rPr>
          <w:t>Graf č.: 6 Počet UoZ na VPM, srovnání září 2016/prosinec 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_Toc476556283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7</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84" w:history="1">
        <w:r w:rsidR="000D7385" w:rsidRPr="000D7385">
          <w:rPr>
            <w:rStyle w:val="Hypertextovodkaz"/>
            <w:noProof/>
            <w:sz w:val="16"/>
            <w:szCs w:val="16"/>
          </w:rPr>
          <w:t>Graf č.: 7 Podíl VPM hlášených jako vhodná pro cizince podle hl. tříd zaměstnání k 31. 12. 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_Toc476556284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8</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85" w:history="1">
        <w:r w:rsidR="000D7385" w:rsidRPr="000D7385">
          <w:rPr>
            <w:rStyle w:val="Hypertextovodkaz"/>
            <w:noProof/>
            <w:sz w:val="16"/>
            <w:szCs w:val="16"/>
          </w:rPr>
          <w:t>Graf č.: 8 Podíly znevýhodněných UoZ v krajích k 31. 12. 2016 (kumulovaně)</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_Toc476556285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16</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86" w:history="1">
        <w:r w:rsidR="000D7385" w:rsidRPr="000D7385">
          <w:rPr>
            <w:rStyle w:val="Hypertextovodkaz"/>
            <w:noProof/>
            <w:sz w:val="16"/>
            <w:szCs w:val="16"/>
          </w:rPr>
          <w:t>Graf č.: 9 Struktura UoZ podle délky nezaměstnanosti (srovnání ČR, kraje)</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_Toc476556286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16</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87" w:history="1">
        <w:r w:rsidR="000D7385" w:rsidRPr="000D7385">
          <w:rPr>
            <w:rStyle w:val="Hypertextovodkaz"/>
            <w:noProof/>
            <w:sz w:val="16"/>
            <w:szCs w:val="16"/>
          </w:rPr>
          <w:t>Graf č.: 10 Vývoj počtu a podílu UoZ s nárokem na PvN</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_Toc476556287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19</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88" w:history="1">
        <w:r w:rsidR="000D7385" w:rsidRPr="000D7385">
          <w:rPr>
            <w:rStyle w:val="Hypertextovodkaz"/>
            <w:noProof/>
            <w:sz w:val="16"/>
            <w:szCs w:val="16"/>
          </w:rPr>
          <w:t>Graf č.: 11 Vývoj počtu a podílu UoZ vykonávajících "nekolidující zaměstnání" v průběhu roku 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_Toc476556288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20</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89" w:history="1">
        <w:r w:rsidR="000D7385" w:rsidRPr="000D7385">
          <w:rPr>
            <w:rStyle w:val="Hypertextovodkaz"/>
            <w:noProof/>
            <w:sz w:val="16"/>
            <w:szCs w:val="16"/>
          </w:rPr>
          <w:t>Graf č.: 12 Vývoj struktury UoZ dle doby evidence (2008 – 2016, kumulativní součet)</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_Toc476556289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22</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90" w:history="1">
        <w:r w:rsidR="000D7385" w:rsidRPr="000D7385">
          <w:rPr>
            <w:rStyle w:val="Hypertextovodkaz"/>
            <w:noProof/>
            <w:sz w:val="16"/>
            <w:szCs w:val="16"/>
          </w:rPr>
          <w:t>Graf č.: 13 Vývoj počtu UoZ podle doby evidence (2008-2016)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_Toc476556290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22</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91" w:history="1">
        <w:r w:rsidR="000D7385" w:rsidRPr="000D7385">
          <w:rPr>
            <w:rStyle w:val="Hypertextovodkaz"/>
            <w:noProof/>
            <w:sz w:val="16"/>
            <w:szCs w:val="16"/>
          </w:rPr>
          <w:t>Graf č.: 14 Dynamika změny dlouhodobé nezaměstnanosti (v %, mezičtvrtletní změna)</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_Toc476556291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23</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92" w:history="1">
        <w:r w:rsidR="000D7385" w:rsidRPr="000D7385">
          <w:rPr>
            <w:rStyle w:val="Hypertextovodkaz"/>
            <w:noProof/>
            <w:sz w:val="16"/>
            <w:szCs w:val="16"/>
          </w:rPr>
          <w:t>Graf č.: 15 Vývoj zaměstnanosti cizinců podle postavení v zaměstnání (1997-2015)</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_Toc476556292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24</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93" w:history="1">
        <w:r w:rsidR="000D7385" w:rsidRPr="000D7385">
          <w:rPr>
            <w:rStyle w:val="Hypertextovodkaz"/>
            <w:noProof/>
            <w:sz w:val="16"/>
            <w:szCs w:val="16"/>
          </w:rPr>
          <w:t>Graf č.: 16 Cizinci evidovaní ÚP ČR (zaměstnanci), vývoj 2004 – 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_Toc476556293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25</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94" w:history="1">
        <w:r w:rsidR="000D7385" w:rsidRPr="000D7385">
          <w:rPr>
            <w:rStyle w:val="Hypertextovodkaz"/>
            <w:noProof/>
            <w:sz w:val="16"/>
            <w:szCs w:val="16"/>
          </w:rPr>
          <w:t>Graf č.: 17 Vývoj struktury cizinců evidovaných ÚP ČR (zaměstnanci) podle státního občanství, 2004 - 2016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_Toc476556294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26</w:t>
        </w:r>
        <w:r w:rsidR="000D7385" w:rsidRPr="000D7385">
          <w:rPr>
            <w:noProof/>
            <w:webHidden/>
            <w:sz w:val="16"/>
            <w:szCs w:val="16"/>
          </w:rPr>
          <w:fldChar w:fldCharType="end"/>
        </w:r>
      </w:hyperlink>
    </w:p>
    <w:p w:rsidR="000D7385" w:rsidRDefault="00534DB8" w:rsidP="000D7385">
      <w:pPr>
        <w:spacing w:before="240" w:line="240" w:lineRule="auto"/>
        <w:jc w:val="left"/>
        <w:rPr>
          <w:noProof/>
        </w:rPr>
      </w:pPr>
      <w:r w:rsidRPr="000D7385">
        <w:rPr>
          <w:sz w:val="16"/>
          <w:szCs w:val="16"/>
        </w:rPr>
        <w:fldChar w:fldCharType="end"/>
      </w:r>
      <w:r w:rsidRPr="00534DB8">
        <w:rPr>
          <w:rFonts w:asciiTheme="majorHAnsi" w:hAnsiTheme="majorHAnsi"/>
          <w:b/>
          <w:color w:val="0070C0"/>
          <w:sz w:val="20"/>
          <w:lang w:eastAsia="cs-CZ"/>
        </w:rPr>
        <w:t>Tabulky</w:t>
      </w:r>
      <w:r>
        <w:rPr>
          <w:rFonts w:asciiTheme="majorHAnsi" w:hAnsiTheme="majorHAnsi"/>
          <w:b/>
          <w:color w:val="0070C0"/>
          <w:sz w:val="20"/>
          <w:lang w:eastAsia="cs-CZ"/>
        </w:rPr>
        <w:fldChar w:fldCharType="begin"/>
      </w:r>
      <w:r w:rsidRPr="00534DB8">
        <w:rPr>
          <w:rFonts w:asciiTheme="majorHAnsi" w:hAnsiTheme="majorHAnsi"/>
          <w:b/>
          <w:color w:val="0070C0"/>
          <w:sz w:val="20"/>
          <w:lang w:eastAsia="cs-CZ"/>
        </w:rPr>
        <w:instrText xml:space="preserve"> TOC \h \z \c "Tabulka" </w:instrText>
      </w:r>
      <w:r>
        <w:rPr>
          <w:rFonts w:asciiTheme="majorHAnsi" w:hAnsiTheme="majorHAnsi"/>
          <w:b/>
          <w:color w:val="0070C0"/>
          <w:sz w:val="20"/>
          <w:lang w:eastAsia="cs-CZ"/>
        </w:rPr>
        <w:fldChar w:fldCharType="separate"/>
      </w:r>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95" w:history="1">
        <w:r w:rsidR="000D7385" w:rsidRPr="000D7385">
          <w:rPr>
            <w:rStyle w:val="Hypertextovodkaz"/>
            <w:noProof/>
            <w:sz w:val="16"/>
            <w:szCs w:val="16"/>
          </w:rPr>
          <w:t>Tabulka 1 Základní ukazatele nezaměstnanosti k 31. 12. 2016 v krajích ČR</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_Toc476556295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1</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96" w:history="1">
        <w:r w:rsidR="000D7385" w:rsidRPr="000D7385">
          <w:rPr>
            <w:rStyle w:val="Hypertextovodkaz"/>
            <w:noProof/>
            <w:sz w:val="16"/>
            <w:szCs w:val="16"/>
          </w:rPr>
          <w:t>Tabulka 2 Podíly VPM podle doby neobsazenosti</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_Toc476556296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3</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97" w:history="1">
        <w:r w:rsidR="000D7385" w:rsidRPr="000D7385">
          <w:rPr>
            <w:rStyle w:val="Hypertextovodkaz"/>
            <w:noProof/>
            <w:sz w:val="16"/>
            <w:szCs w:val="16"/>
          </w:rPr>
          <w:t>Tabulka 3 Vývoj mezd ve vybraných skupinách zaměstnání podle CZ-ISCO (v Kč/měsíc)</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_Toc476556297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9</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98" w:history="1">
        <w:r w:rsidR="000D7385" w:rsidRPr="000D7385">
          <w:rPr>
            <w:rStyle w:val="Hypertextovodkaz"/>
            <w:noProof/>
            <w:sz w:val="16"/>
            <w:szCs w:val="16"/>
          </w:rPr>
          <w:t xml:space="preserve">Tabulka 4 Průměrné výdělky podle státního občanství (v Kč/měsíc) </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_Toc476556298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9</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299" w:history="1">
        <w:r w:rsidR="000D7385" w:rsidRPr="000D7385">
          <w:rPr>
            <w:rStyle w:val="Hypertextovodkaz"/>
            <w:noProof/>
            <w:sz w:val="16"/>
            <w:szCs w:val="16"/>
          </w:rPr>
          <w:t>Tabulka 5 Nejčastěji zastoupené skupiny zaměstnání (CZ-ISCO) a jejich podskupiny mezi UoZ k 31. 12. 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_Toc476556299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11</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300" w:history="1">
        <w:r w:rsidR="000D7385" w:rsidRPr="000D7385">
          <w:rPr>
            <w:rStyle w:val="Hypertextovodkaz"/>
            <w:noProof/>
            <w:sz w:val="16"/>
            <w:szCs w:val="16"/>
          </w:rPr>
          <w:t>Tabulka 6 Nejčastěji poptávané skupiny zaměstnání (CZ-ISCO) a jejich podskupiny k 31. 12. 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_Toc476556300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12</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301" w:history="1">
        <w:r w:rsidR="000D7385" w:rsidRPr="000D7385">
          <w:rPr>
            <w:rStyle w:val="Hypertextovodkaz"/>
            <w:noProof/>
            <w:sz w:val="16"/>
            <w:szCs w:val="16"/>
          </w:rPr>
          <w:t>Tabulka 7 Počty znevýhodněných UoZ k 31. 12. 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_Toc476556301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14</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302" w:history="1">
        <w:r w:rsidR="000D7385" w:rsidRPr="000D7385">
          <w:rPr>
            <w:rStyle w:val="Hypertextovodkaz"/>
            <w:noProof/>
            <w:sz w:val="16"/>
            <w:szCs w:val="16"/>
          </w:rPr>
          <w:t>Tabulka 8 Podíly znevýhodněných UoZ k 31. 12. 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_Toc476556302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15</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303" w:history="1">
        <w:r w:rsidR="000D7385" w:rsidRPr="000D7385">
          <w:rPr>
            <w:rStyle w:val="Hypertextovodkaz"/>
            <w:noProof/>
            <w:sz w:val="16"/>
            <w:szCs w:val="16"/>
          </w:rPr>
          <w:t>Tabulka 9 Počet a podíl žen ve znevýhodněných skupinách k 31. 12. 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_Toc476556303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15</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304" w:history="1">
        <w:r w:rsidR="000D7385" w:rsidRPr="000D7385">
          <w:rPr>
            <w:rStyle w:val="Hypertextovodkaz"/>
            <w:noProof/>
            <w:sz w:val="16"/>
            <w:szCs w:val="16"/>
          </w:rPr>
          <w:t>Tabulka 10 Vzdělanostní struktura UoZ podle krajů k 31. 12. 2016</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_Toc476556304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18</w:t>
        </w:r>
        <w:r w:rsidR="000D7385" w:rsidRPr="000D7385">
          <w:rPr>
            <w:noProof/>
            <w:webHidden/>
            <w:sz w:val="16"/>
            <w:szCs w:val="16"/>
          </w:rPr>
          <w:fldChar w:fldCharType="end"/>
        </w:r>
      </w:hyperlink>
    </w:p>
    <w:p w:rsidR="000D7385" w:rsidRPr="000D7385" w:rsidRDefault="00AB7C96">
      <w:pPr>
        <w:pStyle w:val="Seznamobrzk"/>
        <w:tabs>
          <w:tab w:val="right" w:leader="dot" w:pos="9062"/>
        </w:tabs>
        <w:rPr>
          <w:rFonts w:asciiTheme="minorHAnsi" w:eastAsiaTheme="minorEastAsia" w:hAnsiTheme="minorHAnsi"/>
          <w:noProof/>
          <w:sz w:val="16"/>
          <w:szCs w:val="16"/>
          <w:lang w:eastAsia="cs-CZ"/>
        </w:rPr>
      </w:pPr>
      <w:hyperlink w:anchor="_Toc476556305" w:history="1">
        <w:r w:rsidR="000D7385" w:rsidRPr="000D7385">
          <w:rPr>
            <w:rStyle w:val="Hypertextovodkaz"/>
            <w:noProof/>
            <w:sz w:val="16"/>
            <w:szCs w:val="16"/>
          </w:rPr>
          <w:t>Tabulka 11 Počty a podíly UoZ vykonávající nekolidující zaměstnání</w:t>
        </w:r>
        <w:r w:rsidR="000D7385" w:rsidRPr="000D7385">
          <w:rPr>
            <w:noProof/>
            <w:webHidden/>
            <w:sz w:val="16"/>
            <w:szCs w:val="16"/>
          </w:rPr>
          <w:tab/>
        </w:r>
        <w:r w:rsidR="000D7385" w:rsidRPr="000D7385">
          <w:rPr>
            <w:noProof/>
            <w:webHidden/>
            <w:sz w:val="16"/>
            <w:szCs w:val="16"/>
          </w:rPr>
          <w:fldChar w:fldCharType="begin"/>
        </w:r>
        <w:r w:rsidR="000D7385" w:rsidRPr="000D7385">
          <w:rPr>
            <w:noProof/>
            <w:webHidden/>
            <w:sz w:val="16"/>
            <w:szCs w:val="16"/>
          </w:rPr>
          <w:instrText xml:space="preserve"> PAGEREF _Toc476556305 \h </w:instrText>
        </w:r>
        <w:r w:rsidR="000D7385" w:rsidRPr="000D7385">
          <w:rPr>
            <w:noProof/>
            <w:webHidden/>
            <w:sz w:val="16"/>
            <w:szCs w:val="16"/>
          </w:rPr>
        </w:r>
        <w:r w:rsidR="000D7385" w:rsidRPr="000D7385">
          <w:rPr>
            <w:noProof/>
            <w:webHidden/>
            <w:sz w:val="16"/>
            <w:szCs w:val="16"/>
          </w:rPr>
          <w:fldChar w:fldCharType="separate"/>
        </w:r>
        <w:r w:rsidR="004A5D48">
          <w:rPr>
            <w:noProof/>
            <w:webHidden/>
            <w:sz w:val="16"/>
            <w:szCs w:val="16"/>
          </w:rPr>
          <w:t>20</w:t>
        </w:r>
        <w:r w:rsidR="000D7385" w:rsidRPr="000D7385">
          <w:rPr>
            <w:noProof/>
            <w:webHidden/>
            <w:sz w:val="16"/>
            <w:szCs w:val="16"/>
          </w:rPr>
          <w:fldChar w:fldCharType="end"/>
        </w:r>
      </w:hyperlink>
    </w:p>
    <w:p w:rsidR="00484D3B" w:rsidRDefault="00534DB8" w:rsidP="000D7385">
      <w:pPr>
        <w:spacing w:before="240" w:line="240" w:lineRule="auto"/>
        <w:jc w:val="left"/>
        <w:rPr>
          <w:rFonts w:asciiTheme="majorHAnsi" w:hAnsiTheme="majorHAnsi"/>
          <w:b/>
          <w:color w:val="0070C0"/>
          <w:sz w:val="20"/>
          <w:lang w:eastAsia="cs-CZ"/>
        </w:rPr>
      </w:pPr>
      <w:r>
        <w:rPr>
          <w:sz w:val="16"/>
        </w:rPr>
        <w:fldChar w:fldCharType="end"/>
      </w:r>
      <w:r w:rsidR="00484D3B" w:rsidRPr="00484D3B">
        <w:rPr>
          <w:rFonts w:asciiTheme="majorHAnsi" w:hAnsiTheme="majorHAnsi"/>
          <w:b/>
          <w:color w:val="0070C0"/>
          <w:sz w:val="20"/>
          <w:lang w:eastAsia="cs-CZ"/>
        </w:rPr>
        <w:t>Zkratky</w:t>
      </w:r>
    </w:p>
    <w:p w:rsidR="000D749F" w:rsidRDefault="000D749F" w:rsidP="00484D3B">
      <w:pPr>
        <w:spacing w:after="120"/>
        <w:jc w:val="left"/>
        <w:rPr>
          <w:sz w:val="16"/>
        </w:rPr>
        <w:sectPr w:rsidR="000D749F" w:rsidSect="00153127">
          <w:footerReference w:type="first" r:id="rId15"/>
          <w:pgSz w:w="11906" w:h="16838"/>
          <w:pgMar w:top="1417" w:right="1417" w:bottom="1417" w:left="1417" w:header="708" w:footer="708" w:gutter="0"/>
          <w:pgNumType w:fmt="lowerRoman" w:start="1"/>
          <w:cols w:space="708"/>
          <w:titlePg/>
          <w:docGrid w:linePitch="360"/>
        </w:sectPr>
      </w:pPr>
    </w:p>
    <w:tbl>
      <w:tblPr>
        <w:tblStyle w:val="Mkatabulky"/>
        <w:tblW w:w="456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3563"/>
      </w:tblGrid>
      <w:tr w:rsidR="00193EA4" w:rsidTr="00784C47">
        <w:trPr>
          <w:trHeight w:val="241"/>
        </w:trPr>
        <w:tc>
          <w:tcPr>
            <w:tcW w:w="999" w:type="dxa"/>
            <w:vAlign w:val="center"/>
          </w:tcPr>
          <w:p w:rsidR="00193EA4" w:rsidRPr="00E17CFD" w:rsidRDefault="00193EA4" w:rsidP="00AA6B8B">
            <w:pPr>
              <w:spacing w:before="20" w:afterLines="20" w:after="48"/>
              <w:ind w:left="-43"/>
              <w:jc w:val="right"/>
              <w:rPr>
                <w:sz w:val="16"/>
                <w:szCs w:val="16"/>
              </w:rPr>
            </w:pPr>
            <w:r>
              <w:rPr>
                <w:sz w:val="16"/>
                <w:szCs w:val="16"/>
              </w:rPr>
              <w:lastRenderedPageBreak/>
              <w:t>APZ</w:t>
            </w:r>
          </w:p>
        </w:tc>
        <w:tc>
          <w:tcPr>
            <w:tcW w:w="3563" w:type="dxa"/>
          </w:tcPr>
          <w:p w:rsidR="00193EA4" w:rsidRPr="00E17CFD" w:rsidRDefault="00F332CA" w:rsidP="00C05C41">
            <w:pPr>
              <w:spacing w:before="20" w:afterLines="20" w:after="48"/>
              <w:ind w:left="34"/>
              <w:rPr>
                <w:sz w:val="16"/>
                <w:szCs w:val="16"/>
              </w:rPr>
            </w:pPr>
            <w:r>
              <w:rPr>
                <w:sz w:val="16"/>
                <w:szCs w:val="16"/>
              </w:rPr>
              <w:t>A</w:t>
            </w:r>
            <w:r w:rsidR="00193EA4">
              <w:rPr>
                <w:sz w:val="16"/>
                <w:szCs w:val="16"/>
              </w:rPr>
              <w:t>ktivní politika zaměstnanosti</w:t>
            </w:r>
          </w:p>
        </w:tc>
      </w:tr>
      <w:tr w:rsidR="00193EA4" w:rsidTr="00784C47">
        <w:trPr>
          <w:trHeight w:val="224"/>
        </w:trPr>
        <w:tc>
          <w:tcPr>
            <w:tcW w:w="999" w:type="dxa"/>
            <w:vAlign w:val="center"/>
          </w:tcPr>
          <w:p w:rsidR="00193EA4" w:rsidRDefault="00193EA4" w:rsidP="00AA6B8B">
            <w:pPr>
              <w:spacing w:before="20" w:afterLines="20" w:after="48"/>
              <w:ind w:left="-43"/>
              <w:jc w:val="right"/>
              <w:rPr>
                <w:sz w:val="16"/>
              </w:rPr>
            </w:pPr>
            <w:r>
              <w:rPr>
                <w:sz w:val="16"/>
              </w:rPr>
              <w:t>ČSÚ</w:t>
            </w:r>
          </w:p>
        </w:tc>
        <w:tc>
          <w:tcPr>
            <w:tcW w:w="3563" w:type="dxa"/>
            <w:vAlign w:val="center"/>
          </w:tcPr>
          <w:p w:rsidR="00193EA4" w:rsidRDefault="00193EA4" w:rsidP="00C05C41">
            <w:pPr>
              <w:spacing w:before="20" w:afterLines="20" w:after="48"/>
              <w:ind w:left="34"/>
              <w:rPr>
                <w:sz w:val="16"/>
              </w:rPr>
            </w:pPr>
            <w:r>
              <w:rPr>
                <w:sz w:val="16"/>
              </w:rPr>
              <w:t>Český statistický úřad</w:t>
            </w:r>
          </w:p>
        </w:tc>
      </w:tr>
      <w:tr w:rsidR="00193EA4" w:rsidTr="00784C47">
        <w:trPr>
          <w:trHeight w:val="241"/>
        </w:trPr>
        <w:tc>
          <w:tcPr>
            <w:tcW w:w="999" w:type="dxa"/>
            <w:vAlign w:val="center"/>
          </w:tcPr>
          <w:p w:rsidR="00193EA4" w:rsidRPr="00E17CFD" w:rsidRDefault="00193EA4" w:rsidP="00AA6B8B">
            <w:pPr>
              <w:spacing w:before="20" w:afterLines="20" w:after="48"/>
              <w:ind w:left="-43"/>
              <w:jc w:val="right"/>
              <w:rPr>
                <w:sz w:val="16"/>
                <w:szCs w:val="16"/>
              </w:rPr>
            </w:pPr>
            <w:r>
              <w:rPr>
                <w:sz w:val="16"/>
                <w:szCs w:val="16"/>
              </w:rPr>
              <w:t>DPP</w:t>
            </w:r>
          </w:p>
        </w:tc>
        <w:tc>
          <w:tcPr>
            <w:tcW w:w="3563" w:type="dxa"/>
          </w:tcPr>
          <w:p w:rsidR="00193EA4" w:rsidRPr="00E17CFD" w:rsidRDefault="00F332CA" w:rsidP="00C05C41">
            <w:pPr>
              <w:spacing w:before="20" w:afterLines="20" w:after="48"/>
              <w:ind w:left="34"/>
              <w:rPr>
                <w:sz w:val="16"/>
                <w:szCs w:val="16"/>
              </w:rPr>
            </w:pPr>
            <w:r>
              <w:rPr>
                <w:sz w:val="16"/>
                <w:szCs w:val="16"/>
              </w:rPr>
              <w:t>D</w:t>
            </w:r>
            <w:r w:rsidR="00193EA4">
              <w:rPr>
                <w:sz w:val="16"/>
                <w:szCs w:val="16"/>
              </w:rPr>
              <w:t>ohoda o provedení práce</w:t>
            </w:r>
          </w:p>
        </w:tc>
      </w:tr>
      <w:tr w:rsidR="00193EA4" w:rsidTr="00784C47">
        <w:trPr>
          <w:trHeight w:val="396"/>
        </w:trPr>
        <w:tc>
          <w:tcPr>
            <w:tcW w:w="999" w:type="dxa"/>
            <w:vAlign w:val="center"/>
          </w:tcPr>
          <w:p w:rsidR="00193EA4" w:rsidRPr="00E17CFD" w:rsidRDefault="00193EA4" w:rsidP="00AA6B8B">
            <w:pPr>
              <w:spacing w:before="20" w:afterLines="20" w:after="48"/>
              <w:ind w:left="-43"/>
              <w:jc w:val="right"/>
              <w:rPr>
                <w:sz w:val="16"/>
                <w:szCs w:val="16"/>
              </w:rPr>
            </w:pPr>
            <w:r>
              <w:rPr>
                <w:sz w:val="16"/>
                <w:szCs w:val="16"/>
              </w:rPr>
              <w:t>GŘ UP ČR</w:t>
            </w:r>
          </w:p>
        </w:tc>
        <w:tc>
          <w:tcPr>
            <w:tcW w:w="3563" w:type="dxa"/>
          </w:tcPr>
          <w:p w:rsidR="00193EA4" w:rsidRPr="00E17CFD" w:rsidRDefault="00193EA4" w:rsidP="00C05C41">
            <w:pPr>
              <w:spacing w:before="20" w:afterLines="20" w:after="48"/>
              <w:ind w:left="34"/>
              <w:rPr>
                <w:sz w:val="16"/>
                <w:szCs w:val="16"/>
              </w:rPr>
            </w:pPr>
            <w:r>
              <w:rPr>
                <w:sz w:val="16"/>
                <w:szCs w:val="16"/>
              </w:rPr>
              <w:t>Generální ředitelství Úřadu práce České republiky</w:t>
            </w:r>
          </w:p>
        </w:tc>
      </w:tr>
      <w:tr w:rsidR="00193EA4" w:rsidTr="00784C47">
        <w:trPr>
          <w:trHeight w:val="241"/>
        </w:trPr>
        <w:tc>
          <w:tcPr>
            <w:tcW w:w="999" w:type="dxa"/>
            <w:vAlign w:val="center"/>
          </w:tcPr>
          <w:p w:rsidR="00193EA4" w:rsidRPr="00E17CFD" w:rsidRDefault="00193EA4" w:rsidP="00AA6B8B">
            <w:pPr>
              <w:spacing w:before="20" w:afterLines="20" w:after="48"/>
              <w:ind w:left="-43"/>
              <w:jc w:val="right"/>
              <w:rPr>
                <w:sz w:val="16"/>
                <w:szCs w:val="16"/>
              </w:rPr>
            </w:pPr>
            <w:r>
              <w:rPr>
                <w:sz w:val="16"/>
                <w:szCs w:val="16"/>
              </w:rPr>
              <w:t>IAP</w:t>
            </w:r>
          </w:p>
        </w:tc>
        <w:tc>
          <w:tcPr>
            <w:tcW w:w="3563" w:type="dxa"/>
          </w:tcPr>
          <w:p w:rsidR="00193EA4" w:rsidRPr="00E17CFD" w:rsidRDefault="00193EA4" w:rsidP="00C05C41">
            <w:pPr>
              <w:spacing w:before="20" w:afterLines="20" w:after="48"/>
              <w:ind w:left="34"/>
              <w:rPr>
                <w:sz w:val="16"/>
                <w:szCs w:val="16"/>
              </w:rPr>
            </w:pPr>
            <w:r>
              <w:rPr>
                <w:sz w:val="16"/>
                <w:szCs w:val="16"/>
              </w:rPr>
              <w:t>Individuální akční plán</w:t>
            </w:r>
          </w:p>
        </w:tc>
      </w:tr>
      <w:tr w:rsidR="00193EA4" w:rsidTr="00784C47">
        <w:trPr>
          <w:trHeight w:val="396"/>
        </w:trPr>
        <w:tc>
          <w:tcPr>
            <w:tcW w:w="999" w:type="dxa"/>
            <w:vAlign w:val="center"/>
          </w:tcPr>
          <w:p w:rsidR="00193EA4" w:rsidRPr="00E17CFD" w:rsidRDefault="00193EA4" w:rsidP="00AA6B8B">
            <w:pPr>
              <w:spacing w:before="20" w:afterLines="20" w:after="48"/>
              <w:ind w:left="-43"/>
              <w:jc w:val="right"/>
              <w:rPr>
                <w:sz w:val="16"/>
                <w:szCs w:val="16"/>
              </w:rPr>
            </w:pPr>
            <w:r>
              <w:rPr>
                <w:sz w:val="16"/>
                <w:szCs w:val="16"/>
              </w:rPr>
              <w:t>IPS</w:t>
            </w:r>
          </w:p>
        </w:tc>
        <w:tc>
          <w:tcPr>
            <w:tcW w:w="3563" w:type="dxa"/>
          </w:tcPr>
          <w:p w:rsidR="00193EA4" w:rsidRPr="00E17CFD" w:rsidRDefault="00193EA4" w:rsidP="00C05C41">
            <w:pPr>
              <w:spacing w:before="20" w:afterLines="20" w:after="48"/>
              <w:ind w:left="34"/>
              <w:rPr>
                <w:sz w:val="16"/>
                <w:szCs w:val="16"/>
              </w:rPr>
            </w:pPr>
            <w:r>
              <w:rPr>
                <w:sz w:val="16"/>
                <w:szCs w:val="16"/>
              </w:rPr>
              <w:t>Informační a poradenské středisko (útvar UP ČR)</w:t>
            </w:r>
          </w:p>
        </w:tc>
      </w:tr>
      <w:tr w:rsidR="00193EA4" w:rsidTr="00784C47">
        <w:trPr>
          <w:trHeight w:val="224"/>
        </w:trPr>
        <w:tc>
          <w:tcPr>
            <w:tcW w:w="999" w:type="dxa"/>
            <w:vAlign w:val="center"/>
          </w:tcPr>
          <w:p w:rsidR="00193EA4" w:rsidRDefault="00193EA4" w:rsidP="00AA6B8B">
            <w:pPr>
              <w:spacing w:before="20" w:afterLines="20" w:after="48"/>
              <w:ind w:left="-43"/>
              <w:jc w:val="right"/>
              <w:rPr>
                <w:sz w:val="16"/>
              </w:rPr>
            </w:pPr>
            <w:r>
              <w:rPr>
                <w:sz w:val="16"/>
              </w:rPr>
              <w:t>ISPV</w:t>
            </w:r>
          </w:p>
        </w:tc>
        <w:tc>
          <w:tcPr>
            <w:tcW w:w="3563" w:type="dxa"/>
            <w:vAlign w:val="center"/>
          </w:tcPr>
          <w:p w:rsidR="00193EA4" w:rsidRDefault="00193EA4" w:rsidP="00C05C41">
            <w:pPr>
              <w:spacing w:before="20" w:afterLines="20" w:after="48"/>
              <w:ind w:left="34"/>
              <w:rPr>
                <w:sz w:val="16"/>
              </w:rPr>
            </w:pPr>
            <w:r>
              <w:rPr>
                <w:sz w:val="16"/>
              </w:rPr>
              <w:t>Informační systém o průměrném výdělku</w:t>
            </w:r>
          </w:p>
        </w:tc>
      </w:tr>
      <w:tr w:rsidR="00193EA4" w:rsidTr="00784C47">
        <w:trPr>
          <w:trHeight w:val="241"/>
        </w:trPr>
        <w:tc>
          <w:tcPr>
            <w:tcW w:w="999" w:type="dxa"/>
          </w:tcPr>
          <w:p w:rsidR="00193EA4" w:rsidRPr="00E17CFD" w:rsidRDefault="00193EA4" w:rsidP="00AA6B8B">
            <w:pPr>
              <w:spacing w:before="20" w:afterLines="20" w:after="48"/>
              <w:ind w:left="-43"/>
              <w:jc w:val="right"/>
              <w:rPr>
                <w:sz w:val="16"/>
              </w:rPr>
            </w:pPr>
            <w:r w:rsidRPr="00E17CFD">
              <w:rPr>
                <w:sz w:val="16"/>
              </w:rPr>
              <w:t>JČK</w:t>
            </w:r>
          </w:p>
        </w:tc>
        <w:tc>
          <w:tcPr>
            <w:tcW w:w="3563" w:type="dxa"/>
            <w:vAlign w:val="center"/>
          </w:tcPr>
          <w:p w:rsidR="00193EA4" w:rsidRPr="00E17CFD" w:rsidRDefault="00193EA4" w:rsidP="00C05C41">
            <w:pPr>
              <w:spacing w:before="20" w:afterLines="20" w:after="48"/>
              <w:ind w:left="34"/>
              <w:rPr>
                <w:sz w:val="16"/>
              </w:rPr>
            </w:pPr>
            <w:r>
              <w:rPr>
                <w:sz w:val="16"/>
              </w:rPr>
              <w:t>Jihočeský kraj</w:t>
            </w:r>
          </w:p>
        </w:tc>
      </w:tr>
      <w:tr w:rsidR="00193EA4" w:rsidTr="00784C47">
        <w:trPr>
          <w:trHeight w:val="224"/>
        </w:trPr>
        <w:tc>
          <w:tcPr>
            <w:tcW w:w="999" w:type="dxa"/>
          </w:tcPr>
          <w:p w:rsidR="00193EA4" w:rsidRPr="00E17CFD" w:rsidRDefault="00193EA4" w:rsidP="00AA6B8B">
            <w:pPr>
              <w:spacing w:before="20" w:afterLines="20" w:after="48"/>
              <w:ind w:left="-43"/>
              <w:jc w:val="right"/>
              <w:rPr>
                <w:sz w:val="16"/>
              </w:rPr>
            </w:pPr>
            <w:r w:rsidRPr="00E17CFD">
              <w:rPr>
                <w:sz w:val="16"/>
              </w:rPr>
              <w:t>JMK</w:t>
            </w:r>
          </w:p>
        </w:tc>
        <w:tc>
          <w:tcPr>
            <w:tcW w:w="3563" w:type="dxa"/>
          </w:tcPr>
          <w:p w:rsidR="00193EA4" w:rsidRPr="00E17CFD" w:rsidRDefault="00193EA4" w:rsidP="00C05C41">
            <w:pPr>
              <w:spacing w:before="20" w:afterLines="20" w:after="48"/>
              <w:ind w:left="34"/>
              <w:rPr>
                <w:sz w:val="16"/>
              </w:rPr>
            </w:pPr>
            <w:r w:rsidRPr="00E17CFD">
              <w:rPr>
                <w:sz w:val="16"/>
              </w:rPr>
              <w:t>Jihomoravský kraj</w:t>
            </w:r>
          </w:p>
        </w:tc>
      </w:tr>
      <w:tr w:rsidR="00193EA4" w:rsidTr="00784C47">
        <w:trPr>
          <w:trHeight w:val="241"/>
        </w:trPr>
        <w:tc>
          <w:tcPr>
            <w:tcW w:w="999" w:type="dxa"/>
          </w:tcPr>
          <w:p w:rsidR="00193EA4" w:rsidRPr="00E17CFD" w:rsidRDefault="00193EA4" w:rsidP="00AA6B8B">
            <w:pPr>
              <w:spacing w:before="20" w:afterLines="20" w:after="48"/>
              <w:ind w:left="-43"/>
              <w:jc w:val="right"/>
              <w:rPr>
                <w:sz w:val="16"/>
              </w:rPr>
            </w:pPr>
            <w:r w:rsidRPr="00E17CFD">
              <w:rPr>
                <w:sz w:val="16"/>
              </w:rPr>
              <w:t>KHK</w:t>
            </w:r>
          </w:p>
        </w:tc>
        <w:tc>
          <w:tcPr>
            <w:tcW w:w="3563" w:type="dxa"/>
          </w:tcPr>
          <w:p w:rsidR="00193EA4" w:rsidRPr="00E17CFD" w:rsidRDefault="00193EA4" w:rsidP="00C05C41">
            <w:pPr>
              <w:spacing w:before="20" w:afterLines="20" w:after="48"/>
              <w:ind w:left="34"/>
              <w:rPr>
                <w:sz w:val="16"/>
              </w:rPr>
            </w:pPr>
            <w:r w:rsidRPr="00E17CFD">
              <w:rPr>
                <w:sz w:val="16"/>
              </w:rPr>
              <w:t>Královehradecký kraj</w:t>
            </w:r>
          </w:p>
        </w:tc>
      </w:tr>
      <w:tr w:rsidR="00193EA4" w:rsidTr="00784C47">
        <w:trPr>
          <w:trHeight w:val="224"/>
        </w:trPr>
        <w:tc>
          <w:tcPr>
            <w:tcW w:w="999" w:type="dxa"/>
          </w:tcPr>
          <w:p w:rsidR="00193EA4" w:rsidRPr="00E17CFD" w:rsidRDefault="00193EA4" w:rsidP="00AA6B8B">
            <w:pPr>
              <w:spacing w:before="20" w:afterLines="20" w:after="48"/>
              <w:ind w:left="-43"/>
              <w:jc w:val="right"/>
              <w:rPr>
                <w:sz w:val="16"/>
              </w:rPr>
            </w:pPr>
            <w:r w:rsidRPr="00E17CFD">
              <w:rPr>
                <w:sz w:val="16"/>
              </w:rPr>
              <w:t>KVK</w:t>
            </w:r>
          </w:p>
        </w:tc>
        <w:tc>
          <w:tcPr>
            <w:tcW w:w="3563" w:type="dxa"/>
          </w:tcPr>
          <w:p w:rsidR="00193EA4" w:rsidRPr="00E17CFD" w:rsidRDefault="00193EA4" w:rsidP="00C05C41">
            <w:pPr>
              <w:spacing w:before="20" w:afterLines="20" w:after="48"/>
              <w:ind w:left="34"/>
              <w:rPr>
                <w:sz w:val="16"/>
              </w:rPr>
            </w:pPr>
            <w:r w:rsidRPr="00E17CFD">
              <w:rPr>
                <w:sz w:val="16"/>
              </w:rPr>
              <w:t>Karlovarský kraj</w:t>
            </w:r>
          </w:p>
        </w:tc>
      </w:tr>
      <w:tr w:rsidR="00193EA4" w:rsidTr="00784C47">
        <w:trPr>
          <w:trHeight w:val="241"/>
        </w:trPr>
        <w:tc>
          <w:tcPr>
            <w:tcW w:w="999" w:type="dxa"/>
          </w:tcPr>
          <w:p w:rsidR="00193EA4" w:rsidRPr="00E17CFD" w:rsidRDefault="00193EA4" w:rsidP="00AA6B8B">
            <w:pPr>
              <w:spacing w:before="20" w:afterLines="20" w:after="48"/>
              <w:ind w:left="-43"/>
              <w:jc w:val="right"/>
              <w:rPr>
                <w:sz w:val="16"/>
              </w:rPr>
            </w:pPr>
            <w:r w:rsidRPr="00E17CFD">
              <w:rPr>
                <w:sz w:val="16"/>
              </w:rPr>
              <w:t>LBK</w:t>
            </w:r>
          </w:p>
        </w:tc>
        <w:tc>
          <w:tcPr>
            <w:tcW w:w="3563" w:type="dxa"/>
          </w:tcPr>
          <w:p w:rsidR="00193EA4" w:rsidRPr="00E17CFD" w:rsidRDefault="00193EA4" w:rsidP="00C05C41">
            <w:pPr>
              <w:spacing w:before="20" w:afterLines="20" w:after="48"/>
              <w:ind w:left="34"/>
              <w:rPr>
                <w:sz w:val="16"/>
              </w:rPr>
            </w:pPr>
            <w:r w:rsidRPr="00E17CFD">
              <w:rPr>
                <w:sz w:val="16"/>
              </w:rPr>
              <w:t>Liberecký kraj</w:t>
            </w:r>
          </w:p>
        </w:tc>
      </w:tr>
      <w:tr w:rsidR="00193EA4" w:rsidTr="00784C47">
        <w:trPr>
          <w:trHeight w:val="224"/>
        </w:trPr>
        <w:tc>
          <w:tcPr>
            <w:tcW w:w="999" w:type="dxa"/>
            <w:vAlign w:val="center"/>
          </w:tcPr>
          <w:p w:rsidR="00193EA4" w:rsidRPr="00484D3B" w:rsidRDefault="00193EA4" w:rsidP="00AA6B8B">
            <w:pPr>
              <w:spacing w:before="20" w:afterLines="20" w:after="48"/>
              <w:ind w:left="-43"/>
              <w:jc w:val="right"/>
              <w:rPr>
                <w:sz w:val="16"/>
              </w:rPr>
            </w:pPr>
            <w:r>
              <w:rPr>
                <w:sz w:val="16"/>
              </w:rPr>
              <w:t>MPSV</w:t>
            </w:r>
          </w:p>
        </w:tc>
        <w:tc>
          <w:tcPr>
            <w:tcW w:w="3563" w:type="dxa"/>
            <w:vAlign w:val="center"/>
          </w:tcPr>
          <w:p w:rsidR="00193EA4" w:rsidRPr="00484D3B" w:rsidRDefault="00193EA4" w:rsidP="00C05C41">
            <w:pPr>
              <w:tabs>
                <w:tab w:val="left" w:pos="151"/>
              </w:tabs>
              <w:spacing w:before="20" w:afterLines="20" w:after="48"/>
              <w:ind w:left="34"/>
              <w:rPr>
                <w:sz w:val="16"/>
              </w:rPr>
            </w:pPr>
            <w:r>
              <w:rPr>
                <w:sz w:val="16"/>
              </w:rPr>
              <w:t>Ministerstvo práce a sociálních věcí</w:t>
            </w:r>
          </w:p>
        </w:tc>
      </w:tr>
      <w:tr w:rsidR="00193EA4" w:rsidTr="00784C47">
        <w:trPr>
          <w:trHeight w:val="241"/>
        </w:trPr>
        <w:tc>
          <w:tcPr>
            <w:tcW w:w="999" w:type="dxa"/>
            <w:vAlign w:val="center"/>
          </w:tcPr>
          <w:p w:rsidR="00193EA4" w:rsidRPr="00E17CFD" w:rsidRDefault="00193EA4" w:rsidP="00AA6B8B">
            <w:pPr>
              <w:spacing w:before="20" w:afterLines="20" w:after="48"/>
              <w:ind w:left="-43"/>
              <w:jc w:val="right"/>
              <w:rPr>
                <w:sz w:val="16"/>
              </w:rPr>
            </w:pPr>
            <w:r>
              <w:rPr>
                <w:sz w:val="16"/>
              </w:rPr>
              <w:t>MSK</w:t>
            </w:r>
          </w:p>
        </w:tc>
        <w:tc>
          <w:tcPr>
            <w:tcW w:w="3563" w:type="dxa"/>
            <w:vAlign w:val="center"/>
          </w:tcPr>
          <w:p w:rsidR="00193EA4" w:rsidRPr="00E17CFD" w:rsidRDefault="00193EA4" w:rsidP="00C05C41">
            <w:pPr>
              <w:spacing w:before="20" w:afterLines="20" w:after="48"/>
              <w:ind w:left="34"/>
              <w:rPr>
                <w:sz w:val="16"/>
              </w:rPr>
            </w:pPr>
            <w:r>
              <w:rPr>
                <w:sz w:val="16"/>
              </w:rPr>
              <w:t>Moravskoslezský kraj</w:t>
            </w:r>
          </w:p>
        </w:tc>
      </w:tr>
      <w:tr w:rsidR="00193EA4" w:rsidTr="00784C47">
        <w:trPr>
          <w:trHeight w:val="224"/>
        </w:trPr>
        <w:tc>
          <w:tcPr>
            <w:tcW w:w="999" w:type="dxa"/>
            <w:vAlign w:val="center"/>
          </w:tcPr>
          <w:p w:rsidR="00193EA4" w:rsidRPr="00E17CFD" w:rsidRDefault="00193EA4" w:rsidP="00AA6B8B">
            <w:pPr>
              <w:spacing w:before="20" w:afterLines="20" w:after="48"/>
              <w:ind w:left="-43"/>
              <w:jc w:val="right"/>
              <w:rPr>
                <w:sz w:val="16"/>
                <w:szCs w:val="16"/>
              </w:rPr>
            </w:pPr>
            <w:r>
              <w:rPr>
                <w:sz w:val="16"/>
                <w:szCs w:val="16"/>
              </w:rPr>
              <w:t>NSK</w:t>
            </w:r>
          </w:p>
        </w:tc>
        <w:tc>
          <w:tcPr>
            <w:tcW w:w="3563" w:type="dxa"/>
          </w:tcPr>
          <w:p w:rsidR="00193EA4" w:rsidRPr="00E17CFD" w:rsidRDefault="00193EA4" w:rsidP="00C05C41">
            <w:pPr>
              <w:spacing w:before="20" w:afterLines="20" w:after="48"/>
              <w:ind w:left="34"/>
              <w:rPr>
                <w:sz w:val="16"/>
                <w:szCs w:val="16"/>
              </w:rPr>
            </w:pPr>
            <w:r>
              <w:rPr>
                <w:sz w:val="16"/>
                <w:szCs w:val="16"/>
              </w:rPr>
              <w:t>Národní soustava kvalifikací</w:t>
            </w:r>
          </w:p>
        </w:tc>
      </w:tr>
      <w:tr w:rsidR="00193EA4" w:rsidTr="00784C47">
        <w:trPr>
          <w:trHeight w:val="241"/>
        </w:trPr>
        <w:tc>
          <w:tcPr>
            <w:tcW w:w="999" w:type="dxa"/>
            <w:vAlign w:val="center"/>
          </w:tcPr>
          <w:p w:rsidR="00193EA4" w:rsidRPr="00E17CFD" w:rsidRDefault="00193EA4" w:rsidP="00AA6B8B">
            <w:pPr>
              <w:spacing w:before="20" w:afterLines="20" w:after="48"/>
              <w:ind w:left="-43"/>
              <w:jc w:val="right"/>
              <w:rPr>
                <w:sz w:val="16"/>
                <w:szCs w:val="16"/>
              </w:rPr>
            </w:pPr>
            <w:r>
              <w:rPr>
                <w:sz w:val="16"/>
                <w:szCs w:val="16"/>
              </w:rPr>
              <w:t>NSP</w:t>
            </w:r>
          </w:p>
        </w:tc>
        <w:tc>
          <w:tcPr>
            <w:tcW w:w="3563" w:type="dxa"/>
          </w:tcPr>
          <w:p w:rsidR="00193EA4" w:rsidRPr="00E17CFD" w:rsidRDefault="00193EA4" w:rsidP="00C05C41">
            <w:pPr>
              <w:spacing w:before="20" w:afterLines="20" w:after="48"/>
              <w:ind w:left="34"/>
              <w:rPr>
                <w:sz w:val="16"/>
                <w:szCs w:val="16"/>
              </w:rPr>
            </w:pPr>
            <w:r>
              <w:rPr>
                <w:sz w:val="16"/>
                <w:szCs w:val="16"/>
              </w:rPr>
              <w:t>Národní soustava povolání</w:t>
            </w:r>
          </w:p>
        </w:tc>
      </w:tr>
      <w:tr w:rsidR="00193EA4" w:rsidTr="00784C47">
        <w:trPr>
          <w:trHeight w:val="224"/>
        </w:trPr>
        <w:tc>
          <w:tcPr>
            <w:tcW w:w="999" w:type="dxa"/>
          </w:tcPr>
          <w:p w:rsidR="00193EA4" w:rsidRPr="00E17CFD" w:rsidRDefault="00193EA4" w:rsidP="00AA6B8B">
            <w:pPr>
              <w:spacing w:before="20" w:afterLines="20" w:after="48"/>
              <w:ind w:left="-43"/>
              <w:jc w:val="right"/>
              <w:rPr>
                <w:sz w:val="16"/>
              </w:rPr>
            </w:pPr>
            <w:r w:rsidRPr="00E17CFD">
              <w:rPr>
                <w:sz w:val="16"/>
              </w:rPr>
              <w:t>OLK</w:t>
            </w:r>
          </w:p>
        </w:tc>
        <w:tc>
          <w:tcPr>
            <w:tcW w:w="3563" w:type="dxa"/>
          </w:tcPr>
          <w:p w:rsidR="00193EA4" w:rsidRPr="00E17CFD" w:rsidRDefault="00193EA4" w:rsidP="00C05C41">
            <w:pPr>
              <w:spacing w:before="20" w:afterLines="20" w:after="48"/>
              <w:ind w:left="34"/>
              <w:rPr>
                <w:sz w:val="16"/>
              </w:rPr>
            </w:pPr>
            <w:r w:rsidRPr="00E17CFD">
              <w:rPr>
                <w:sz w:val="16"/>
              </w:rPr>
              <w:t>Olomoucký kraj</w:t>
            </w:r>
          </w:p>
        </w:tc>
      </w:tr>
      <w:tr w:rsidR="00193EA4" w:rsidTr="00784C47">
        <w:trPr>
          <w:trHeight w:val="241"/>
        </w:trPr>
        <w:tc>
          <w:tcPr>
            <w:tcW w:w="999" w:type="dxa"/>
            <w:vAlign w:val="center"/>
          </w:tcPr>
          <w:p w:rsidR="00193EA4" w:rsidRPr="00E17CFD" w:rsidRDefault="00193EA4" w:rsidP="00AA6B8B">
            <w:pPr>
              <w:spacing w:before="20" w:afterLines="20" w:after="48"/>
              <w:ind w:left="-43"/>
              <w:jc w:val="right"/>
              <w:rPr>
                <w:sz w:val="16"/>
                <w:szCs w:val="16"/>
              </w:rPr>
            </w:pPr>
            <w:r>
              <w:rPr>
                <w:sz w:val="16"/>
                <w:szCs w:val="16"/>
              </w:rPr>
              <w:t>OP Z</w:t>
            </w:r>
          </w:p>
        </w:tc>
        <w:tc>
          <w:tcPr>
            <w:tcW w:w="3563" w:type="dxa"/>
          </w:tcPr>
          <w:p w:rsidR="00193EA4" w:rsidRPr="00E17CFD" w:rsidRDefault="00193EA4" w:rsidP="00C05C41">
            <w:pPr>
              <w:spacing w:before="20" w:afterLines="20" w:after="48"/>
              <w:ind w:left="34"/>
              <w:rPr>
                <w:sz w:val="16"/>
                <w:szCs w:val="16"/>
              </w:rPr>
            </w:pPr>
            <w:r>
              <w:rPr>
                <w:sz w:val="16"/>
                <w:szCs w:val="16"/>
              </w:rPr>
              <w:t>Operační program Zaměstnanost</w:t>
            </w:r>
          </w:p>
        </w:tc>
      </w:tr>
      <w:tr w:rsidR="00193EA4" w:rsidTr="00784C47">
        <w:trPr>
          <w:trHeight w:val="224"/>
        </w:trPr>
        <w:tc>
          <w:tcPr>
            <w:tcW w:w="999" w:type="dxa"/>
            <w:vAlign w:val="center"/>
          </w:tcPr>
          <w:p w:rsidR="00193EA4" w:rsidRDefault="00193EA4" w:rsidP="00AA6B8B">
            <w:pPr>
              <w:spacing w:before="20" w:afterLines="20" w:after="48"/>
              <w:ind w:left="-43"/>
              <w:jc w:val="right"/>
              <w:rPr>
                <w:sz w:val="16"/>
              </w:rPr>
            </w:pPr>
            <w:r>
              <w:rPr>
                <w:sz w:val="16"/>
              </w:rPr>
              <w:t>OZP</w:t>
            </w:r>
          </w:p>
        </w:tc>
        <w:tc>
          <w:tcPr>
            <w:tcW w:w="3563" w:type="dxa"/>
            <w:vAlign w:val="center"/>
          </w:tcPr>
          <w:p w:rsidR="00193EA4" w:rsidRDefault="00193EA4" w:rsidP="00C05C41">
            <w:pPr>
              <w:spacing w:before="20" w:afterLines="20" w:after="48"/>
              <w:ind w:left="34"/>
              <w:rPr>
                <w:sz w:val="16"/>
              </w:rPr>
            </w:pPr>
            <w:r>
              <w:rPr>
                <w:sz w:val="16"/>
              </w:rPr>
              <w:t>Osoby se zdravotním postižením</w:t>
            </w:r>
          </w:p>
        </w:tc>
      </w:tr>
      <w:tr w:rsidR="00193EA4" w:rsidTr="00784C47">
        <w:trPr>
          <w:trHeight w:val="241"/>
        </w:trPr>
        <w:tc>
          <w:tcPr>
            <w:tcW w:w="999" w:type="dxa"/>
          </w:tcPr>
          <w:p w:rsidR="00193EA4" w:rsidRPr="00E17CFD" w:rsidRDefault="00193EA4" w:rsidP="00AA6B8B">
            <w:pPr>
              <w:spacing w:before="20" w:afterLines="20" w:after="48"/>
              <w:ind w:left="-43"/>
              <w:jc w:val="right"/>
              <w:rPr>
                <w:sz w:val="16"/>
              </w:rPr>
            </w:pPr>
            <w:r w:rsidRPr="00E17CFD">
              <w:rPr>
                <w:sz w:val="16"/>
              </w:rPr>
              <w:t>PBK</w:t>
            </w:r>
          </w:p>
        </w:tc>
        <w:tc>
          <w:tcPr>
            <w:tcW w:w="3563" w:type="dxa"/>
          </w:tcPr>
          <w:p w:rsidR="00193EA4" w:rsidRPr="00E17CFD" w:rsidRDefault="00193EA4" w:rsidP="00C05C41">
            <w:pPr>
              <w:spacing w:before="20" w:afterLines="20" w:after="48"/>
              <w:ind w:left="34"/>
              <w:rPr>
                <w:sz w:val="16"/>
              </w:rPr>
            </w:pPr>
            <w:r w:rsidRPr="00E17CFD">
              <w:rPr>
                <w:sz w:val="16"/>
              </w:rPr>
              <w:t>Pardubický kraj</w:t>
            </w:r>
          </w:p>
        </w:tc>
      </w:tr>
      <w:tr w:rsidR="00193EA4" w:rsidTr="00784C47">
        <w:trPr>
          <w:trHeight w:val="224"/>
        </w:trPr>
        <w:tc>
          <w:tcPr>
            <w:tcW w:w="999" w:type="dxa"/>
          </w:tcPr>
          <w:p w:rsidR="00193EA4" w:rsidRPr="00E17CFD" w:rsidRDefault="00193EA4" w:rsidP="00AA6B8B">
            <w:pPr>
              <w:spacing w:before="20" w:afterLines="20" w:after="48"/>
              <w:ind w:left="-43"/>
              <w:jc w:val="right"/>
              <w:rPr>
                <w:sz w:val="16"/>
              </w:rPr>
            </w:pPr>
            <w:r w:rsidRPr="00E17CFD">
              <w:rPr>
                <w:sz w:val="16"/>
              </w:rPr>
              <w:t>PLK</w:t>
            </w:r>
          </w:p>
        </w:tc>
        <w:tc>
          <w:tcPr>
            <w:tcW w:w="3563" w:type="dxa"/>
            <w:vAlign w:val="center"/>
          </w:tcPr>
          <w:p w:rsidR="00193EA4" w:rsidRPr="00E17CFD" w:rsidRDefault="00193EA4" w:rsidP="00C05C41">
            <w:pPr>
              <w:spacing w:before="20" w:afterLines="20" w:after="48"/>
              <w:ind w:left="34"/>
              <w:rPr>
                <w:sz w:val="16"/>
              </w:rPr>
            </w:pPr>
            <w:r>
              <w:rPr>
                <w:sz w:val="16"/>
              </w:rPr>
              <w:t>Plzeňský kraj</w:t>
            </w:r>
          </w:p>
        </w:tc>
      </w:tr>
      <w:tr w:rsidR="00193EA4" w:rsidTr="00784C47">
        <w:trPr>
          <w:trHeight w:val="241"/>
        </w:trPr>
        <w:tc>
          <w:tcPr>
            <w:tcW w:w="999" w:type="dxa"/>
          </w:tcPr>
          <w:p w:rsidR="00193EA4" w:rsidRPr="00E17CFD" w:rsidRDefault="00193EA4" w:rsidP="00AA6B8B">
            <w:pPr>
              <w:spacing w:before="20" w:afterLines="20" w:after="48"/>
              <w:ind w:left="-43"/>
              <w:jc w:val="right"/>
              <w:rPr>
                <w:sz w:val="16"/>
              </w:rPr>
            </w:pPr>
            <w:r w:rsidRPr="00E17CFD">
              <w:rPr>
                <w:sz w:val="16"/>
              </w:rPr>
              <w:t>PRA</w:t>
            </w:r>
          </w:p>
        </w:tc>
        <w:tc>
          <w:tcPr>
            <w:tcW w:w="3563" w:type="dxa"/>
            <w:vAlign w:val="center"/>
          </w:tcPr>
          <w:p w:rsidR="00193EA4" w:rsidRPr="00E17CFD" w:rsidRDefault="00193EA4" w:rsidP="00C05C41">
            <w:pPr>
              <w:spacing w:before="20" w:afterLines="20" w:after="48"/>
              <w:ind w:left="34"/>
              <w:rPr>
                <w:sz w:val="16"/>
              </w:rPr>
            </w:pPr>
            <w:r>
              <w:rPr>
                <w:sz w:val="16"/>
              </w:rPr>
              <w:t>Hl. m. Praha</w:t>
            </w:r>
          </w:p>
        </w:tc>
      </w:tr>
      <w:tr w:rsidR="00193EA4" w:rsidTr="00784C47">
        <w:trPr>
          <w:trHeight w:val="396"/>
        </w:trPr>
        <w:tc>
          <w:tcPr>
            <w:tcW w:w="999" w:type="dxa"/>
            <w:vAlign w:val="center"/>
          </w:tcPr>
          <w:p w:rsidR="00193EA4" w:rsidRPr="00E17CFD" w:rsidRDefault="00193EA4" w:rsidP="00AA6B8B">
            <w:pPr>
              <w:spacing w:before="20" w:afterLines="20" w:after="48"/>
              <w:ind w:left="-43"/>
              <w:jc w:val="right"/>
              <w:rPr>
                <w:sz w:val="16"/>
                <w:szCs w:val="16"/>
              </w:rPr>
            </w:pPr>
            <w:r>
              <w:rPr>
                <w:sz w:val="16"/>
                <w:szCs w:val="16"/>
              </w:rPr>
              <w:lastRenderedPageBreak/>
              <w:t>PS PČR</w:t>
            </w:r>
          </w:p>
        </w:tc>
        <w:tc>
          <w:tcPr>
            <w:tcW w:w="3563" w:type="dxa"/>
          </w:tcPr>
          <w:p w:rsidR="00193EA4" w:rsidRPr="00E17CFD" w:rsidRDefault="00193EA4" w:rsidP="00C05C41">
            <w:pPr>
              <w:spacing w:before="20" w:afterLines="20" w:after="48"/>
              <w:ind w:left="34"/>
              <w:rPr>
                <w:sz w:val="16"/>
                <w:szCs w:val="16"/>
              </w:rPr>
            </w:pPr>
            <w:r>
              <w:rPr>
                <w:sz w:val="16"/>
                <w:szCs w:val="16"/>
              </w:rPr>
              <w:t>Poslanecká sněmovna Parlamentu České republiky</w:t>
            </w:r>
          </w:p>
        </w:tc>
      </w:tr>
      <w:tr w:rsidR="00193EA4" w:rsidTr="00784C47">
        <w:trPr>
          <w:trHeight w:val="241"/>
        </w:trPr>
        <w:tc>
          <w:tcPr>
            <w:tcW w:w="999" w:type="dxa"/>
            <w:vAlign w:val="center"/>
          </w:tcPr>
          <w:p w:rsidR="00193EA4" w:rsidRPr="00484D3B" w:rsidRDefault="00193EA4" w:rsidP="00AA6B8B">
            <w:pPr>
              <w:spacing w:before="20" w:afterLines="20" w:after="48"/>
              <w:ind w:left="-43"/>
              <w:jc w:val="right"/>
              <w:rPr>
                <w:sz w:val="16"/>
              </w:rPr>
            </w:pPr>
            <w:proofErr w:type="spellStart"/>
            <w:r>
              <w:rPr>
                <w:sz w:val="16"/>
              </w:rPr>
              <w:t>PvN</w:t>
            </w:r>
            <w:proofErr w:type="spellEnd"/>
            <w:r>
              <w:rPr>
                <w:sz w:val="16"/>
              </w:rPr>
              <w:t xml:space="preserve">   </w:t>
            </w:r>
          </w:p>
        </w:tc>
        <w:tc>
          <w:tcPr>
            <w:tcW w:w="3563" w:type="dxa"/>
            <w:vAlign w:val="center"/>
          </w:tcPr>
          <w:p w:rsidR="00193EA4" w:rsidRPr="00484D3B" w:rsidRDefault="00F332CA" w:rsidP="00C05C41">
            <w:pPr>
              <w:tabs>
                <w:tab w:val="left" w:pos="151"/>
              </w:tabs>
              <w:spacing w:before="20" w:afterLines="20" w:after="48"/>
              <w:ind w:left="34"/>
              <w:rPr>
                <w:sz w:val="16"/>
              </w:rPr>
            </w:pPr>
            <w:r>
              <w:rPr>
                <w:sz w:val="16"/>
              </w:rPr>
              <w:t>P</w:t>
            </w:r>
            <w:r w:rsidR="00193EA4">
              <w:rPr>
                <w:sz w:val="16"/>
              </w:rPr>
              <w:t>odpora v nezaměstnanosti</w:t>
            </w:r>
          </w:p>
        </w:tc>
      </w:tr>
      <w:tr w:rsidR="00193EA4" w:rsidTr="00784C47">
        <w:trPr>
          <w:trHeight w:val="224"/>
        </w:trPr>
        <w:tc>
          <w:tcPr>
            <w:tcW w:w="999" w:type="dxa"/>
            <w:vAlign w:val="center"/>
          </w:tcPr>
          <w:p w:rsidR="00193EA4" w:rsidRPr="00E17CFD" w:rsidRDefault="00193EA4" w:rsidP="00AA6B8B">
            <w:pPr>
              <w:spacing w:before="20" w:afterLines="20" w:after="48"/>
              <w:ind w:left="-43"/>
              <w:jc w:val="right"/>
              <w:rPr>
                <w:sz w:val="16"/>
                <w:szCs w:val="16"/>
              </w:rPr>
            </w:pPr>
            <w:r>
              <w:rPr>
                <w:sz w:val="16"/>
                <w:szCs w:val="16"/>
              </w:rPr>
              <w:t>Q</w:t>
            </w:r>
          </w:p>
        </w:tc>
        <w:tc>
          <w:tcPr>
            <w:tcW w:w="3563" w:type="dxa"/>
          </w:tcPr>
          <w:p w:rsidR="00193EA4" w:rsidRPr="00E17CFD" w:rsidRDefault="00F332CA" w:rsidP="00C05C41">
            <w:pPr>
              <w:spacing w:before="20" w:afterLines="20" w:after="48"/>
              <w:ind w:left="34"/>
              <w:rPr>
                <w:sz w:val="16"/>
                <w:szCs w:val="16"/>
              </w:rPr>
            </w:pPr>
            <w:r>
              <w:rPr>
                <w:sz w:val="16"/>
                <w:szCs w:val="16"/>
              </w:rPr>
              <w:t>Č</w:t>
            </w:r>
            <w:r w:rsidR="00193EA4">
              <w:rPr>
                <w:sz w:val="16"/>
                <w:szCs w:val="16"/>
              </w:rPr>
              <w:t>tvrtletí</w:t>
            </w:r>
          </w:p>
        </w:tc>
      </w:tr>
      <w:tr w:rsidR="00193EA4" w:rsidTr="00784C47">
        <w:trPr>
          <w:trHeight w:val="396"/>
        </w:trPr>
        <w:tc>
          <w:tcPr>
            <w:tcW w:w="999" w:type="dxa"/>
            <w:vAlign w:val="center"/>
          </w:tcPr>
          <w:p w:rsidR="00193EA4" w:rsidRPr="00E17CFD" w:rsidRDefault="00193EA4" w:rsidP="00AA6B8B">
            <w:pPr>
              <w:spacing w:before="20" w:afterLines="20" w:after="48"/>
              <w:ind w:left="-43"/>
              <w:jc w:val="right"/>
              <w:rPr>
                <w:sz w:val="16"/>
                <w:szCs w:val="16"/>
              </w:rPr>
            </w:pPr>
            <w:r>
              <w:rPr>
                <w:sz w:val="16"/>
                <w:szCs w:val="16"/>
              </w:rPr>
              <w:t>RIP</w:t>
            </w:r>
          </w:p>
        </w:tc>
        <w:tc>
          <w:tcPr>
            <w:tcW w:w="3563" w:type="dxa"/>
          </w:tcPr>
          <w:p w:rsidR="00193EA4" w:rsidRPr="00E17CFD" w:rsidRDefault="00193EA4" w:rsidP="00C05C41">
            <w:pPr>
              <w:spacing w:before="20" w:afterLines="20" w:after="48"/>
              <w:ind w:left="34"/>
              <w:rPr>
                <w:sz w:val="16"/>
                <w:szCs w:val="16"/>
              </w:rPr>
            </w:pPr>
            <w:r>
              <w:rPr>
                <w:sz w:val="16"/>
                <w:szCs w:val="16"/>
              </w:rPr>
              <w:t>Regionální individuální projekt (projekty OPZ realizované krajskými pobočkami UP ČR</w:t>
            </w:r>
          </w:p>
        </w:tc>
      </w:tr>
      <w:tr w:rsidR="00193EA4" w:rsidTr="00784C47">
        <w:trPr>
          <w:trHeight w:val="241"/>
        </w:trPr>
        <w:tc>
          <w:tcPr>
            <w:tcW w:w="999" w:type="dxa"/>
          </w:tcPr>
          <w:p w:rsidR="00193EA4" w:rsidRPr="00E17CFD" w:rsidRDefault="00193EA4" w:rsidP="00AA6B8B">
            <w:pPr>
              <w:spacing w:before="20" w:afterLines="20" w:after="48"/>
              <w:ind w:left="-43"/>
              <w:jc w:val="right"/>
              <w:rPr>
                <w:sz w:val="16"/>
              </w:rPr>
            </w:pPr>
            <w:r w:rsidRPr="00E17CFD">
              <w:rPr>
                <w:sz w:val="16"/>
              </w:rPr>
              <w:t>SČK</w:t>
            </w:r>
          </w:p>
        </w:tc>
        <w:tc>
          <w:tcPr>
            <w:tcW w:w="3563" w:type="dxa"/>
            <w:vAlign w:val="center"/>
          </w:tcPr>
          <w:p w:rsidR="00193EA4" w:rsidRPr="00E17CFD" w:rsidRDefault="00193EA4" w:rsidP="00C05C41">
            <w:pPr>
              <w:spacing w:before="20" w:afterLines="20" w:after="48"/>
              <w:ind w:left="34"/>
              <w:rPr>
                <w:sz w:val="16"/>
              </w:rPr>
            </w:pPr>
            <w:r>
              <w:rPr>
                <w:sz w:val="16"/>
              </w:rPr>
              <w:t>Středočeský kraj</w:t>
            </w:r>
          </w:p>
        </w:tc>
      </w:tr>
      <w:tr w:rsidR="00193EA4" w:rsidTr="00784C47">
        <w:trPr>
          <w:trHeight w:val="224"/>
        </w:trPr>
        <w:tc>
          <w:tcPr>
            <w:tcW w:w="999" w:type="dxa"/>
            <w:vAlign w:val="center"/>
          </w:tcPr>
          <w:p w:rsidR="00193EA4" w:rsidRPr="00484D3B" w:rsidRDefault="00193EA4" w:rsidP="00AA6B8B">
            <w:pPr>
              <w:spacing w:before="20" w:afterLines="20" w:after="48"/>
              <w:ind w:left="-43"/>
              <w:jc w:val="right"/>
              <w:rPr>
                <w:sz w:val="16"/>
              </w:rPr>
            </w:pPr>
            <w:r>
              <w:rPr>
                <w:sz w:val="16"/>
              </w:rPr>
              <w:t>SŠ</w:t>
            </w:r>
          </w:p>
        </w:tc>
        <w:tc>
          <w:tcPr>
            <w:tcW w:w="3563" w:type="dxa"/>
            <w:vAlign w:val="center"/>
          </w:tcPr>
          <w:p w:rsidR="00193EA4" w:rsidRPr="00484D3B" w:rsidRDefault="00F332CA" w:rsidP="00C05C41">
            <w:pPr>
              <w:tabs>
                <w:tab w:val="left" w:pos="151"/>
              </w:tabs>
              <w:spacing w:before="20" w:afterLines="20" w:after="48"/>
              <w:ind w:left="34"/>
              <w:rPr>
                <w:sz w:val="16"/>
              </w:rPr>
            </w:pPr>
            <w:r>
              <w:rPr>
                <w:sz w:val="16"/>
              </w:rPr>
              <w:t>S</w:t>
            </w:r>
            <w:r w:rsidR="00193EA4">
              <w:rPr>
                <w:sz w:val="16"/>
              </w:rPr>
              <w:t>třední škola, středoškolské vzdělání</w:t>
            </w:r>
          </w:p>
        </w:tc>
      </w:tr>
      <w:tr w:rsidR="00193EA4" w:rsidTr="00784C47">
        <w:trPr>
          <w:trHeight w:val="241"/>
        </w:trPr>
        <w:tc>
          <w:tcPr>
            <w:tcW w:w="999" w:type="dxa"/>
            <w:vAlign w:val="center"/>
          </w:tcPr>
          <w:p w:rsidR="00193EA4" w:rsidRPr="00E17CFD" w:rsidRDefault="00193EA4" w:rsidP="00AA6B8B">
            <w:pPr>
              <w:spacing w:before="20" w:afterLines="20" w:after="48"/>
              <w:ind w:left="-43"/>
              <w:jc w:val="right"/>
              <w:rPr>
                <w:sz w:val="16"/>
              </w:rPr>
            </w:pPr>
            <w:r>
              <w:rPr>
                <w:sz w:val="16"/>
              </w:rPr>
              <w:t>SUIP</w:t>
            </w:r>
          </w:p>
        </w:tc>
        <w:tc>
          <w:tcPr>
            <w:tcW w:w="3563" w:type="dxa"/>
            <w:vAlign w:val="center"/>
          </w:tcPr>
          <w:p w:rsidR="00193EA4" w:rsidRPr="00E17CFD" w:rsidRDefault="00193EA4" w:rsidP="00C05C41">
            <w:pPr>
              <w:spacing w:before="20" w:afterLines="20" w:after="48"/>
              <w:ind w:left="34"/>
              <w:rPr>
                <w:sz w:val="16"/>
              </w:rPr>
            </w:pPr>
            <w:r>
              <w:rPr>
                <w:sz w:val="16"/>
              </w:rPr>
              <w:t>Státní úřad inspekce práce</w:t>
            </w:r>
          </w:p>
        </w:tc>
      </w:tr>
      <w:tr w:rsidR="00193EA4" w:rsidTr="00784C47">
        <w:trPr>
          <w:trHeight w:val="396"/>
        </w:trPr>
        <w:tc>
          <w:tcPr>
            <w:tcW w:w="999" w:type="dxa"/>
            <w:vAlign w:val="center"/>
          </w:tcPr>
          <w:p w:rsidR="00193EA4" w:rsidRPr="00E17CFD" w:rsidRDefault="00193EA4" w:rsidP="00AA6B8B">
            <w:pPr>
              <w:spacing w:before="20" w:afterLines="20" w:after="48"/>
              <w:ind w:left="-43"/>
              <w:jc w:val="right"/>
              <w:rPr>
                <w:sz w:val="16"/>
                <w:szCs w:val="16"/>
              </w:rPr>
            </w:pPr>
            <w:r>
              <w:rPr>
                <w:sz w:val="16"/>
                <w:szCs w:val="16"/>
              </w:rPr>
              <w:t>SÚPM</w:t>
            </w:r>
          </w:p>
        </w:tc>
        <w:tc>
          <w:tcPr>
            <w:tcW w:w="3563" w:type="dxa"/>
          </w:tcPr>
          <w:p w:rsidR="00193EA4" w:rsidRPr="00E17CFD" w:rsidRDefault="00193EA4" w:rsidP="00C05C41">
            <w:pPr>
              <w:spacing w:before="20" w:afterLines="20" w:after="48"/>
              <w:ind w:left="34"/>
              <w:rPr>
                <w:sz w:val="16"/>
                <w:szCs w:val="16"/>
              </w:rPr>
            </w:pPr>
            <w:r>
              <w:rPr>
                <w:sz w:val="16"/>
                <w:szCs w:val="16"/>
              </w:rPr>
              <w:t xml:space="preserve">Společensky účelné pracovní místo (§ 113 </w:t>
            </w:r>
            <w:proofErr w:type="spellStart"/>
            <w:r>
              <w:rPr>
                <w:sz w:val="16"/>
                <w:szCs w:val="16"/>
              </w:rPr>
              <w:t>ZoZ</w:t>
            </w:r>
            <w:proofErr w:type="spellEnd"/>
            <w:r>
              <w:rPr>
                <w:sz w:val="16"/>
                <w:szCs w:val="16"/>
              </w:rPr>
              <w:t>)</w:t>
            </w:r>
          </w:p>
        </w:tc>
      </w:tr>
      <w:tr w:rsidR="00193EA4" w:rsidTr="00784C47">
        <w:trPr>
          <w:trHeight w:val="241"/>
        </w:trPr>
        <w:tc>
          <w:tcPr>
            <w:tcW w:w="999" w:type="dxa"/>
          </w:tcPr>
          <w:p w:rsidR="00193EA4" w:rsidRPr="00E17CFD" w:rsidRDefault="00193EA4" w:rsidP="00AA6B8B">
            <w:pPr>
              <w:spacing w:before="20" w:afterLines="20" w:after="48"/>
              <w:ind w:left="-43"/>
              <w:jc w:val="right"/>
              <w:rPr>
                <w:sz w:val="16"/>
              </w:rPr>
            </w:pPr>
            <w:r w:rsidRPr="00E17CFD">
              <w:rPr>
                <w:sz w:val="16"/>
              </w:rPr>
              <w:t>ULK</w:t>
            </w:r>
          </w:p>
        </w:tc>
        <w:tc>
          <w:tcPr>
            <w:tcW w:w="3563" w:type="dxa"/>
          </w:tcPr>
          <w:p w:rsidR="00193EA4" w:rsidRPr="00E17CFD" w:rsidRDefault="00193EA4" w:rsidP="00C05C41">
            <w:pPr>
              <w:spacing w:before="20" w:afterLines="20" w:after="48"/>
              <w:ind w:left="34"/>
              <w:rPr>
                <w:sz w:val="16"/>
              </w:rPr>
            </w:pPr>
            <w:r w:rsidRPr="00E17CFD">
              <w:rPr>
                <w:sz w:val="16"/>
              </w:rPr>
              <w:t>Ústecký kraj</w:t>
            </w:r>
          </w:p>
        </w:tc>
      </w:tr>
      <w:tr w:rsidR="00193EA4" w:rsidTr="00784C47">
        <w:trPr>
          <w:trHeight w:val="224"/>
        </w:trPr>
        <w:tc>
          <w:tcPr>
            <w:tcW w:w="999" w:type="dxa"/>
            <w:vAlign w:val="center"/>
          </w:tcPr>
          <w:p w:rsidR="00193EA4" w:rsidRPr="00484D3B" w:rsidRDefault="00193EA4" w:rsidP="00AA6B8B">
            <w:pPr>
              <w:spacing w:before="20" w:afterLines="20" w:after="48"/>
              <w:ind w:left="-43"/>
              <w:jc w:val="right"/>
              <w:rPr>
                <w:sz w:val="16"/>
              </w:rPr>
            </w:pPr>
            <w:proofErr w:type="spellStart"/>
            <w:r>
              <w:rPr>
                <w:sz w:val="16"/>
              </w:rPr>
              <w:t>UoZ</w:t>
            </w:r>
            <w:proofErr w:type="spellEnd"/>
          </w:p>
        </w:tc>
        <w:tc>
          <w:tcPr>
            <w:tcW w:w="3563" w:type="dxa"/>
            <w:vAlign w:val="center"/>
          </w:tcPr>
          <w:p w:rsidR="00193EA4" w:rsidRPr="00484D3B" w:rsidRDefault="00F332CA" w:rsidP="00C05C41">
            <w:pPr>
              <w:tabs>
                <w:tab w:val="left" w:pos="151"/>
              </w:tabs>
              <w:spacing w:before="20" w:afterLines="20" w:after="48"/>
              <w:ind w:left="34"/>
              <w:rPr>
                <w:sz w:val="16"/>
              </w:rPr>
            </w:pPr>
            <w:r>
              <w:rPr>
                <w:sz w:val="16"/>
              </w:rPr>
              <w:t>U</w:t>
            </w:r>
            <w:r w:rsidR="00193EA4">
              <w:rPr>
                <w:sz w:val="16"/>
              </w:rPr>
              <w:t>chazeč o zaměstnání</w:t>
            </w:r>
          </w:p>
        </w:tc>
      </w:tr>
      <w:tr w:rsidR="00193EA4" w:rsidTr="00784C47">
        <w:trPr>
          <w:trHeight w:val="241"/>
        </w:trPr>
        <w:tc>
          <w:tcPr>
            <w:tcW w:w="999" w:type="dxa"/>
            <w:vAlign w:val="center"/>
          </w:tcPr>
          <w:p w:rsidR="00193EA4" w:rsidRPr="00484D3B" w:rsidRDefault="00193EA4" w:rsidP="00AA6B8B">
            <w:pPr>
              <w:spacing w:before="20" w:afterLines="20" w:after="48"/>
              <w:ind w:left="-43"/>
              <w:jc w:val="right"/>
              <w:rPr>
                <w:sz w:val="16"/>
              </w:rPr>
            </w:pPr>
            <w:r>
              <w:rPr>
                <w:sz w:val="16"/>
              </w:rPr>
              <w:t>ÚP ČR</w:t>
            </w:r>
          </w:p>
        </w:tc>
        <w:tc>
          <w:tcPr>
            <w:tcW w:w="3563" w:type="dxa"/>
            <w:vAlign w:val="center"/>
          </w:tcPr>
          <w:p w:rsidR="00193EA4" w:rsidRPr="00484D3B" w:rsidRDefault="00193EA4" w:rsidP="00C05C41">
            <w:pPr>
              <w:tabs>
                <w:tab w:val="left" w:pos="151"/>
              </w:tabs>
              <w:spacing w:before="20" w:afterLines="20" w:after="48"/>
              <w:ind w:left="34"/>
              <w:rPr>
                <w:sz w:val="16"/>
              </w:rPr>
            </w:pPr>
            <w:r>
              <w:rPr>
                <w:sz w:val="16"/>
              </w:rPr>
              <w:t>Úřad práce České republiky</w:t>
            </w:r>
          </w:p>
        </w:tc>
      </w:tr>
      <w:tr w:rsidR="00193EA4" w:rsidTr="00784C47">
        <w:trPr>
          <w:trHeight w:val="224"/>
        </w:trPr>
        <w:tc>
          <w:tcPr>
            <w:tcW w:w="999" w:type="dxa"/>
            <w:vAlign w:val="center"/>
          </w:tcPr>
          <w:p w:rsidR="00193EA4" w:rsidRPr="00484D3B" w:rsidRDefault="00193EA4" w:rsidP="00AA6B8B">
            <w:pPr>
              <w:spacing w:before="20" w:afterLines="20" w:after="48"/>
              <w:ind w:left="-43"/>
              <w:jc w:val="right"/>
              <w:rPr>
                <w:sz w:val="16"/>
              </w:rPr>
            </w:pPr>
            <w:r>
              <w:rPr>
                <w:sz w:val="16"/>
              </w:rPr>
              <w:t>VPM</w:t>
            </w:r>
          </w:p>
        </w:tc>
        <w:tc>
          <w:tcPr>
            <w:tcW w:w="3563" w:type="dxa"/>
            <w:vAlign w:val="center"/>
          </w:tcPr>
          <w:p w:rsidR="00193EA4" w:rsidRPr="00484D3B" w:rsidRDefault="00F332CA" w:rsidP="00C05C41">
            <w:pPr>
              <w:tabs>
                <w:tab w:val="left" w:pos="151"/>
              </w:tabs>
              <w:spacing w:before="20" w:afterLines="20" w:after="48"/>
              <w:ind w:left="34"/>
              <w:rPr>
                <w:sz w:val="16"/>
              </w:rPr>
            </w:pPr>
            <w:r>
              <w:rPr>
                <w:sz w:val="16"/>
              </w:rPr>
              <w:t>V</w:t>
            </w:r>
            <w:r w:rsidR="00193EA4">
              <w:rPr>
                <w:sz w:val="16"/>
              </w:rPr>
              <w:t>olné pracovní místo</w:t>
            </w:r>
          </w:p>
        </w:tc>
      </w:tr>
      <w:tr w:rsidR="00193EA4" w:rsidTr="00784C47">
        <w:trPr>
          <w:trHeight w:val="241"/>
        </w:trPr>
        <w:tc>
          <w:tcPr>
            <w:tcW w:w="999" w:type="dxa"/>
            <w:vAlign w:val="center"/>
          </w:tcPr>
          <w:p w:rsidR="00193EA4" w:rsidRPr="00E17CFD" w:rsidRDefault="00193EA4" w:rsidP="00AA6B8B">
            <w:pPr>
              <w:spacing w:before="20" w:afterLines="20" w:after="48"/>
              <w:ind w:left="-43"/>
              <w:jc w:val="right"/>
              <w:rPr>
                <w:sz w:val="16"/>
                <w:szCs w:val="16"/>
              </w:rPr>
            </w:pPr>
            <w:r>
              <w:rPr>
                <w:sz w:val="16"/>
                <w:szCs w:val="16"/>
              </w:rPr>
              <w:t>VPP</w:t>
            </w:r>
          </w:p>
        </w:tc>
        <w:tc>
          <w:tcPr>
            <w:tcW w:w="3563" w:type="dxa"/>
          </w:tcPr>
          <w:p w:rsidR="00193EA4" w:rsidRPr="00E17CFD" w:rsidRDefault="00193EA4" w:rsidP="00C05C41">
            <w:pPr>
              <w:spacing w:before="20" w:afterLines="20" w:after="48"/>
              <w:ind w:left="34"/>
              <w:rPr>
                <w:sz w:val="16"/>
                <w:szCs w:val="16"/>
              </w:rPr>
            </w:pPr>
            <w:r>
              <w:rPr>
                <w:sz w:val="16"/>
                <w:szCs w:val="16"/>
              </w:rPr>
              <w:t xml:space="preserve">Veřejně prospěné práce (§112 </w:t>
            </w:r>
            <w:proofErr w:type="spellStart"/>
            <w:r>
              <w:rPr>
                <w:sz w:val="16"/>
                <w:szCs w:val="16"/>
              </w:rPr>
              <w:t>ZoZ</w:t>
            </w:r>
            <w:proofErr w:type="spellEnd"/>
            <w:r>
              <w:rPr>
                <w:sz w:val="16"/>
                <w:szCs w:val="16"/>
              </w:rPr>
              <w:t>)</w:t>
            </w:r>
          </w:p>
        </w:tc>
      </w:tr>
      <w:tr w:rsidR="00193EA4" w:rsidTr="00784C47">
        <w:trPr>
          <w:trHeight w:val="224"/>
        </w:trPr>
        <w:tc>
          <w:tcPr>
            <w:tcW w:w="999" w:type="dxa"/>
            <w:vAlign w:val="center"/>
          </w:tcPr>
          <w:p w:rsidR="00193EA4" w:rsidRDefault="00193EA4" w:rsidP="00AA6B8B">
            <w:pPr>
              <w:spacing w:before="20" w:afterLines="20" w:after="48"/>
              <w:ind w:left="-43"/>
              <w:jc w:val="right"/>
              <w:rPr>
                <w:sz w:val="16"/>
              </w:rPr>
            </w:pPr>
            <w:r>
              <w:rPr>
                <w:sz w:val="16"/>
              </w:rPr>
              <w:t>VŠ</w:t>
            </w:r>
          </w:p>
        </w:tc>
        <w:tc>
          <w:tcPr>
            <w:tcW w:w="3563" w:type="dxa"/>
            <w:vAlign w:val="center"/>
          </w:tcPr>
          <w:p w:rsidR="00193EA4" w:rsidRDefault="00193EA4" w:rsidP="00C05C41">
            <w:pPr>
              <w:spacing w:before="20" w:afterLines="20" w:after="48"/>
              <w:ind w:left="34"/>
              <w:rPr>
                <w:sz w:val="16"/>
              </w:rPr>
            </w:pPr>
            <w:r>
              <w:rPr>
                <w:sz w:val="16"/>
              </w:rPr>
              <w:t>vysoká škola, vysokoškolské vzdělání</w:t>
            </w:r>
          </w:p>
        </w:tc>
      </w:tr>
      <w:tr w:rsidR="00193EA4" w:rsidTr="00784C47">
        <w:trPr>
          <w:trHeight w:val="224"/>
        </w:trPr>
        <w:tc>
          <w:tcPr>
            <w:tcW w:w="999" w:type="dxa"/>
          </w:tcPr>
          <w:p w:rsidR="00193EA4" w:rsidRPr="00E17CFD" w:rsidRDefault="00193EA4" w:rsidP="00AA6B8B">
            <w:pPr>
              <w:spacing w:before="20" w:afterLines="20" w:after="48"/>
              <w:ind w:left="-43"/>
              <w:jc w:val="right"/>
              <w:rPr>
                <w:sz w:val="16"/>
              </w:rPr>
            </w:pPr>
            <w:r w:rsidRPr="00E17CFD">
              <w:rPr>
                <w:sz w:val="16"/>
              </w:rPr>
              <w:t>VYS</w:t>
            </w:r>
          </w:p>
        </w:tc>
        <w:tc>
          <w:tcPr>
            <w:tcW w:w="3563" w:type="dxa"/>
          </w:tcPr>
          <w:p w:rsidR="00193EA4" w:rsidRPr="00E17CFD" w:rsidRDefault="00193EA4" w:rsidP="00C05C41">
            <w:pPr>
              <w:spacing w:before="20" w:afterLines="20" w:after="48"/>
              <w:ind w:left="34"/>
              <w:rPr>
                <w:sz w:val="16"/>
              </w:rPr>
            </w:pPr>
            <w:r w:rsidRPr="00E17CFD">
              <w:rPr>
                <w:sz w:val="16"/>
              </w:rPr>
              <w:t>Kraj Vysočina</w:t>
            </w:r>
          </w:p>
        </w:tc>
      </w:tr>
      <w:tr w:rsidR="00193EA4" w:rsidTr="00784C47">
        <w:trPr>
          <w:trHeight w:val="241"/>
        </w:trPr>
        <w:tc>
          <w:tcPr>
            <w:tcW w:w="999" w:type="dxa"/>
            <w:vAlign w:val="center"/>
          </w:tcPr>
          <w:p w:rsidR="00193EA4" w:rsidRPr="00E17CFD" w:rsidRDefault="00193EA4" w:rsidP="00AA6B8B">
            <w:pPr>
              <w:spacing w:before="20" w:afterLines="20" w:after="48"/>
              <w:ind w:left="-43"/>
              <w:jc w:val="right"/>
              <w:rPr>
                <w:sz w:val="16"/>
              </w:rPr>
            </w:pPr>
            <w:r>
              <w:rPr>
                <w:sz w:val="16"/>
              </w:rPr>
              <w:t>ZLK</w:t>
            </w:r>
          </w:p>
        </w:tc>
        <w:tc>
          <w:tcPr>
            <w:tcW w:w="3563" w:type="dxa"/>
            <w:vAlign w:val="center"/>
          </w:tcPr>
          <w:p w:rsidR="00193EA4" w:rsidRPr="00E17CFD" w:rsidRDefault="00193EA4" w:rsidP="00C05C41">
            <w:pPr>
              <w:spacing w:before="20" w:afterLines="20" w:after="48"/>
              <w:ind w:left="34"/>
              <w:rPr>
                <w:sz w:val="16"/>
              </w:rPr>
            </w:pPr>
            <w:r>
              <w:rPr>
                <w:sz w:val="16"/>
              </w:rPr>
              <w:t>Zlínský kraj</w:t>
            </w:r>
          </w:p>
        </w:tc>
      </w:tr>
      <w:tr w:rsidR="00193EA4" w:rsidTr="00784C47">
        <w:trPr>
          <w:trHeight w:val="568"/>
        </w:trPr>
        <w:tc>
          <w:tcPr>
            <w:tcW w:w="999" w:type="dxa"/>
            <w:vAlign w:val="center"/>
          </w:tcPr>
          <w:p w:rsidR="00193EA4" w:rsidRPr="00484D3B" w:rsidRDefault="00193EA4" w:rsidP="00AA6B8B">
            <w:pPr>
              <w:spacing w:before="20" w:afterLines="20" w:after="48"/>
              <w:ind w:left="-43"/>
              <w:jc w:val="right"/>
              <w:rPr>
                <w:sz w:val="16"/>
              </w:rPr>
            </w:pPr>
            <w:proofErr w:type="spellStart"/>
            <w:r>
              <w:rPr>
                <w:sz w:val="16"/>
              </w:rPr>
              <w:t>ZoZ</w:t>
            </w:r>
            <w:proofErr w:type="spellEnd"/>
          </w:p>
        </w:tc>
        <w:tc>
          <w:tcPr>
            <w:tcW w:w="3563" w:type="dxa"/>
            <w:vAlign w:val="center"/>
          </w:tcPr>
          <w:p w:rsidR="00193EA4" w:rsidRPr="00484D3B" w:rsidRDefault="00F332CA" w:rsidP="00C05C41">
            <w:pPr>
              <w:tabs>
                <w:tab w:val="left" w:pos="151"/>
              </w:tabs>
              <w:spacing w:before="20" w:afterLines="20" w:after="48"/>
              <w:ind w:left="34"/>
              <w:rPr>
                <w:sz w:val="16"/>
              </w:rPr>
            </w:pPr>
            <w:r>
              <w:rPr>
                <w:sz w:val="16"/>
              </w:rPr>
              <w:t>Z</w:t>
            </w:r>
            <w:r w:rsidR="00193EA4">
              <w:rPr>
                <w:sz w:val="16"/>
              </w:rPr>
              <w:t>ákon č. 435/2004 Sb., o zaměstnanosti, ve znění pozdějších předpisů (rovněž jako „zákon o zaměstnanosti“)</w:t>
            </w:r>
          </w:p>
        </w:tc>
      </w:tr>
      <w:tr w:rsidR="00193EA4" w:rsidTr="00784C47">
        <w:trPr>
          <w:trHeight w:val="241"/>
        </w:trPr>
        <w:tc>
          <w:tcPr>
            <w:tcW w:w="999" w:type="dxa"/>
            <w:vAlign w:val="center"/>
          </w:tcPr>
          <w:p w:rsidR="00193EA4" w:rsidRPr="00484D3B" w:rsidRDefault="00193EA4" w:rsidP="00AA6B8B">
            <w:pPr>
              <w:spacing w:before="20" w:afterLines="20" w:after="48"/>
              <w:ind w:left="-43"/>
              <w:jc w:val="right"/>
              <w:rPr>
                <w:sz w:val="16"/>
              </w:rPr>
            </w:pPr>
            <w:r>
              <w:rPr>
                <w:sz w:val="16"/>
              </w:rPr>
              <w:t>ZŠ</w:t>
            </w:r>
          </w:p>
        </w:tc>
        <w:tc>
          <w:tcPr>
            <w:tcW w:w="3563" w:type="dxa"/>
            <w:vAlign w:val="center"/>
          </w:tcPr>
          <w:p w:rsidR="00193EA4" w:rsidRPr="00484D3B" w:rsidRDefault="00F332CA" w:rsidP="00C05C41">
            <w:pPr>
              <w:tabs>
                <w:tab w:val="left" w:pos="151"/>
              </w:tabs>
              <w:spacing w:before="20" w:afterLines="20" w:after="48"/>
              <w:ind w:left="34"/>
              <w:rPr>
                <w:sz w:val="16"/>
              </w:rPr>
            </w:pPr>
            <w:r>
              <w:rPr>
                <w:sz w:val="16"/>
              </w:rPr>
              <w:t>Z</w:t>
            </w:r>
            <w:r w:rsidR="00193EA4">
              <w:rPr>
                <w:sz w:val="16"/>
              </w:rPr>
              <w:t>ákladní škola, základní vzdělání</w:t>
            </w:r>
          </w:p>
        </w:tc>
      </w:tr>
    </w:tbl>
    <w:p w:rsidR="009E44F5" w:rsidRPr="009E44F5" w:rsidRDefault="009E44F5" w:rsidP="00784C47">
      <w:pPr>
        <w:spacing w:after="120" w:line="240" w:lineRule="auto"/>
        <w:ind w:left="-284"/>
        <w:sectPr w:rsidR="009E44F5" w:rsidRPr="009E44F5" w:rsidSect="000D749F">
          <w:type w:val="continuous"/>
          <w:pgSz w:w="11906" w:h="16838"/>
          <w:pgMar w:top="1417" w:right="1417" w:bottom="1417" w:left="1417" w:header="708" w:footer="708" w:gutter="0"/>
          <w:pgNumType w:start="0"/>
          <w:cols w:num="2" w:space="708"/>
          <w:titlePg/>
          <w:docGrid w:linePitch="360"/>
        </w:sectPr>
      </w:pPr>
    </w:p>
    <w:p w:rsidR="00184D13" w:rsidRPr="00184D13" w:rsidRDefault="00184D13" w:rsidP="00484D3B">
      <w:pPr>
        <w:pStyle w:val="Nadpis1"/>
        <w:spacing w:line="240" w:lineRule="auto"/>
      </w:pPr>
      <w:bookmarkStart w:id="2" w:name="_Toc476556221"/>
      <w:r w:rsidRPr="00184D13">
        <w:lastRenderedPageBreak/>
        <w:t>Analýza nabídky a poptávky</w:t>
      </w:r>
      <w:bookmarkEnd w:id="2"/>
    </w:p>
    <w:p w:rsidR="00184D13" w:rsidRDefault="00184D13" w:rsidP="00484D3B">
      <w:pPr>
        <w:spacing w:after="200" w:line="240" w:lineRule="auto"/>
        <w:jc w:val="left"/>
        <w:rPr>
          <w:b/>
        </w:rPr>
      </w:pPr>
    </w:p>
    <w:p w:rsidR="00184D13" w:rsidRPr="00E47A50" w:rsidRDefault="00184D13" w:rsidP="00484D3B">
      <w:pPr>
        <w:pStyle w:val="Nadpis2"/>
        <w:spacing w:line="240" w:lineRule="auto"/>
      </w:pPr>
      <w:bookmarkStart w:id="3" w:name="_Toc476556222"/>
      <w:r w:rsidRPr="00E47A50">
        <w:t>Situace na trhu práce k 31. 12. 2016</w:t>
      </w:r>
      <w:r w:rsidR="002D3AE4">
        <w:rPr>
          <w:rStyle w:val="Znakapoznpodarou"/>
          <w:b w:val="0"/>
        </w:rPr>
        <w:footnoteReference w:id="1"/>
      </w:r>
      <w:bookmarkEnd w:id="3"/>
    </w:p>
    <w:p w:rsidR="006F3F6B" w:rsidRDefault="00184D13" w:rsidP="00484D3B">
      <w:pPr>
        <w:spacing w:after="200" w:line="240" w:lineRule="auto"/>
      </w:pPr>
      <w:r>
        <w:t xml:space="preserve">K 31. 12. 2016 evidoval Úřad práce České republiky </w:t>
      </w:r>
      <w:r w:rsidRPr="0017309F">
        <w:rPr>
          <w:b/>
        </w:rPr>
        <w:t xml:space="preserve">381 373 </w:t>
      </w:r>
      <w:r w:rsidR="0017309F" w:rsidRPr="0017309F">
        <w:rPr>
          <w:b/>
        </w:rPr>
        <w:t>uchazečů o </w:t>
      </w:r>
      <w:r w:rsidRPr="0017309F">
        <w:rPr>
          <w:b/>
        </w:rPr>
        <w:t>zaměstnání</w:t>
      </w:r>
      <w:r>
        <w:t>, což bylo sice o 18 618 uchazečů více než ke konci listopadu 2016, nicméně o 71 745 osob méně než v prosinci roku 2015. Podíl nezaměstnaných osob dosáhl hodnoty 5,2 %, což je shodná hodnota s datem poslední vyhotovené zprávy, tj. k 30. 9. 2016.</w:t>
      </w:r>
      <w:r w:rsidR="006F3F6B">
        <w:t xml:space="preserve"> </w:t>
      </w:r>
      <w:r w:rsidR="0017309F">
        <w:t>Počet uchazečů o zaměstnání od tohoto období narostl pouze o</w:t>
      </w:r>
      <w:r w:rsidR="00451647">
        <w:t> </w:t>
      </w:r>
      <w:r w:rsidR="0017309F">
        <w:t xml:space="preserve">3 115 osob, což lze označit s ohledem na ukončování sezónních prací za vysoce pozitivní výsledek. </w:t>
      </w:r>
      <w:r w:rsidR="006F3F6B">
        <w:t>Od změny metodiky sledování míry nezaměstnanosti v lednu 2013 se</w:t>
      </w:r>
      <w:r w:rsidR="00F43C8D">
        <w:t>,</w:t>
      </w:r>
      <w:r w:rsidR="006F3F6B">
        <w:t xml:space="preserve"> s výjimkou listopadu (4,9 %) a října (5,0 %)</w:t>
      </w:r>
      <w:r w:rsidR="00F43C8D">
        <w:t>,</w:t>
      </w:r>
      <w:r w:rsidR="006F3F6B">
        <w:t xml:space="preserve"> jedná o nejnižší podíl nezaměstnaných osob.</w:t>
      </w:r>
      <w:r w:rsidR="0017309F">
        <w:t xml:space="preserve"> </w:t>
      </w:r>
      <w:r w:rsidR="002B6A5F">
        <w:t>Vyšší podíl nezaměstnaných osob je vykázán tradičně mezi ženami, a to 5,3 % (u mužů 5,1 %).</w:t>
      </w:r>
    </w:p>
    <w:p w:rsidR="008828D3" w:rsidRDefault="008828D3" w:rsidP="00484D3B">
      <w:pPr>
        <w:pStyle w:val="Titulek"/>
        <w:keepNext/>
      </w:pPr>
      <w:bookmarkStart w:id="4" w:name="_Toc476556295"/>
      <w:r>
        <w:t xml:space="preserve">Tabulka </w:t>
      </w:r>
      <w:r w:rsidR="00AB7C96">
        <w:fldChar w:fldCharType="begin"/>
      </w:r>
      <w:r w:rsidR="00AB7C96">
        <w:instrText xml:space="preserve"> SEQ Tabulka \* ARABIC </w:instrText>
      </w:r>
      <w:r w:rsidR="00AB7C96">
        <w:fldChar w:fldCharType="separate"/>
      </w:r>
      <w:r w:rsidR="004A5D48">
        <w:rPr>
          <w:noProof/>
        </w:rPr>
        <w:t>1</w:t>
      </w:r>
      <w:r w:rsidR="00AB7C96">
        <w:rPr>
          <w:noProof/>
        </w:rPr>
        <w:fldChar w:fldCharType="end"/>
      </w:r>
      <w:r>
        <w:t xml:space="preserve"> Základní ukazatele nezaměstnanosti k </w:t>
      </w:r>
      <w:r w:rsidR="002D3AE4">
        <w:t>3</w:t>
      </w:r>
      <w:r>
        <w:t>1. 12. 2016 v krajích ČR</w:t>
      </w:r>
      <w:bookmarkEnd w:id="4"/>
    </w:p>
    <w:tbl>
      <w:tblPr>
        <w:tblStyle w:val="Mkatabulky"/>
        <w:tblW w:w="9100" w:type="dxa"/>
        <w:tblInd w:w="108" w:type="dxa"/>
        <w:tblBorders>
          <w:insideH w:val="none" w:sz="0" w:space="0" w:color="auto"/>
        </w:tblBorders>
        <w:tblLook w:val="04A0" w:firstRow="1" w:lastRow="0" w:firstColumn="1" w:lastColumn="0" w:noHBand="0" w:noVBand="1"/>
      </w:tblPr>
      <w:tblGrid>
        <w:gridCol w:w="2693"/>
        <w:gridCol w:w="1416"/>
        <w:gridCol w:w="1701"/>
        <w:gridCol w:w="1842"/>
        <w:gridCol w:w="1448"/>
      </w:tblGrid>
      <w:tr w:rsidR="0017309F" w:rsidTr="00193EA4">
        <w:trPr>
          <w:trHeight w:val="390"/>
        </w:trPr>
        <w:tc>
          <w:tcPr>
            <w:tcW w:w="2693" w:type="dxa"/>
            <w:tcBorders>
              <w:top w:val="single" w:sz="4" w:space="0" w:color="auto"/>
              <w:bottom w:val="single" w:sz="4" w:space="0" w:color="auto"/>
            </w:tcBorders>
            <w:vAlign w:val="center"/>
          </w:tcPr>
          <w:p w:rsidR="0017309F" w:rsidRPr="008828D3" w:rsidRDefault="0017309F" w:rsidP="000B097A">
            <w:pPr>
              <w:jc w:val="left"/>
              <w:rPr>
                <w:rFonts w:cs="Arial"/>
                <w:b/>
                <w:sz w:val="20"/>
                <w:szCs w:val="20"/>
              </w:rPr>
            </w:pPr>
            <w:r w:rsidRPr="008828D3">
              <w:rPr>
                <w:rFonts w:cs="Arial"/>
                <w:b/>
                <w:sz w:val="20"/>
                <w:szCs w:val="20"/>
              </w:rPr>
              <w:t>Kraj</w:t>
            </w:r>
          </w:p>
        </w:tc>
        <w:tc>
          <w:tcPr>
            <w:tcW w:w="1416" w:type="dxa"/>
            <w:tcBorders>
              <w:top w:val="single" w:sz="4" w:space="0" w:color="auto"/>
              <w:bottom w:val="single" w:sz="4" w:space="0" w:color="auto"/>
            </w:tcBorders>
            <w:vAlign w:val="center"/>
          </w:tcPr>
          <w:p w:rsidR="0017309F" w:rsidRPr="008828D3" w:rsidRDefault="00983B04" w:rsidP="000B097A">
            <w:pPr>
              <w:jc w:val="center"/>
              <w:rPr>
                <w:rFonts w:cs="Arial"/>
                <w:b/>
                <w:sz w:val="20"/>
                <w:szCs w:val="20"/>
              </w:rPr>
            </w:pPr>
            <w:r w:rsidRPr="008828D3">
              <w:rPr>
                <w:rFonts w:cs="Arial"/>
                <w:b/>
                <w:sz w:val="20"/>
                <w:szCs w:val="20"/>
              </w:rPr>
              <w:t>PNO (%)</w:t>
            </w:r>
          </w:p>
        </w:tc>
        <w:tc>
          <w:tcPr>
            <w:tcW w:w="1701" w:type="dxa"/>
            <w:tcBorders>
              <w:top w:val="single" w:sz="4" w:space="0" w:color="auto"/>
              <w:bottom w:val="single" w:sz="4" w:space="0" w:color="auto"/>
            </w:tcBorders>
            <w:vAlign w:val="center"/>
          </w:tcPr>
          <w:p w:rsidR="0017309F" w:rsidRPr="008828D3" w:rsidRDefault="00983B04" w:rsidP="000B097A">
            <w:pPr>
              <w:jc w:val="center"/>
              <w:rPr>
                <w:rFonts w:cs="Arial"/>
                <w:b/>
                <w:sz w:val="20"/>
                <w:szCs w:val="20"/>
              </w:rPr>
            </w:pPr>
            <w:r w:rsidRPr="008828D3">
              <w:rPr>
                <w:rFonts w:cs="Arial"/>
                <w:b/>
                <w:sz w:val="20"/>
                <w:szCs w:val="20"/>
              </w:rPr>
              <w:t xml:space="preserve">Počet </w:t>
            </w:r>
            <w:proofErr w:type="spellStart"/>
            <w:r w:rsidRPr="008828D3">
              <w:rPr>
                <w:rFonts w:cs="Arial"/>
                <w:b/>
                <w:sz w:val="20"/>
                <w:szCs w:val="20"/>
              </w:rPr>
              <w:t>UoZ</w:t>
            </w:r>
            <w:proofErr w:type="spellEnd"/>
          </w:p>
        </w:tc>
        <w:tc>
          <w:tcPr>
            <w:tcW w:w="1842" w:type="dxa"/>
            <w:tcBorders>
              <w:top w:val="single" w:sz="4" w:space="0" w:color="auto"/>
              <w:bottom w:val="single" w:sz="4" w:space="0" w:color="auto"/>
            </w:tcBorders>
            <w:vAlign w:val="center"/>
          </w:tcPr>
          <w:p w:rsidR="0017309F" w:rsidRPr="008828D3" w:rsidRDefault="00983B04" w:rsidP="000B097A">
            <w:pPr>
              <w:jc w:val="center"/>
              <w:rPr>
                <w:rFonts w:cs="Arial"/>
                <w:b/>
                <w:sz w:val="20"/>
                <w:szCs w:val="20"/>
              </w:rPr>
            </w:pPr>
            <w:r w:rsidRPr="008828D3">
              <w:rPr>
                <w:rFonts w:cs="Arial"/>
                <w:b/>
                <w:sz w:val="20"/>
                <w:szCs w:val="20"/>
              </w:rPr>
              <w:t>Počet VPM</w:t>
            </w:r>
          </w:p>
        </w:tc>
        <w:tc>
          <w:tcPr>
            <w:tcW w:w="1448" w:type="dxa"/>
            <w:tcBorders>
              <w:top w:val="single" w:sz="4" w:space="0" w:color="auto"/>
              <w:bottom w:val="single" w:sz="4" w:space="0" w:color="auto"/>
            </w:tcBorders>
            <w:vAlign w:val="center"/>
          </w:tcPr>
          <w:p w:rsidR="0017309F" w:rsidRPr="008828D3" w:rsidRDefault="00983B04" w:rsidP="000B097A">
            <w:pPr>
              <w:jc w:val="center"/>
              <w:rPr>
                <w:rFonts w:cs="Arial"/>
                <w:b/>
                <w:sz w:val="20"/>
                <w:szCs w:val="20"/>
              </w:rPr>
            </w:pPr>
            <w:proofErr w:type="spellStart"/>
            <w:r w:rsidRPr="008828D3">
              <w:rPr>
                <w:rFonts w:cs="Arial"/>
                <w:b/>
                <w:sz w:val="20"/>
                <w:szCs w:val="20"/>
              </w:rPr>
              <w:t>UoZ</w:t>
            </w:r>
            <w:proofErr w:type="spellEnd"/>
            <w:r w:rsidRPr="008828D3">
              <w:rPr>
                <w:rFonts w:cs="Arial"/>
                <w:b/>
                <w:sz w:val="20"/>
                <w:szCs w:val="20"/>
              </w:rPr>
              <w:t>/VPM</w:t>
            </w:r>
          </w:p>
        </w:tc>
      </w:tr>
      <w:tr w:rsidR="009153E9" w:rsidTr="00193EA4">
        <w:trPr>
          <w:trHeight w:val="390"/>
        </w:trPr>
        <w:tc>
          <w:tcPr>
            <w:tcW w:w="2693" w:type="dxa"/>
            <w:tcBorders>
              <w:top w:val="single" w:sz="4" w:space="0" w:color="auto"/>
            </w:tcBorders>
            <w:vAlign w:val="center"/>
          </w:tcPr>
          <w:p w:rsidR="009153E9" w:rsidRPr="008828D3" w:rsidRDefault="009153E9" w:rsidP="000B097A">
            <w:pPr>
              <w:jc w:val="left"/>
              <w:rPr>
                <w:rFonts w:cs="Arial"/>
                <w:sz w:val="20"/>
                <w:szCs w:val="20"/>
              </w:rPr>
            </w:pPr>
            <w:r w:rsidRPr="008828D3">
              <w:rPr>
                <w:rFonts w:cs="Arial"/>
                <w:sz w:val="20"/>
                <w:szCs w:val="20"/>
              </w:rPr>
              <w:t>Hl. m. Praha</w:t>
            </w:r>
          </w:p>
        </w:tc>
        <w:tc>
          <w:tcPr>
            <w:tcW w:w="1416" w:type="dxa"/>
            <w:tcBorders>
              <w:top w:val="single" w:sz="4" w:space="0" w:color="auto"/>
            </w:tcBorders>
            <w:vAlign w:val="center"/>
          </w:tcPr>
          <w:p w:rsidR="009153E9" w:rsidRPr="008828D3" w:rsidRDefault="009153E9" w:rsidP="000B097A">
            <w:pPr>
              <w:jc w:val="center"/>
              <w:rPr>
                <w:rFonts w:cs="Arial"/>
                <w:sz w:val="20"/>
                <w:szCs w:val="20"/>
              </w:rPr>
            </w:pPr>
            <w:r w:rsidRPr="008828D3">
              <w:rPr>
                <w:rFonts w:cs="Arial"/>
                <w:sz w:val="20"/>
                <w:szCs w:val="20"/>
              </w:rPr>
              <w:t>3,4</w:t>
            </w:r>
          </w:p>
        </w:tc>
        <w:tc>
          <w:tcPr>
            <w:tcW w:w="1701" w:type="dxa"/>
            <w:tcBorders>
              <w:top w:val="single" w:sz="4" w:space="0" w:color="auto"/>
            </w:tcBorders>
            <w:vAlign w:val="center"/>
          </w:tcPr>
          <w:p w:rsidR="009153E9" w:rsidRPr="008828D3" w:rsidRDefault="009153E9" w:rsidP="000B097A">
            <w:pPr>
              <w:jc w:val="center"/>
              <w:rPr>
                <w:rFonts w:cs="Arial"/>
                <w:sz w:val="20"/>
                <w:szCs w:val="20"/>
              </w:rPr>
            </w:pPr>
            <w:r w:rsidRPr="008828D3">
              <w:rPr>
                <w:rFonts w:cs="Arial"/>
                <w:sz w:val="20"/>
                <w:szCs w:val="20"/>
              </w:rPr>
              <w:t>30 179</w:t>
            </w:r>
          </w:p>
        </w:tc>
        <w:tc>
          <w:tcPr>
            <w:tcW w:w="1842" w:type="dxa"/>
            <w:tcBorders>
              <w:top w:val="single" w:sz="4" w:space="0" w:color="auto"/>
            </w:tcBorders>
            <w:vAlign w:val="center"/>
          </w:tcPr>
          <w:p w:rsidR="009153E9" w:rsidRPr="008828D3" w:rsidRDefault="009153E9" w:rsidP="000B097A">
            <w:pPr>
              <w:jc w:val="center"/>
              <w:rPr>
                <w:rFonts w:cs="Arial"/>
                <w:sz w:val="20"/>
                <w:szCs w:val="20"/>
              </w:rPr>
            </w:pPr>
            <w:r w:rsidRPr="008828D3">
              <w:rPr>
                <w:rFonts w:cs="Arial"/>
                <w:sz w:val="20"/>
                <w:szCs w:val="20"/>
              </w:rPr>
              <w:t>21 054</w:t>
            </w:r>
          </w:p>
        </w:tc>
        <w:tc>
          <w:tcPr>
            <w:tcW w:w="1448" w:type="dxa"/>
            <w:tcBorders>
              <w:top w:val="single" w:sz="4" w:space="0" w:color="auto"/>
            </w:tcBorders>
            <w:vAlign w:val="center"/>
          </w:tcPr>
          <w:p w:rsidR="009153E9" w:rsidRPr="008828D3" w:rsidRDefault="009153E9" w:rsidP="000B097A">
            <w:pPr>
              <w:jc w:val="center"/>
              <w:rPr>
                <w:rFonts w:cs="Arial"/>
                <w:sz w:val="20"/>
                <w:szCs w:val="20"/>
              </w:rPr>
            </w:pPr>
            <w:r w:rsidRPr="008828D3">
              <w:rPr>
                <w:rFonts w:cs="Arial"/>
                <w:sz w:val="20"/>
                <w:szCs w:val="20"/>
              </w:rPr>
              <w:t>1,4</w:t>
            </w:r>
          </w:p>
        </w:tc>
      </w:tr>
      <w:tr w:rsidR="009153E9" w:rsidTr="00193EA4">
        <w:trPr>
          <w:trHeight w:val="390"/>
        </w:trPr>
        <w:tc>
          <w:tcPr>
            <w:tcW w:w="2693" w:type="dxa"/>
            <w:vAlign w:val="center"/>
          </w:tcPr>
          <w:p w:rsidR="009153E9" w:rsidRPr="008828D3" w:rsidRDefault="009153E9" w:rsidP="000B097A">
            <w:pPr>
              <w:jc w:val="left"/>
              <w:rPr>
                <w:rFonts w:cs="Arial"/>
                <w:sz w:val="20"/>
                <w:szCs w:val="20"/>
              </w:rPr>
            </w:pPr>
            <w:r w:rsidRPr="008828D3">
              <w:rPr>
                <w:rFonts w:cs="Arial"/>
                <w:sz w:val="20"/>
                <w:szCs w:val="20"/>
              </w:rPr>
              <w:t>Středočeský kraj</w:t>
            </w:r>
          </w:p>
        </w:tc>
        <w:tc>
          <w:tcPr>
            <w:tcW w:w="1416" w:type="dxa"/>
            <w:vAlign w:val="center"/>
          </w:tcPr>
          <w:p w:rsidR="009153E9" w:rsidRPr="008828D3" w:rsidRDefault="009153E9" w:rsidP="000B097A">
            <w:pPr>
              <w:jc w:val="center"/>
              <w:rPr>
                <w:rFonts w:cs="Arial"/>
                <w:sz w:val="20"/>
                <w:szCs w:val="20"/>
              </w:rPr>
            </w:pPr>
            <w:r w:rsidRPr="008828D3">
              <w:rPr>
                <w:rFonts w:cs="Arial"/>
                <w:sz w:val="20"/>
                <w:szCs w:val="20"/>
              </w:rPr>
              <w:t>4,3</w:t>
            </w:r>
          </w:p>
        </w:tc>
        <w:tc>
          <w:tcPr>
            <w:tcW w:w="1701" w:type="dxa"/>
            <w:vAlign w:val="center"/>
          </w:tcPr>
          <w:p w:rsidR="009153E9" w:rsidRPr="008828D3" w:rsidRDefault="009153E9" w:rsidP="000B097A">
            <w:pPr>
              <w:jc w:val="center"/>
              <w:rPr>
                <w:rFonts w:cs="Arial"/>
                <w:sz w:val="20"/>
                <w:szCs w:val="20"/>
              </w:rPr>
            </w:pPr>
            <w:r w:rsidRPr="008828D3">
              <w:rPr>
                <w:rFonts w:cs="Arial"/>
                <w:sz w:val="20"/>
                <w:szCs w:val="20"/>
              </w:rPr>
              <w:t>38 966</w:t>
            </w:r>
          </w:p>
        </w:tc>
        <w:tc>
          <w:tcPr>
            <w:tcW w:w="1842" w:type="dxa"/>
            <w:vAlign w:val="center"/>
          </w:tcPr>
          <w:p w:rsidR="009153E9" w:rsidRPr="008828D3" w:rsidRDefault="009153E9" w:rsidP="000B097A">
            <w:pPr>
              <w:jc w:val="center"/>
              <w:rPr>
                <w:rFonts w:cs="Arial"/>
                <w:sz w:val="20"/>
                <w:szCs w:val="20"/>
              </w:rPr>
            </w:pPr>
            <w:r w:rsidRPr="008828D3">
              <w:rPr>
                <w:rFonts w:cs="Arial"/>
                <w:sz w:val="20"/>
                <w:szCs w:val="20"/>
              </w:rPr>
              <w:t>18 650</w:t>
            </w:r>
          </w:p>
        </w:tc>
        <w:tc>
          <w:tcPr>
            <w:tcW w:w="1448" w:type="dxa"/>
            <w:vAlign w:val="center"/>
          </w:tcPr>
          <w:p w:rsidR="009153E9" w:rsidRPr="008828D3" w:rsidRDefault="009153E9" w:rsidP="000B097A">
            <w:pPr>
              <w:jc w:val="center"/>
              <w:rPr>
                <w:rFonts w:cs="Arial"/>
                <w:sz w:val="20"/>
                <w:szCs w:val="20"/>
              </w:rPr>
            </w:pPr>
            <w:r w:rsidRPr="008828D3">
              <w:rPr>
                <w:rFonts w:cs="Arial"/>
                <w:sz w:val="20"/>
                <w:szCs w:val="20"/>
              </w:rPr>
              <w:t>2,1</w:t>
            </w:r>
          </w:p>
        </w:tc>
      </w:tr>
      <w:tr w:rsidR="009153E9" w:rsidTr="00193EA4">
        <w:trPr>
          <w:trHeight w:val="390"/>
        </w:trPr>
        <w:tc>
          <w:tcPr>
            <w:tcW w:w="2693" w:type="dxa"/>
            <w:vAlign w:val="center"/>
          </w:tcPr>
          <w:p w:rsidR="009153E9" w:rsidRPr="008828D3" w:rsidRDefault="009153E9" w:rsidP="000B097A">
            <w:pPr>
              <w:jc w:val="left"/>
              <w:rPr>
                <w:rFonts w:cs="Arial"/>
                <w:sz w:val="20"/>
                <w:szCs w:val="20"/>
              </w:rPr>
            </w:pPr>
            <w:r w:rsidRPr="008828D3">
              <w:rPr>
                <w:rFonts w:cs="Arial"/>
                <w:sz w:val="20"/>
                <w:szCs w:val="20"/>
              </w:rPr>
              <w:t>Jihočeský kraj</w:t>
            </w:r>
          </w:p>
        </w:tc>
        <w:tc>
          <w:tcPr>
            <w:tcW w:w="1416" w:type="dxa"/>
            <w:vAlign w:val="center"/>
          </w:tcPr>
          <w:p w:rsidR="009153E9" w:rsidRPr="008828D3" w:rsidRDefault="009153E9" w:rsidP="000B097A">
            <w:pPr>
              <w:jc w:val="center"/>
              <w:rPr>
                <w:rFonts w:cs="Arial"/>
                <w:sz w:val="20"/>
                <w:szCs w:val="20"/>
              </w:rPr>
            </w:pPr>
            <w:r w:rsidRPr="008828D3">
              <w:rPr>
                <w:rFonts w:cs="Arial"/>
                <w:sz w:val="20"/>
                <w:szCs w:val="20"/>
              </w:rPr>
              <w:t>4,3</w:t>
            </w:r>
          </w:p>
        </w:tc>
        <w:tc>
          <w:tcPr>
            <w:tcW w:w="1701" w:type="dxa"/>
            <w:vAlign w:val="center"/>
          </w:tcPr>
          <w:p w:rsidR="009153E9" w:rsidRPr="008828D3" w:rsidRDefault="009153E9" w:rsidP="000B097A">
            <w:pPr>
              <w:jc w:val="center"/>
              <w:rPr>
                <w:rFonts w:cs="Arial"/>
                <w:sz w:val="20"/>
                <w:szCs w:val="20"/>
              </w:rPr>
            </w:pPr>
            <w:r w:rsidRPr="008828D3">
              <w:rPr>
                <w:rFonts w:cs="Arial"/>
                <w:sz w:val="20"/>
                <w:szCs w:val="20"/>
              </w:rPr>
              <w:t>19 385</w:t>
            </w:r>
          </w:p>
        </w:tc>
        <w:tc>
          <w:tcPr>
            <w:tcW w:w="1842" w:type="dxa"/>
            <w:vAlign w:val="center"/>
          </w:tcPr>
          <w:p w:rsidR="009153E9" w:rsidRPr="008828D3" w:rsidRDefault="009153E9" w:rsidP="000B097A">
            <w:pPr>
              <w:jc w:val="center"/>
              <w:rPr>
                <w:rFonts w:cs="Arial"/>
                <w:sz w:val="20"/>
                <w:szCs w:val="20"/>
              </w:rPr>
            </w:pPr>
            <w:r w:rsidRPr="008828D3">
              <w:rPr>
                <w:rFonts w:cs="Arial"/>
                <w:sz w:val="20"/>
                <w:szCs w:val="20"/>
              </w:rPr>
              <w:t>9 458</w:t>
            </w:r>
          </w:p>
        </w:tc>
        <w:tc>
          <w:tcPr>
            <w:tcW w:w="1448" w:type="dxa"/>
            <w:vAlign w:val="center"/>
          </w:tcPr>
          <w:p w:rsidR="009153E9" w:rsidRPr="008828D3" w:rsidRDefault="009153E9" w:rsidP="000B097A">
            <w:pPr>
              <w:jc w:val="center"/>
              <w:rPr>
                <w:rFonts w:cs="Arial"/>
                <w:sz w:val="20"/>
                <w:szCs w:val="20"/>
              </w:rPr>
            </w:pPr>
            <w:r w:rsidRPr="008828D3">
              <w:rPr>
                <w:rFonts w:cs="Arial"/>
                <w:sz w:val="20"/>
                <w:szCs w:val="20"/>
              </w:rPr>
              <w:t>2,0</w:t>
            </w:r>
          </w:p>
        </w:tc>
      </w:tr>
      <w:tr w:rsidR="009153E9" w:rsidTr="00193EA4">
        <w:trPr>
          <w:trHeight w:val="390"/>
        </w:trPr>
        <w:tc>
          <w:tcPr>
            <w:tcW w:w="2693" w:type="dxa"/>
            <w:vAlign w:val="center"/>
          </w:tcPr>
          <w:p w:rsidR="009153E9" w:rsidRPr="008828D3" w:rsidRDefault="009153E9" w:rsidP="000B097A">
            <w:pPr>
              <w:jc w:val="left"/>
              <w:rPr>
                <w:rFonts w:cs="Arial"/>
                <w:sz w:val="20"/>
                <w:szCs w:val="20"/>
              </w:rPr>
            </w:pPr>
            <w:r w:rsidRPr="008828D3">
              <w:rPr>
                <w:rFonts w:cs="Arial"/>
                <w:sz w:val="20"/>
                <w:szCs w:val="20"/>
              </w:rPr>
              <w:t>Plzeňský kraj</w:t>
            </w:r>
          </w:p>
        </w:tc>
        <w:tc>
          <w:tcPr>
            <w:tcW w:w="1416" w:type="dxa"/>
            <w:vAlign w:val="center"/>
          </w:tcPr>
          <w:p w:rsidR="009153E9" w:rsidRPr="008828D3" w:rsidRDefault="009153E9" w:rsidP="000B097A">
            <w:pPr>
              <w:jc w:val="center"/>
              <w:rPr>
                <w:rFonts w:cs="Arial"/>
                <w:sz w:val="20"/>
                <w:szCs w:val="20"/>
              </w:rPr>
            </w:pPr>
            <w:r w:rsidRPr="008828D3">
              <w:rPr>
                <w:rFonts w:cs="Arial"/>
                <w:sz w:val="20"/>
                <w:szCs w:val="20"/>
              </w:rPr>
              <w:t>3,6</w:t>
            </w:r>
          </w:p>
        </w:tc>
        <w:tc>
          <w:tcPr>
            <w:tcW w:w="1701" w:type="dxa"/>
            <w:vAlign w:val="center"/>
          </w:tcPr>
          <w:p w:rsidR="009153E9" w:rsidRPr="008828D3" w:rsidRDefault="009153E9" w:rsidP="000B097A">
            <w:pPr>
              <w:jc w:val="center"/>
              <w:rPr>
                <w:rFonts w:cs="Arial"/>
                <w:sz w:val="20"/>
                <w:szCs w:val="20"/>
              </w:rPr>
            </w:pPr>
            <w:r w:rsidRPr="008828D3">
              <w:rPr>
                <w:rFonts w:cs="Arial"/>
                <w:sz w:val="20"/>
                <w:szCs w:val="20"/>
              </w:rPr>
              <w:t>14 655</w:t>
            </w:r>
          </w:p>
        </w:tc>
        <w:tc>
          <w:tcPr>
            <w:tcW w:w="1842" w:type="dxa"/>
            <w:vAlign w:val="center"/>
          </w:tcPr>
          <w:p w:rsidR="009153E9" w:rsidRPr="008828D3" w:rsidRDefault="009153E9" w:rsidP="000B097A">
            <w:pPr>
              <w:jc w:val="center"/>
              <w:rPr>
                <w:rFonts w:cs="Arial"/>
                <w:sz w:val="20"/>
                <w:szCs w:val="20"/>
              </w:rPr>
            </w:pPr>
            <w:r w:rsidRPr="008828D3">
              <w:rPr>
                <w:rFonts w:cs="Arial"/>
                <w:sz w:val="20"/>
                <w:szCs w:val="20"/>
              </w:rPr>
              <w:t>10 210</w:t>
            </w:r>
          </w:p>
        </w:tc>
        <w:tc>
          <w:tcPr>
            <w:tcW w:w="1448" w:type="dxa"/>
            <w:vAlign w:val="center"/>
          </w:tcPr>
          <w:p w:rsidR="009153E9" w:rsidRPr="008828D3" w:rsidRDefault="009153E9" w:rsidP="000B097A">
            <w:pPr>
              <w:jc w:val="center"/>
              <w:rPr>
                <w:rFonts w:cs="Arial"/>
                <w:sz w:val="20"/>
                <w:szCs w:val="20"/>
              </w:rPr>
            </w:pPr>
            <w:r w:rsidRPr="008828D3">
              <w:rPr>
                <w:rFonts w:cs="Arial"/>
                <w:sz w:val="20"/>
                <w:szCs w:val="20"/>
              </w:rPr>
              <w:t>1,4</w:t>
            </w:r>
          </w:p>
        </w:tc>
      </w:tr>
      <w:tr w:rsidR="009153E9" w:rsidTr="00193EA4">
        <w:trPr>
          <w:trHeight w:val="390"/>
        </w:trPr>
        <w:tc>
          <w:tcPr>
            <w:tcW w:w="2693" w:type="dxa"/>
            <w:vAlign w:val="center"/>
          </w:tcPr>
          <w:p w:rsidR="009153E9" w:rsidRPr="008828D3" w:rsidRDefault="009153E9" w:rsidP="000B097A">
            <w:pPr>
              <w:jc w:val="left"/>
              <w:rPr>
                <w:rFonts w:cs="Arial"/>
                <w:sz w:val="20"/>
                <w:szCs w:val="20"/>
              </w:rPr>
            </w:pPr>
            <w:r w:rsidRPr="008828D3">
              <w:rPr>
                <w:rFonts w:cs="Arial"/>
                <w:sz w:val="20"/>
                <w:szCs w:val="20"/>
              </w:rPr>
              <w:t>Karlovarský kraj</w:t>
            </w:r>
          </w:p>
        </w:tc>
        <w:tc>
          <w:tcPr>
            <w:tcW w:w="1416" w:type="dxa"/>
            <w:vAlign w:val="center"/>
          </w:tcPr>
          <w:p w:rsidR="009153E9" w:rsidRPr="008828D3" w:rsidRDefault="009153E9" w:rsidP="000B097A">
            <w:pPr>
              <w:jc w:val="center"/>
              <w:rPr>
                <w:rFonts w:cs="Arial"/>
                <w:sz w:val="20"/>
                <w:szCs w:val="20"/>
              </w:rPr>
            </w:pPr>
            <w:r w:rsidRPr="008828D3">
              <w:rPr>
                <w:rFonts w:cs="Arial"/>
                <w:sz w:val="20"/>
                <w:szCs w:val="20"/>
              </w:rPr>
              <w:t>5,5</w:t>
            </w:r>
          </w:p>
        </w:tc>
        <w:tc>
          <w:tcPr>
            <w:tcW w:w="1701" w:type="dxa"/>
            <w:vAlign w:val="center"/>
          </w:tcPr>
          <w:p w:rsidR="009153E9" w:rsidRPr="008828D3" w:rsidRDefault="009153E9" w:rsidP="000B097A">
            <w:pPr>
              <w:jc w:val="center"/>
              <w:rPr>
                <w:rFonts w:cs="Arial"/>
                <w:sz w:val="20"/>
                <w:szCs w:val="20"/>
              </w:rPr>
            </w:pPr>
            <w:r w:rsidRPr="008828D3">
              <w:rPr>
                <w:rFonts w:cs="Arial"/>
                <w:sz w:val="20"/>
                <w:szCs w:val="20"/>
              </w:rPr>
              <w:t>11 796</w:t>
            </w:r>
          </w:p>
        </w:tc>
        <w:tc>
          <w:tcPr>
            <w:tcW w:w="1842" w:type="dxa"/>
            <w:vAlign w:val="center"/>
          </w:tcPr>
          <w:p w:rsidR="009153E9" w:rsidRPr="008828D3" w:rsidRDefault="009153E9" w:rsidP="000B097A">
            <w:pPr>
              <w:jc w:val="center"/>
              <w:rPr>
                <w:rFonts w:cs="Arial"/>
                <w:sz w:val="20"/>
                <w:szCs w:val="20"/>
              </w:rPr>
            </w:pPr>
            <w:r w:rsidRPr="008828D3">
              <w:rPr>
                <w:rFonts w:cs="Arial"/>
                <w:sz w:val="20"/>
                <w:szCs w:val="20"/>
              </w:rPr>
              <w:t>3 678</w:t>
            </w:r>
          </w:p>
        </w:tc>
        <w:tc>
          <w:tcPr>
            <w:tcW w:w="1448" w:type="dxa"/>
            <w:vAlign w:val="center"/>
          </w:tcPr>
          <w:p w:rsidR="009153E9" w:rsidRPr="008828D3" w:rsidRDefault="009153E9" w:rsidP="000B097A">
            <w:pPr>
              <w:jc w:val="center"/>
              <w:rPr>
                <w:rFonts w:cs="Arial"/>
                <w:sz w:val="20"/>
                <w:szCs w:val="20"/>
              </w:rPr>
            </w:pPr>
            <w:r w:rsidRPr="008828D3">
              <w:rPr>
                <w:rFonts w:cs="Arial"/>
                <w:sz w:val="20"/>
                <w:szCs w:val="20"/>
              </w:rPr>
              <w:t>3,2</w:t>
            </w:r>
          </w:p>
        </w:tc>
      </w:tr>
      <w:tr w:rsidR="009153E9" w:rsidTr="00193EA4">
        <w:trPr>
          <w:trHeight w:val="390"/>
        </w:trPr>
        <w:tc>
          <w:tcPr>
            <w:tcW w:w="2693" w:type="dxa"/>
            <w:vAlign w:val="center"/>
          </w:tcPr>
          <w:p w:rsidR="009153E9" w:rsidRPr="008828D3" w:rsidRDefault="009153E9" w:rsidP="000B097A">
            <w:pPr>
              <w:jc w:val="left"/>
              <w:rPr>
                <w:rFonts w:cs="Arial"/>
                <w:sz w:val="20"/>
                <w:szCs w:val="20"/>
              </w:rPr>
            </w:pPr>
            <w:r w:rsidRPr="008828D3">
              <w:rPr>
                <w:rFonts w:cs="Arial"/>
                <w:sz w:val="20"/>
                <w:szCs w:val="20"/>
              </w:rPr>
              <w:t>Ústecký kraj</w:t>
            </w:r>
          </w:p>
        </w:tc>
        <w:tc>
          <w:tcPr>
            <w:tcW w:w="1416" w:type="dxa"/>
            <w:vAlign w:val="center"/>
          </w:tcPr>
          <w:p w:rsidR="009153E9" w:rsidRPr="008828D3" w:rsidRDefault="009153E9" w:rsidP="000B097A">
            <w:pPr>
              <w:jc w:val="center"/>
              <w:rPr>
                <w:rFonts w:cs="Arial"/>
                <w:sz w:val="20"/>
                <w:szCs w:val="20"/>
              </w:rPr>
            </w:pPr>
            <w:r w:rsidRPr="008828D3">
              <w:rPr>
                <w:rFonts w:cs="Arial"/>
                <w:sz w:val="20"/>
                <w:szCs w:val="20"/>
              </w:rPr>
              <w:t>7,8</w:t>
            </w:r>
          </w:p>
        </w:tc>
        <w:tc>
          <w:tcPr>
            <w:tcW w:w="1701" w:type="dxa"/>
            <w:vAlign w:val="center"/>
          </w:tcPr>
          <w:p w:rsidR="009153E9" w:rsidRPr="008828D3" w:rsidRDefault="009153E9" w:rsidP="000B097A">
            <w:pPr>
              <w:jc w:val="center"/>
              <w:rPr>
                <w:rFonts w:cs="Arial"/>
                <w:sz w:val="20"/>
                <w:szCs w:val="20"/>
              </w:rPr>
            </w:pPr>
            <w:r w:rsidRPr="008828D3">
              <w:rPr>
                <w:rFonts w:cs="Arial"/>
                <w:sz w:val="20"/>
                <w:szCs w:val="20"/>
              </w:rPr>
              <w:t>44 528</w:t>
            </w:r>
          </w:p>
        </w:tc>
        <w:tc>
          <w:tcPr>
            <w:tcW w:w="1842" w:type="dxa"/>
            <w:vAlign w:val="center"/>
          </w:tcPr>
          <w:p w:rsidR="009153E9" w:rsidRPr="008828D3" w:rsidRDefault="009153E9" w:rsidP="000B097A">
            <w:pPr>
              <w:jc w:val="center"/>
              <w:rPr>
                <w:rFonts w:cs="Arial"/>
                <w:sz w:val="20"/>
                <w:szCs w:val="20"/>
              </w:rPr>
            </w:pPr>
            <w:r w:rsidRPr="008828D3">
              <w:rPr>
                <w:rFonts w:cs="Arial"/>
                <w:sz w:val="20"/>
                <w:szCs w:val="20"/>
              </w:rPr>
              <w:t>7 634</w:t>
            </w:r>
          </w:p>
        </w:tc>
        <w:tc>
          <w:tcPr>
            <w:tcW w:w="1448" w:type="dxa"/>
            <w:vAlign w:val="center"/>
          </w:tcPr>
          <w:p w:rsidR="009153E9" w:rsidRPr="008828D3" w:rsidRDefault="009153E9" w:rsidP="000B097A">
            <w:pPr>
              <w:jc w:val="center"/>
              <w:rPr>
                <w:rFonts w:cs="Arial"/>
                <w:sz w:val="20"/>
                <w:szCs w:val="20"/>
              </w:rPr>
            </w:pPr>
            <w:r w:rsidRPr="008828D3">
              <w:rPr>
                <w:rFonts w:cs="Arial"/>
                <w:sz w:val="20"/>
                <w:szCs w:val="20"/>
              </w:rPr>
              <w:t>5,8</w:t>
            </w:r>
          </w:p>
        </w:tc>
      </w:tr>
      <w:tr w:rsidR="009153E9" w:rsidTr="00193EA4">
        <w:trPr>
          <w:trHeight w:val="390"/>
        </w:trPr>
        <w:tc>
          <w:tcPr>
            <w:tcW w:w="2693" w:type="dxa"/>
            <w:vAlign w:val="center"/>
          </w:tcPr>
          <w:p w:rsidR="009153E9" w:rsidRPr="008828D3" w:rsidRDefault="009153E9" w:rsidP="000B097A">
            <w:pPr>
              <w:jc w:val="left"/>
              <w:rPr>
                <w:rFonts w:cs="Arial"/>
                <w:sz w:val="20"/>
                <w:szCs w:val="20"/>
              </w:rPr>
            </w:pPr>
            <w:r w:rsidRPr="008828D3">
              <w:rPr>
                <w:rFonts w:cs="Arial"/>
                <w:sz w:val="20"/>
                <w:szCs w:val="20"/>
              </w:rPr>
              <w:t>Liberecký kraj</w:t>
            </w:r>
          </w:p>
        </w:tc>
        <w:tc>
          <w:tcPr>
            <w:tcW w:w="1416" w:type="dxa"/>
            <w:vAlign w:val="center"/>
          </w:tcPr>
          <w:p w:rsidR="009153E9" w:rsidRPr="008828D3" w:rsidRDefault="009153E9" w:rsidP="000B097A">
            <w:pPr>
              <w:jc w:val="center"/>
              <w:rPr>
                <w:rFonts w:cs="Arial"/>
                <w:sz w:val="20"/>
                <w:szCs w:val="20"/>
              </w:rPr>
            </w:pPr>
            <w:r w:rsidRPr="008828D3">
              <w:rPr>
                <w:rFonts w:cs="Arial"/>
                <w:sz w:val="20"/>
                <w:szCs w:val="20"/>
              </w:rPr>
              <w:t>5,2</w:t>
            </w:r>
          </w:p>
        </w:tc>
        <w:tc>
          <w:tcPr>
            <w:tcW w:w="1701" w:type="dxa"/>
            <w:vAlign w:val="center"/>
          </w:tcPr>
          <w:p w:rsidR="009153E9" w:rsidRPr="008828D3" w:rsidRDefault="009153E9" w:rsidP="000B097A">
            <w:pPr>
              <w:jc w:val="center"/>
              <w:rPr>
                <w:rFonts w:cs="Arial"/>
                <w:sz w:val="20"/>
                <w:szCs w:val="20"/>
              </w:rPr>
            </w:pPr>
            <w:r w:rsidRPr="008828D3">
              <w:rPr>
                <w:rFonts w:cs="Arial"/>
                <w:sz w:val="20"/>
                <w:szCs w:val="20"/>
              </w:rPr>
              <w:t>16 104</w:t>
            </w:r>
          </w:p>
        </w:tc>
        <w:tc>
          <w:tcPr>
            <w:tcW w:w="1842" w:type="dxa"/>
            <w:vAlign w:val="center"/>
          </w:tcPr>
          <w:p w:rsidR="009153E9" w:rsidRPr="008828D3" w:rsidRDefault="009153E9" w:rsidP="000B097A">
            <w:pPr>
              <w:jc w:val="center"/>
              <w:rPr>
                <w:rFonts w:cs="Arial"/>
                <w:sz w:val="20"/>
                <w:szCs w:val="20"/>
              </w:rPr>
            </w:pPr>
            <w:r w:rsidRPr="008828D3">
              <w:rPr>
                <w:rFonts w:cs="Arial"/>
                <w:sz w:val="20"/>
                <w:szCs w:val="20"/>
              </w:rPr>
              <w:t>5 607</w:t>
            </w:r>
          </w:p>
        </w:tc>
        <w:tc>
          <w:tcPr>
            <w:tcW w:w="1448" w:type="dxa"/>
            <w:vAlign w:val="center"/>
          </w:tcPr>
          <w:p w:rsidR="009153E9" w:rsidRPr="008828D3" w:rsidRDefault="009153E9" w:rsidP="000B097A">
            <w:pPr>
              <w:jc w:val="center"/>
              <w:rPr>
                <w:rFonts w:cs="Arial"/>
                <w:sz w:val="20"/>
                <w:szCs w:val="20"/>
              </w:rPr>
            </w:pPr>
            <w:r w:rsidRPr="008828D3">
              <w:rPr>
                <w:rFonts w:cs="Arial"/>
                <w:sz w:val="20"/>
                <w:szCs w:val="20"/>
              </w:rPr>
              <w:t>2,9</w:t>
            </w:r>
          </w:p>
        </w:tc>
      </w:tr>
      <w:tr w:rsidR="009153E9" w:rsidTr="00193EA4">
        <w:trPr>
          <w:trHeight w:val="390"/>
        </w:trPr>
        <w:tc>
          <w:tcPr>
            <w:tcW w:w="2693" w:type="dxa"/>
            <w:vAlign w:val="center"/>
          </w:tcPr>
          <w:p w:rsidR="009153E9" w:rsidRPr="008828D3" w:rsidRDefault="009153E9" w:rsidP="000B097A">
            <w:pPr>
              <w:jc w:val="left"/>
              <w:rPr>
                <w:rFonts w:cs="Arial"/>
                <w:sz w:val="20"/>
                <w:szCs w:val="20"/>
              </w:rPr>
            </w:pPr>
            <w:r w:rsidRPr="008828D3">
              <w:rPr>
                <w:rFonts w:cs="Arial"/>
                <w:sz w:val="20"/>
                <w:szCs w:val="20"/>
              </w:rPr>
              <w:t>Královehradecký kraj</w:t>
            </w:r>
          </w:p>
        </w:tc>
        <w:tc>
          <w:tcPr>
            <w:tcW w:w="1416" w:type="dxa"/>
            <w:vAlign w:val="center"/>
          </w:tcPr>
          <w:p w:rsidR="009153E9" w:rsidRPr="008828D3" w:rsidRDefault="009153E9" w:rsidP="000B097A">
            <w:pPr>
              <w:jc w:val="center"/>
              <w:rPr>
                <w:rFonts w:cs="Arial"/>
                <w:sz w:val="20"/>
                <w:szCs w:val="20"/>
              </w:rPr>
            </w:pPr>
            <w:r w:rsidRPr="008828D3">
              <w:rPr>
                <w:rFonts w:cs="Arial"/>
                <w:sz w:val="20"/>
                <w:szCs w:val="20"/>
              </w:rPr>
              <w:t>3,8</w:t>
            </w:r>
          </w:p>
        </w:tc>
        <w:tc>
          <w:tcPr>
            <w:tcW w:w="1701" w:type="dxa"/>
            <w:vAlign w:val="center"/>
          </w:tcPr>
          <w:p w:rsidR="009153E9" w:rsidRPr="008828D3" w:rsidRDefault="009153E9" w:rsidP="000B097A">
            <w:pPr>
              <w:jc w:val="center"/>
              <w:rPr>
                <w:rFonts w:cs="Arial"/>
                <w:sz w:val="20"/>
                <w:szCs w:val="20"/>
              </w:rPr>
            </w:pPr>
            <w:r w:rsidRPr="008828D3">
              <w:rPr>
                <w:rFonts w:cs="Arial"/>
                <w:sz w:val="20"/>
                <w:szCs w:val="20"/>
              </w:rPr>
              <w:t>14 270</w:t>
            </w:r>
          </w:p>
        </w:tc>
        <w:tc>
          <w:tcPr>
            <w:tcW w:w="1842" w:type="dxa"/>
            <w:vAlign w:val="center"/>
          </w:tcPr>
          <w:p w:rsidR="009153E9" w:rsidRPr="008828D3" w:rsidRDefault="009153E9" w:rsidP="000B097A">
            <w:pPr>
              <w:jc w:val="center"/>
              <w:rPr>
                <w:rFonts w:cs="Arial"/>
                <w:sz w:val="20"/>
                <w:szCs w:val="20"/>
              </w:rPr>
            </w:pPr>
            <w:r w:rsidRPr="008828D3">
              <w:rPr>
                <w:rFonts w:cs="Arial"/>
                <w:sz w:val="20"/>
                <w:szCs w:val="20"/>
              </w:rPr>
              <w:t>6 151</w:t>
            </w:r>
          </w:p>
        </w:tc>
        <w:tc>
          <w:tcPr>
            <w:tcW w:w="1448" w:type="dxa"/>
            <w:vAlign w:val="center"/>
          </w:tcPr>
          <w:p w:rsidR="009153E9" w:rsidRPr="008828D3" w:rsidRDefault="009153E9" w:rsidP="000B097A">
            <w:pPr>
              <w:jc w:val="center"/>
              <w:rPr>
                <w:rFonts w:cs="Arial"/>
                <w:sz w:val="20"/>
                <w:szCs w:val="20"/>
              </w:rPr>
            </w:pPr>
            <w:r w:rsidRPr="008828D3">
              <w:rPr>
                <w:rFonts w:cs="Arial"/>
                <w:sz w:val="20"/>
                <w:szCs w:val="20"/>
              </w:rPr>
              <w:t>2,3</w:t>
            </w:r>
          </w:p>
        </w:tc>
      </w:tr>
      <w:tr w:rsidR="009153E9" w:rsidTr="00193EA4">
        <w:trPr>
          <w:trHeight w:val="390"/>
        </w:trPr>
        <w:tc>
          <w:tcPr>
            <w:tcW w:w="2693" w:type="dxa"/>
            <w:vAlign w:val="center"/>
          </w:tcPr>
          <w:p w:rsidR="009153E9" w:rsidRPr="008828D3" w:rsidRDefault="009153E9" w:rsidP="000B097A">
            <w:pPr>
              <w:jc w:val="left"/>
              <w:rPr>
                <w:rFonts w:cs="Arial"/>
                <w:sz w:val="20"/>
                <w:szCs w:val="20"/>
              </w:rPr>
            </w:pPr>
            <w:r w:rsidRPr="008828D3">
              <w:rPr>
                <w:rFonts w:cs="Arial"/>
                <w:sz w:val="20"/>
                <w:szCs w:val="20"/>
              </w:rPr>
              <w:t>Pardubický kraj</w:t>
            </w:r>
          </w:p>
        </w:tc>
        <w:tc>
          <w:tcPr>
            <w:tcW w:w="1416" w:type="dxa"/>
            <w:vAlign w:val="center"/>
          </w:tcPr>
          <w:p w:rsidR="009153E9" w:rsidRPr="008828D3" w:rsidRDefault="009153E9" w:rsidP="000B097A">
            <w:pPr>
              <w:jc w:val="center"/>
              <w:rPr>
                <w:rFonts w:cs="Arial"/>
                <w:sz w:val="20"/>
                <w:szCs w:val="20"/>
              </w:rPr>
            </w:pPr>
            <w:r w:rsidRPr="008828D3">
              <w:rPr>
                <w:rFonts w:cs="Arial"/>
                <w:sz w:val="20"/>
                <w:szCs w:val="20"/>
              </w:rPr>
              <w:t>4,0</w:t>
            </w:r>
          </w:p>
        </w:tc>
        <w:tc>
          <w:tcPr>
            <w:tcW w:w="1701" w:type="dxa"/>
            <w:vAlign w:val="center"/>
          </w:tcPr>
          <w:p w:rsidR="009153E9" w:rsidRPr="008828D3" w:rsidRDefault="009153E9" w:rsidP="000B097A">
            <w:pPr>
              <w:jc w:val="center"/>
              <w:rPr>
                <w:rFonts w:cs="Arial"/>
                <w:sz w:val="20"/>
                <w:szCs w:val="20"/>
              </w:rPr>
            </w:pPr>
            <w:r w:rsidRPr="008828D3">
              <w:rPr>
                <w:rFonts w:cs="Arial"/>
                <w:sz w:val="20"/>
                <w:szCs w:val="20"/>
              </w:rPr>
              <w:t>14 407</w:t>
            </w:r>
          </w:p>
        </w:tc>
        <w:tc>
          <w:tcPr>
            <w:tcW w:w="1842" w:type="dxa"/>
            <w:vAlign w:val="center"/>
          </w:tcPr>
          <w:p w:rsidR="009153E9" w:rsidRPr="008828D3" w:rsidRDefault="009153E9" w:rsidP="000B097A">
            <w:pPr>
              <w:jc w:val="center"/>
              <w:rPr>
                <w:rFonts w:cs="Arial"/>
                <w:sz w:val="20"/>
                <w:szCs w:val="20"/>
              </w:rPr>
            </w:pPr>
            <w:r w:rsidRPr="008828D3">
              <w:rPr>
                <w:rFonts w:cs="Arial"/>
                <w:sz w:val="20"/>
                <w:szCs w:val="20"/>
              </w:rPr>
              <w:t>9 687</w:t>
            </w:r>
          </w:p>
        </w:tc>
        <w:tc>
          <w:tcPr>
            <w:tcW w:w="1448" w:type="dxa"/>
            <w:vAlign w:val="center"/>
          </w:tcPr>
          <w:p w:rsidR="009153E9" w:rsidRPr="008828D3" w:rsidRDefault="009153E9" w:rsidP="000B097A">
            <w:pPr>
              <w:jc w:val="center"/>
              <w:rPr>
                <w:rFonts w:cs="Arial"/>
                <w:sz w:val="20"/>
                <w:szCs w:val="20"/>
              </w:rPr>
            </w:pPr>
            <w:r w:rsidRPr="008828D3">
              <w:rPr>
                <w:rFonts w:cs="Arial"/>
                <w:sz w:val="20"/>
                <w:szCs w:val="20"/>
              </w:rPr>
              <w:t>1,5</w:t>
            </w:r>
          </w:p>
        </w:tc>
      </w:tr>
      <w:tr w:rsidR="009153E9" w:rsidTr="00193EA4">
        <w:trPr>
          <w:trHeight w:val="390"/>
        </w:trPr>
        <w:tc>
          <w:tcPr>
            <w:tcW w:w="2693" w:type="dxa"/>
            <w:vAlign w:val="center"/>
          </w:tcPr>
          <w:p w:rsidR="009153E9" w:rsidRPr="008828D3" w:rsidRDefault="009153E9" w:rsidP="000B097A">
            <w:pPr>
              <w:jc w:val="left"/>
              <w:rPr>
                <w:rFonts w:cs="Arial"/>
                <w:sz w:val="20"/>
                <w:szCs w:val="20"/>
              </w:rPr>
            </w:pPr>
            <w:r w:rsidRPr="008828D3">
              <w:rPr>
                <w:rFonts w:cs="Arial"/>
                <w:sz w:val="20"/>
                <w:szCs w:val="20"/>
              </w:rPr>
              <w:t>Kraj Vysočina</w:t>
            </w:r>
          </w:p>
        </w:tc>
        <w:tc>
          <w:tcPr>
            <w:tcW w:w="1416" w:type="dxa"/>
            <w:vAlign w:val="center"/>
          </w:tcPr>
          <w:p w:rsidR="009153E9" w:rsidRPr="008828D3" w:rsidRDefault="009153E9" w:rsidP="000B097A">
            <w:pPr>
              <w:jc w:val="center"/>
              <w:rPr>
                <w:rFonts w:cs="Arial"/>
                <w:sz w:val="20"/>
                <w:szCs w:val="20"/>
              </w:rPr>
            </w:pPr>
            <w:r w:rsidRPr="008828D3">
              <w:rPr>
                <w:rFonts w:cs="Arial"/>
                <w:sz w:val="20"/>
                <w:szCs w:val="20"/>
              </w:rPr>
              <w:t>5,2</w:t>
            </w:r>
          </w:p>
        </w:tc>
        <w:tc>
          <w:tcPr>
            <w:tcW w:w="1701" w:type="dxa"/>
            <w:vAlign w:val="center"/>
          </w:tcPr>
          <w:p w:rsidR="009153E9" w:rsidRPr="008828D3" w:rsidRDefault="009153E9" w:rsidP="000B097A">
            <w:pPr>
              <w:jc w:val="center"/>
              <w:rPr>
                <w:rFonts w:cs="Arial"/>
                <w:sz w:val="20"/>
                <w:szCs w:val="20"/>
              </w:rPr>
            </w:pPr>
            <w:r w:rsidRPr="008828D3">
              <w:rPr>
                <w:rFonts w:cs="Arial"/>
                <w:sz w:val="20"/>
                <w:szCs w:val="20"/>
              </w:rPr>
              <w:t>17 672</w:t>
            </w:r>
          </w:p>
        </w:tc>
        <w:tc>
          <w:tcPr>
            <w:tcW w:w="1842" w:type="dxa"/>
            <w:vAlign w:val="center"/>
          </w:tcPr>
          <w:p w:rsidR="009153E9" w:rsidRPr="008828D3" w:rsidRDefault="009153E9" w:rsidP="000B097A">
            <w:pPr>
              <w:jc w:val="center"/>
              <w:rPr>
                <w:rFonts w:cs="Arial"/>
                <w:sz w:val="20"/>
                <w:szCs w:val="20"/>
              </w:rPr>
            </w:pPr>
            <w:r w:rsidRPr="008828D3">
              <w:rPr>
                <w:rFonts w:cs="Arial"/>
                <w:sz w:val="20"/>
                <w:szCs w:val="20"/>
              </w:rPr>
              <w:t>5 418</w:t>
            </w:r>
          </w:p>
        </w:tc>
        <w:tc>
          <w:tcPr>
            <w:tcW w:w="1448" w:type="dxa"/>
            <w:vAlign w:val="center"/>
          </w:tcPr>
          <w:p w:rsidR="009153E9" w:rsidRPr="008828D3" w:rsidRDefault="009153E9" w:rsidP="000B097A">
            <w:pPr>
              <w:jc w:val="center"/>
              <w:rPr>
                <w:rFonts w:cs="Arial"/>
                <w:sz w:val="20"/>
                <w:szCs w:val="20"/>
              </w:rPr>
            </w:pPr>
            <w:r w:rsidRPr="008828D3">
              <w:rPr>
                <w:rFonts w:cs="Arial"/>
                <w:sz w:val="20"/>
                <w:szCs w:val="20"/>
              </w:rPr>
              <w:t>3,3</w:t>
            </w:r>
          </w:p>
        </w:tc>
      </w:tr>
      <w:tr w:rsidR="009153E9" w:rsidTr="00193EA4">
        <w:trPr>
          <w:trHeight w:val="390"/>
        </w:trPr>
        <w:tc>
          <w:tcPr>
            <w:tcW w:w="2693" w:type="dxa"/>
            <w:vAlign w:val="center"/>
          </w:tcPr>
          <w:p w:rsidR="009153E9" w:rsidRPr="008828D3" w:rsidRDefault="009153E9" w:rsidP="000B097A">
            <w:pPr>
              <w:jc w:val="left"/>
              <w:rPr>
                <w:rFonts w:cs="Arial"/>
                <w:sz w:val="20"/>
                <w:szCs w:val="20"/>
              </w:rPr>
            </w:pPr>
            <w:r w:rsidRPr="008828D3">
              <w:rPr>
                <w:rFonts w:cs="Arial"/>
                <w:sz w:val="20"/>
                <w:szCs w:val="20"/>
              </w:rPr>
              <w:t>Jihomoravský kraj</w:t>
            </w:r>
          </w:p>
        </w:tc>
        <w:tc>
          <w:tcPr>
            <w:tcW w:w="1416" w:type="dxa"/>
            <w:vAlign w:val="center"/>
          </w:tcPr>
          <w:p w:rsidR="009153E9" w:rsidRPr="008828D3" w:rsidRDefault="009153E9" w:rsidP="000B097A">
            <w:pPr>
              <w:jc w:val="center"/>
              <w:rPr>
                <w:rFonts w:cs="Arial"/>
                <w:sz w:val="20"/>
                <w:szCs w:val="20"/>
              </w:rPr>
            </w:pPr>
            <w:r w:rsidRPr="008828D3">
              <w:rPr>
                <w:rFonts w:cs="Arial"/>
                <w:sz w:val="20"/>
                <w:szCs w:val="20"/>
              </w:rPr>
              <w:t>6,1</w:t>
            </w:r>
          </w:p>
        </w:tc>
        <w:tc>
          <w:tcPr>
            <w:tcW w:w="1701" w:type="dxa"/>
            <w:vAlign w:val="center"/>
          </w:tcPr>
          <w:p w:rsidR="009153E9" w:rsidRPr="008828D3" w:rsidRDefault="009153E9" w:rsidP="000B097A">
            <w:pPr>
              <w:jc w:val="center"/>
              <w:rPr>
                <w:rFonts w:cs="Arial"/>
                <w:sz w:val="20"/>
                <w:szCs w:val="20"/>
              </w:rPr>
            </w:pPr>
            <w:r w:rsidRPr="008828D3">
              <w:rPr>
                <w:rFonts w:cs="Arial"/>
                <w:sz w:val="20"/>
                <w:szCs w:val="20"/>
              </w:rPr>
              <w:t>49 032</w:t>
            </w:r>
          </w:p>
        </w:tc>
        <w:tc>
          <w:tcPr>
            <w:tcW w:w="1842" w:type="dxa"/>
            <w:vAlign w:val="center"/>
          </w:tcPr>
          <w:p w:rsidR="009153E9" w:rsidRPr="008828D3" w:rsidRDefault="009153E9" w:rsidP="000B097A">
            <w:pPr>
              <w:jc w:val="center"/>
              <w:rPr>
                <w:rFonts w:cs="Arial"/>
                <w:sz w:val="20"/>
                <w:szCs w:val="20"/>
              </w:rPr>
            </w:pPr>
            <w:r w:rsidRPr="008828D3">
              <w:rPr>
                <w:rFonts w:cs="Arial"/>
                <w:sz w:val="20"/>
                <w:szCs w:val="20"/>
              </w:rPr>
              <w:t>11 228</w:t>
            </w:r>
          </w:p>
        </w:tc>
        <w:tc>
          <w:tcPr>
            <w:tcW w:w="1448" w:type="dxa"/>
            <w:vAlign w:val="center"/>
          </w:tcPr>
          <w:p w:rsidR="009153E9" w:rsidRPr="008828D3" w:rsidRDefault="009153E9" w:rsidP="000B097A">
            <w:pPr>
              <w:jc w:val="center"/>
              <w:rPr>
                <w:rFonts w:cs="Arial"/>
                <w:sz w:val="20"/>
                <w:szCs w:val="20"/>
              </w:rPr>
            </w:pPr>
            <w:r w:rsidRPr="008828D3">
              <w:rPr>
                <w:rFonts w:cs="Arial"/>
                <w:sz w:val="20"/>
                <w:szCs w:val="20"/>
              </w:rPr>
              <w:t>4,4</w:t>
            </w:r>
          </w:p>
        </w:tc>
      </w:tr>
      <w:tr w:rsidR="009153E9" w:rsidTr="00193EA4">
        <w:trPr>
          <w:trHeight w:val="390"/>
        </w:trPr>
        <w:tc>
          <w:tcPr>
            <w:tcW w:w="2693" w:type="dxa"/>
            <w:vAlign w:val="center"/>
          </w:tcPr>
          <w:p w:rsidR="009153E9" w:rsidRPr="008828D3" w:rsidRDefault="009153E9" w:rsidP="000B097A">
            <w:pPr>
              <w:jc w:val="left"/>
              <w:rPr>
                <w:rFonts w:cs="Arial"/>
                <w:sz w:val="20"/>
                <w:szCs w:val="20"/>
              </w:rPr>
            </w:pPr>
            <w:r w:rsidRPr="008828D3">
              <w:rPr>
                <w:rFonts w:cs="Arial"/>
                <w:sz w:val="20"/>
                <w:szCs w:val="20"/>
              </w:rPr>
              <w:t>Olomoucký kraj</w:t>
            </w:r>
          </w:p>
        </w:tc>
        <w:tc>
          <w:tcPr>
            <w:tcW w:w="1416" w:type="dxa"/>
            <w:vAlign w:val="center"/>
          </w:tcPr>
          <w:p w:rsidR="009153E9" w:rsidRPr="008828D3" w:rsidRDefault="009153E9" w:rsidP="000B097A">
            <w:pPr>
              <w:jc w:val="center"/>
              <w:rPr>
                <w:rFonts w:cs="Arial"/>
                <w:sz w:val="20"/>
                <w:szCs w:val="20"/>
              </w:rPr>
            </w:pPr>
            <w:r w:rsidRPr="008828D3">
              <w:rPr>
                <w:rFonts w:cs="Arial"/>
                <w:sz w:val="20"/>
                <w:szCs w:val="20"/>
              </w:rPr>
              <w:t>5,9</w:t>
            </w:r>
          </w:p>
        </w:tc>
        <w:tc>
          <w:tcPr>
            <w:tcW w:w="1701" w:type="dxa"/>
            <w:vAlign w:val="center"/>
          </w:tcPr>
          <w:p w:rsidR="009153E9" w:rsidRPr="008828D3" w:rsidRDefault="009153E9" w:rsidP="000B097A">
            <w:pPr>
              <w:jc w:val="center"/>
              <w:rPr>
                <w:rFonts w:cs="Arial"/>
                <w:sz w:val="20"/>
                <w:szCs w:val="20"/>
              </w:rPr>
            </w:pPr>
            <w:r w:rsidRPr="008828D3">
              <w:rPr>
                <w:rFonts w:cs="Arial"/>
                <w:sz w:val="20"/>
                <w:szCs w:val="20"/>
              </w:rPr>
              <w:t>26 495</w:t>
            </w:r>
          </w:p>
        </w:tc>
        <w:tc>
          <w:tcPr>
            <w:tcW w:w="1842" w:type="dxa"/>
            <w:vAlign w:val="center"/>
          </w:tcPr>
          <w:p w:rsidR="009153E9" w:rsidRPr="008828D3" w:rsidRDefault="009153E9" w:rsidP="000B097A">
            <w:pPr>
              <w:jc w:val="center"/>
              <w:rPr>
                <w:rFonts w:cs="Arial"/>
                <w:sz w:val="20"/>
                <w:szCs w:val="20"/>
              </w:rPr>
            </w:pPr>
            <w:r w:rsidRPr="008828D3">
              <w:rPr>
                <w:rFonts w:cs="Arial"/>
                <w:sz w:val="20"/>
                <w:szCs w:val="20"/>
              </w:rPr>
              <w:t>6 282</w:t>
            </w:r>
          </w:p>
        </w:tc>
        <w:tc>
          <w:tcPr>
            <w:tcW w:w="1448" w:type="dxa"/>
            <w:vAlign w:val="center"/>
          </w:tcPr>
          <w:p w:rsidR="009153E9" w:rsidRPr="008828D3" w:rsidRDefault="009153E9" w:rsidP="000B097A">
            <w:pPr>
              <w:jc w:val="center"/>
              <w:rPr>
                <w:rFonts w:cs="Arial"/>
                <w:sz w:val="20"/>
                <w:szCs w:val="20"/>
              </w:rPr>
            </w:pPr>
            <w:r w:rsidRPr="008828D3">
              <w:rPr>
                <w:rFonts w:cs="Arial"/>
                <w:sz w:val="20"/>
                <w:szCs w:val="20"/>
              </w:rPr>
              <w:t>4,2</w:t>
            </w:r>
          </w:p>
        </w:tc>
      </w:tr>
      <w:tr w:rsidR="009153E9" w:rsidTr="00193EA4">
        <w:trPr>
          <w:trHeight w:val="390"/>
        </w:trPr>
        <w:tc>
          <w:tcPr>
            <w:tcW w:w="2693" w:type="dxa"/>
            <w:vAlign w:val="center"/>
          </w:tcPr>
          <w:p w:rsidR="009153E9" w:rsidRPr="008828D3" w:rsidRDefault="009153E9" w:rsidP="000B097A">
            <w:pPr>
              <w:jc w:val="left"/>
              <w:rPr>
                <w:rFonts w:cs="Arial"/>
                <w:sz w:val="20"/>
                <w:szCs w:val="20"/>
              </w:rPr>
            </w:pPr>
            <w:r w:rsidRPr="008828D3">
              <w:rPr>
                <w:rFonts w:cs="Arial"/>
                <w:sz w:val="20"/>
                <w:szCs w:val="20"/>
              </w:rPr>
              <w:t>Zlínský kraj</w:t>
            </w:r>
          </w:p>
        </w:tc>
        <w:tc>
          <w:tcPr>
            <w:tcW w:w="1416" w:type="dxa"/>
            <w:vAlign w:val="center"/>
          </w:tcPr>
          <w:p w:rsidR="009153E9" w:rsidRPr="008828D3" w:rsidRDefault="009153E9" w:rsidP="000B097A">
            <w:pPr>
              <w:jc w:val="center"/>
              <w:rPr>
                <w:rFonts w:cs="Arial"/>
                <w:sz w:val="20"/>
                <w:szCs w:val="20"/>
              </w:rPr>
            </w:pPr>
            <w:r w:rsidRPr="008828D3">
              <w:rPr>
                <w:rFonts w:cs="Arial"/>
                <w:sz w:val="20"/>
                <w:szCs w:val="20"/>
              </w:rPr>
              <w:t>4,9</w:t>
            </w:r>
          </w:p>
        </w:tc>
        <w:tc>
          <w:tcPr>
            <w:tcW w:w="1701" w:type="dxa"/>
            <w:vAlign w:val="center"/>
          </w:tcPr>
          <w:p w:rsidR="009153E9" w:rsidRPr="008828D3" w:rsidRDefault="009153E9" w:rsidP="000B097A">
            <w:pPr>
              <w:jc w:val="center"/>
              <w:rPr>
                <w:rFonts w:cs="Arial"/>
                <w:sz w:val="20"/>
                <w:szCs w:val="20"/>
              </w:rPr>
            </w:pPr>
            <w:r w:rsidRPr="008828D3">
              <w:rPr>
                <w:rFonts w:cs="Arial"/>
                <w:sz w:val="20"/>
                <w:szCs w:val="20"/>
              </w:rPr>
              <w:t>19 848</w:t>
            </w:r>
          </w:p>
        </w:tc>
        <w:tc>
          <w:tcPr>
            <w:tcW w:w="1842" w:type="dxa"/>
            <w:vAlign w:val="center"/>
          </w:tcPr>
          <w:p w:rsidR="009153E9" w:rsidRPr="008828D3" w:rsidRDefault="009153E9" w:rsidP="000B097A">
            <w:pPr>
              <w:jc w:val="center"/>
              <w:rPr>
                <w:rFonts w:cs="Arial"/>
                <w:sz w:val="20"/>
                <w:szCs w:val="20"/>
              </w:rPr>
            </w:pPr>
            <w:r w:rsidRPr="008828D3">
              <w:rPr>
                <w:rFonts w:cs="Arial"/>
                <w:sz w:val="20"/>
                <w:szCs w:val="20"/>
              </w:rPr>
              <w:t>6 528</w:t>
            </w:r>
          </w:p>
        </w:tc>
        <w:tc>
          <w:tcPr>
            <w:tcW w:w="1448" w:type="dxa"/>
            <w:vAlign w:val="center"/>
          </w:tcPr>
          <w:p w:rsidR="009153E9" w:rsidRPr="008828D3" w:rsidRDefault="009153E9" w:rsidP="000B097A">
            <w:pPr>
              <w:jc w:val="center"/>
              <w:rPr>
                <w:rFonts w:cs="Arial"/>
                <w:sz w:val="20"/>
                <w:szCs w:val="20"/>
              </w:rPr>
            </w:pPr>
            <w:r w:rsidRPr="008828D3">
              <w:rPr>
                <w:rFonts w:cs="Arial"/>
                <w:sz w:val="20"/>
                <w:szCs w:val="20"/>
              </w:rPr>
              <w:t>3,0</w:t>
            </w:r>
          </w:p>
        </w:tc>
      </w:tr>
      <w:tr w:rsidR="009153E9" w:rsidTr="00193EA4">
        <w:trPr>
          <w:trHeight w:val="390"/>
        </w:trPr>
        <w:tc>
          <w:tcPr>
            <w:tcW w:w="2693" w:type="dxa"/>
            <w:tcBorders>
              <w:bottom w:val="single" w:sz="4" w:space="0" w:color="auto"/>
            </w:tcBorders>
            <w:vAlign w:val="center"/>
          </w:tcPr>
          <w:p w:rsidR="009153E9" w:rsidRPr="008828D3" w:rsidRDefault="009153E9" w:rsidP="000B097A">
            <w:pPr>
              <w:jc w:val="left"/>
              <w:rPr>
                <w:rFonts w:cs="Arial"/>
                <w:sz w:val="20"/>
                <w:szCs w:val="20"/>
              </w:rPr>
            </w:pPr>
            <w:r w:rsidRPr="008828D3">
              <w:rPr>
                <w:rFonts w:cs="Arial"/>
                <w:sz w:val="20"/>
                <w:szCs w:val="20"/>
              </w:rPr>
              <w:t>Moravskoslezský kraj</w:t>
            </w:r>
          </w:p>
        </w:tc>
        <w:tc>
          <w:tcPr>
            <w:tcW w:w="1416" w:type="dxa"/>
            <w:tcBorders>
              <w:bottom w:val="single" w:sz="4" w:space="0" w:color="auto"/>
            </w:tcBorders>
            <w:vAlign w:val="center"/>
          </w:tcPr>
          <w:p w:rsidR="009153E9" w:rsidRPr="008828D3" w:rsidRDefault="009153E9" w:rsidP="000B097A">
            <w:pPr>
              <w:jc w:val="center"/>
              <w:rPr>
                <w:rFonts w:cs="Arial"/>
                <w:sz w:val="20"/>
                <w:szCs w:val="20"/>
              </w:rPr>
            </w:pPr>
            <w:r w:rsidRPr="008828D3">
              <w:rPr>
                <w:rFonts w:cs="Arial"/>
                <w:sz w:val="20"/>
                <w:szCs w:val="20"/>
              </w:rPr>
              <w:t>7,5</w:t>
            </w:r>
          </w:p>
        </w:tc>
        <w:tc>
          <w:tcPr>
            <w:tcW w:w="1701" w:type="dxa"/>
            <w:tcBorders>
              <w:bottom w:val="single" w:sz="4" w:space="0" w:color="auto"/>
            </w:tcBorders>
            <w:vAlign w:val="center"/>
          </w:tcPr>
          <w:p w:rsidR="009153E9" w:rsidRPr="008828D3" w:rsidRDefault="009153E9" w:rsidP="000B097A">
            <w:pPr>
              <w:jc w:val="center"/>
              <w:rPr>
                <w:rFonts w:cs="Arial"/>
                <w:sz w:val="20"/>
                <w:szCs w:val="20"/>
              </w:rPr>
            </w:pPr>
            <w:r w:rsidRPr="008828D3">
              <w:rPr>
                <w:rFonts w:cs="Arial"/>
                <w:sz w:val="20"/>
                <w:szCs w:val="20"/>
              </w:rPr>
              <w:t>64 036</w:t>
            </w:r>
          </w:p>
        </w:tc>
        <w:tc>
          <w:tcPr>
            <w:tcW w:w="1842" w:type="dxa"/>
            <w:tcBorders>
              <w:bottom w:val="single" w:sz="4" w:space="0" w:color="auto"/>
            </w:tcBorders>
            <w:vAlign w:val="center"/>
          </w:tcPr>
          <w:p w:rsidR="009153E9" w:rsidRPr="008828D3" w:rsidRDefault="009153E9" w:rsidP="000B097A">
            <w:pPr>
              <w:jc w:val="center"/>
              <w:rPr>
                <w:rFonts w:cs="Arial"/>
                <w:sz w:val="20"/>
                <w:szCs w:val="20"/>
              </w:rPr>
            </w:pPr>
            <w:r w:rsidRPr="008828D3">
              <w:rPr>
                <w:rFonts w:cs="Arial"/>
                <w:sz w:val="20"/>
                <w:szCs w:val="20"/>
              </w:rPr>
              <w:t>10 911</w:t>
            </w:r>
          </w:p>
        </w:tc>
        <w:tc>
          <w:tcPr>
            <w:tcW w:w="1448" w:type="dxa"/>
            <w:tcBorders>
              <w:bottom w:val="single" w:sz="4" w:space="0" w:color="auto"/>
            </w:tcBorders>
            <w:vAlign w:val="center"/>
          </w:tcPr>
          <w:p w:rsidR="009153E9" w:rsidRPr="008828D3" w:rsidRDefault="009153E9" w:rsidP="000B097A">
            <w:pPr>
              <w:jc w:val="center"/>
              <w:rPr>
                <w:rFonts w:cs="Arial"/>
                <w:sz w:val="20"/>
                <w:szCs w:val="20"/>
              </w:rPr>
            </w:pPr>
            <w:r w:rsidRPr="008828D3">
              <w:rPr>
                <w:rFonts w:cs="Arial"/>
                <w:sz w:val="20"/>
                <w:szCs w:val="20"/>
              </w:rPr>
              <w:t>5,9</w:t>
            </w:r>
          </w:p>
        </w:tc>
      </w:tr>
      <w:tr w:rsidR="009153E9" w:rsidTr="00193EA4">
        <w:trPr>
          <w:trHeight w:val="390"/>
        </w:trPr>
        <w:tc>
          <w:tcPr>
            <w:tcW w:w="2693" w:type="dxa"/>
            <w:tcBorders>
              <w:top w:val="single" w:sz="4" w:space="0" w:color="auto"/>
              <w:bottom w:val="single" w:sz="4" w:space="0" w:color="auto"/>
            </w:tcBorders>
            <w:vAlign w:val="center"/>
          </w:tcPr>
          <w:p w:rsidR="009153E9" w:rsidRPr="008828D3" w:rsidRDefault="009153E9" w:rsidP="000B097A">
            <w:pPr>
              <w:jc w:val="left"/>
              <w:rPr>
                <w:rFonts w:cs="Arial"/>
                <w:b/>
                <w:sz w:val="20"/>
                <w:szCs w:val="20"/>
              </w:rPr>
            </w:pPr>
            <w:r w:rsidRPr="008828D3">
              <w:rPr>
                <w:rFonts w:cs="Arial"/>
                <w:b/>
                <w:sz w:val="20"/>
                <w:szCs w:val="20"/>
              </w:rPr>
              <w:t>Česká republika</w:t>
            </w:r>
          </w:p>
        </w:tc>
        <w:tc>
          <w:tcPr>
            <w:tcW w:w="1416" w:type="dxa"/>
            <w:tcBorders>
              <w:top w:val="single" w:sz="4" w:space="0" w:color="auto"/>
              <w:bottom w:val="single" w:sz="4" w:space="0" w:color="auto"/>
            </w:tcBorders>
            <w:vAlign w:val="center"/>
          </w:tcPr>
          <w:p w:rsidR="009153E9" w:rsidRPr="008828D3" w:rsidRDefault="009153E9" w:rsidP="000B097A">
            <w:pPr>
              <w:jc w:val="center"/>
              <w:rPr>
                <w:rFonts w:cs="Arial"/>
                <w:b/>
                <w:sz w:val="20"/>
                <w:szCs w:val="20"/>
              </w:rPr>
            </w:pPr>
            <w:r w:rsidRPr="008828D3">
              <w:rPr>
                <w:rFonts w:cs="Arial"/>
                <w:b/>
                <w:sz w:val="20"/>
                <w:szCs w:val="20"/>
              </w:rPr>
              <w:t>5,2</w:t>
            </w:r>
          </w:p>
        </w:tc>
        <w:tc>
          <w:tcPr>
            <w:tcW w:w="1701" w:type="dxa"/>
            <w:tcBorders>
              <w:top w:val="single" w:sz="4" w:space="0" w:color="auto"/>
              <w:bottom w:val="single" w:sz="4" w:space="0" w:color="auto"/>
            </w:tcBorders>
            <w:vAlign w:val="center"/>
          </w:tcPr>
          <w:p w:rsidR="009153E9" w:rsidRPr="008828D3" w:rsidRDefault="009153E9" w:rsidP="000B097A">
            <w:pPr>
              <w:jc w:val="center"/>
              <w:rPr>
                <w:rFonts w:cs="Arial"/>
                <w:b/>
                <w:sz w:val="20"/>
                <w:szCs w:val="20"/>
              </w:rPr>
            </w:pPr>
            <w:r w:rsidRPr="008828D3">
              <w:rPr>
                <w:rFonts w:cs="Arial"/>
                <w:b/>
                <w:sz w:val="20"/>
                <w:szCs w:val="20"/>
              </w:rPr>
              <w:t>381 373</w:t>
            </w:r>
          </w:p>
        </w:tc>
        <w:tc>
          <w:tcPr>
            <w:tcW w:w="1842" w:type="dxa"/>
            <w:tcBorders>
              <w:top w:val="single" w:sz="4" w:space="0" w:color="auto"/>
              <w:bottom w:val="single" w:sz="4" w:space="0" w:color="auto"/>
            </w:tcBorders>
            <w:vAlign w:val="center"/>
          </w:tcPr>
          <w:p w:rsidR="009153E9" w:rsidRPr="008828D3" w:rsidRDefault="009153E9" w:rsidP="000B097A">
            <w:pPr>
              <w:jc w:val="center"/>
              <w:rPr>
                <w:rFonts w:cs="Arial"/>
                <w:b/>
                <w:sz w:val="20"/>
                <w:szCs w:val="20"/>
              </w:rPr>
            </w:pPr>
            <w:r w:rsidRPr="008828D3">
              <w:rPr>
                <w:rFonts w:cs="Arial"/>
                <w:b/>
                <w:sz w:val="20"/>
                <w:szCs w:val="20"/>
              </w:rPr>
              <w:t>132 496</w:t>
            </w:r>
          </w:p>
        </w:tc>
        <w:tc>
          <w:tcPr>
            <w:tcW w:w="1448" w:type="dxa"/>
            <w:tcBorders>
              <w:top w:val="single" w:sz="4" w:space="0" w:color="auto"/>
              <w:bottom w:val="single" w:sz="4" w:space="0" w:color="auto"/>
            </w:tcBorders>
            <w:vAlign w:val="center"/>
          </w:tcPr>
          <w:p w:rsidR="009153E9" w:rsidRPr="008828D3" w:rsidRDefault="009153E9" w:rsidP="000B097A">
            <w:pPr>
              <w:jc w:val="center"/>
              <w:rPr>
                <w:rFonts w:cs="Arial"/>
                <w:b/>
                <w:sz w:val="20"/>
                <w:szCs w:val="20"/>
              </w:rPr>
            </w:pPr>
            <w:r w:rsidRPr="008828D3">
              <w:rPr>
                <w:rFonts w:cs="Arial"/>
                <w:b/>
                <w:sz w:val="20"/>
                <w:szCs w:val="20"/>
              </w:rPr>
              <w:t>2,9</w:t>
            </w:r>
          </w:p>
        </w:tc>
      </w:tr>
    </w:tbl>
    <w:p w:rsidR="0017309F" w:rsidRDefault="0017309F" w:rsidP="000B097A">
      <w:pPr>
        <w:spacing w:before="120" w:line="240" w:lineRule="auto"/>
      </w:pPr>
      <w:r>
        <w:t>Počet hlášených volných pracovních míst v souvislosti se sezónním výkyvem vývoje trhu práce rovněž mírně poklesl</w:t>
      </w:r>
      <w:r w:rsidR="006F4362">
        <w:t>,</w:t>
      </w:r>
      <w:r>
        <w:t xml:space="preserve"> a to na hodnotu 132 496, nicméně i v tomto případě se jedná s výjimkou roku 2007 o nejvyšší prosincovou hodnotu od roku 1995. </w:t>
      </w:r>
      <w:r w:rsidR="00193EA4">
        <w:t>Ve 4Q </w:t>
      </w:r>
      <w:r>
        <w:t>2016 tedy</w:t>
      </w:r>
      <w:r w:rsidR="006F4362">
        <w:t>,</w:t>
      </w:r>
      <w:r>
        <w:t xml:space="preserve"> i přes mírný výkyv způsobený sezónními vlivy (sezónní práce, ukončování termínovaných pracovních poměrů ke konci roku)</w:t>
      </w:r>
      <w:r w:rsidR="006F4362">
        <w:t>,</w:t>
      </w:r>
      <w:r>
        <w:t xml:space="preserve"> pokračoval pozitivní vývoj na trhu práce</w:t>
      </w:r>
      <w:r w:rsidR="00D2661E">
        <w:t>.</w:t>
      </w:r>
    </w:p>
    <w:p w:rsidR="00397DA4" w:rsidRDefault="0017309F" w:rsidP="000B097A">
      <w:pPr>
        <w:spacing w:before="120" w:after="120" w:line="240" w:lineRule="auto"/>
      </w:pPr>
      <w:r>
        <w:t xml:space="preserve">V prosinci 2016 připadalo na jedno volné pracovní místo v průměru 2,9 uchazeče o zaměstnání, což je oproti minulému sledovanému období mírný nárůst o 0,2. Vývoj trhu práce na podzim 2016 tak v zásadě kopíruje vývoj roku 2007. Ukazuje se, že český trh práce </w:t>
      </w:r>
      <w:r w:rsidR="00F43C8D">
        <w:t xml:space="preserve">je </w:t>
      </w:r>
      <w:r>
        <w:t>v současné době schopen absorbovat i přechodné navyšování počtu nezaměstnaných osob v důsledku končících sezónních prací. Mírné zhoršení stavu trhu práce lze v souvislosti s dalším sezónním vlivem, kterým je ukončování termínovaných pracovních poměrů ke konci roku, očekávat v měsíci lednu 2017</w:t>
      </w:r>
      <w:r w:rsidR="00F43C8D">
        <w:rPr>
          <w:rStyle w:val="Znakapoznpodarou"/>
        </w:rPr>
        <w:footnoteReference w:id="2"/>
      </w:r>
      <w:r>
        <w:t>.</w:t>
      </w:r>
      <w:r w:rsidR="00D2661E">
        <w:t xml:space="preserve"> </w:t>
      </w:r>
      <w:r w:rsidR="00397DA4" w:rsidRPr="00F43C8D">
        <w:rPr>
          <w:b/>
        </w:rPr>
        <w:t xml:space="preserve">Z tabulky </w:t>
      </w:r>
      <w:r w:rsidR="00F43C8D" w:rsidRPr="00F43C8D">
        <w:rPr>
          <w:b/>
        </w:rPr>
        <w:t xml:space="preserve">1 </w:t>
      </w:r>
      <w:r w:rsidR="00397DA4" w:rsidRPr="00F43C8D">
        <w:rPr>
          <w:b/>
        </w:rPr>
        <w:t>vyplývá</w:t>
      </w:r>
      <w:r w:rsidR="00397DA4">
        <w:t xml:space="preserve"> </w:t>
      </w:r>
      <w:r w:rsidR="00397DA4" w:rsidRPr="00F43C8D">
        <w:rPr>
          <w:b/>
        </w:rPr>
        <w:t>významná disproporce v regionálním rozložení nabídky a poptávky</w:t>
      </w:r>
      <w:r w:rsidR="00397DA4">
        <w:t xml:space="preserve"> vyjádřená ukazatelem počtu uchazečů o zaměstnání na jedno hlášené volné pracovní místo. Zatímco v Praze, Plzeňském a Pardubickém kraji se o jedno pracovní místo uchází necelého 1,5 uchazeče o zaměstnání, v Moravskoslezském a Ústeckém kraji se o jedno pracovní místo uchází téměř 6 nezaměstnaných osob.</w:t>
      </w:r>
    </w:p>
    <w:p w:rsidR="00064A77" w:rsidRDefault="00064A77">
      <w:pPr>
        <w:spacing w:after="200"/>
        <w:jc w:val="left"/>
      </w:pPr>
      <w:r>
        <w:br w:type="page"/>
      </w:r>
    </w:p>
    <w:p w:rsidR="00397DA4" w:rsidRDefault="00397DA4" w:rsidP="00484D3B">
      <w:pPr>
        <w:pStyle w:val="Nadpis2"/>
        <w:spacing w:line="240" w:lineRule="auto"/>
      </w:pPr>
      <w:bookmarkStart w:id="5" w:name="_Toc476556223"/>
      <w:r>
        <w:t>Volná pracovní místa a jejich neobsazenost</w:t>
      </w:r>
      <w:bookmarkEnd w:id="5"/>
    </w:p>
    <w:p w:rsidR="00397DA4" w:rsidRDefault="00A477CF" w:rsidP="00484D3B">
      <w:pPr>
        <w:spacing w:after="200" w:line="240" w:lineRule="auto"/>
      </w:pPr>
      <w:r>
        <w:t>V souvislosti s celkovým poklesem počtu volných pracovních míst oproti stavu k 30. 9. 2016 došlo k mírné změně ve struktuře pracovních míst podle doby jejich neobsazenosti. S úbytkem počtu nově hlášených pracovních míst došlo ve 4</w:t>
      </w:r>
      <w:r w:rsidR="000901EA">
        <w:t>Q</w:t>
      </w:r>
      <w:r w:rsidR="00154D38">
        <w:t xml:space="preserve"> 2016</w:t>
      </w:r>
      <w:r w:rsidR="000901EA">
        <w:t xml:space="preserve"> </w:t>
      </w:r>
      <w:r>
        <w:t xml:space="preserve">k poměrnému zvýšení podílu dlouhodobě neobsazených pracovních míst, stejně jako k nárůstu absolutního počtu dlouhodobě neobsazených VPM (nad 12 měsíců). Podíl VPM neobsazených déle než </w:t>
      </w:r>
      <w:r w:rsidR="00F43C8D">
        <w:t>r</w:t>
      </w:r>
      <w:r>
        <w:t>ok tak za tři měsíce narostl na téměř 20 %, nicméně pracovní místa hlášená po dobu méně než třech měsíců nadále tvoří 2/5 všech hlášených VPM.</w:t>
      </w:r>
    </w:p>
    <w:p w:rsidR="008828D3" w:rsidRDefault="008828D3" w:rsidP="00484D3B">
      <w:pPr>
        <w:pStyle w:val="Titulek"/>
        <w:keepNext/>
        <w:spacing w:after="120"/>
      </w:pPr>
      <w:bookmarkStart w:id="6" w:name="_Toc476556296"/>
      <w:r>
        <w:t xml:space="preserve">Tabulka </w:t>
      </w:r>
      <w:r w:rsidR="00AB7C96">
        <w:fldChar w:fldCharType="begin"/>
      </w:r>
      <w:r w:rsidR="00AB7C96">
        <w:instrText xml:space="preserve"> SEQ Tabulka \* ARABIC </w:instrText>
      </w:r>
      <w:r w:rsidR="00AB7C96">
        <w:fldChar w:fldCharType="separate"/>
      </w:r>
      <w:r w:rsidR="004A5D48">
        <w:rPr>
          <w:noProof/>
        </w:rPr>
        <w:t>2</w:t>
      </w:r>
      <w:r w:rsidR="00AB7C96">
        <w:rPr>
          <w:noProof/>
        </w:rPr>
        <w:fldChar w:fldCharType="end"/>
      </w:r>
      <w:r>
        <w:t xml:space="preserve"> Podíly VPM podle doby neobsazenosti</w:t>
      </w:r>
      <w:bookmarkEnd w:id="6"/>
    </w:p>
    <w:tbl>
      <w:tblPr>
        <w:tblStyle w:val="Mkatabulky"/>
        <w:tblpPr w:leftFromText="141" w:rightFromText="141" w:vertAnchor="text" w:horzAnchor="margin" w:tblpX="108" w:tblpY="98"/>
        <w:tblOverlap w:val="never"/>
        <w:tblW w:w="0" w:type="auto"/>
        <w:tblLook w:val="04A0" w:firstRow="1" w:lastRow="0" w:firstColumn="1" w:lastColumn="0" w:noHBand="0" w:noVBand="1"/>
      </w:tblPr>
      <w:tblGrid>
        <w:gridCol w:w="1622"/>
        <w:gridCol w:w="1581"/>
        <w:gridCol w:w="1384"/>
        <w:gridCol w:w="1381"/>
        <w:gridCol w:w="1581"/>
        <w:gridCol w:w="1581"/>
      </w:tblGrid>
      <w:tr w:rsidR="00D1791F" w:rsidRPr="008828D3" w:rsidTr="001A4D4E">
        <w:trPr>
          <w:trHeight w:val="303"/>
        </w:trPr>
        <w:tc>
          <w:tcPr>
            <w:tcW w:w="9130" w:type="dxa"/>
            <w:gridSpan w:val="6"/>
            <w:vAlign w:val="center"/>
          </w:tcPr>
          <w:p w:rsidR="00D1791F" w:rsidRPr="008828D3" w:rsidRDefault="00D1791F" w:rsidP="00DA4EE1">
            <w:pPr>
              <w:jc w:val="center"/>
              <w:rPr>
                <w:rFonts w:cs="Arial"/>
                <w:b/>
                <w:sz w:val="20"/>
                <w:szCs w:val="20"/>
              </w:rPr>
            </w:pPr>
            <w:r w:rsidRPr="008828D3">
              <w:rPr>
                <w:rFonts w:cs="Arial"/>
                <w:b/>
                <w:sz w:val="20"/>
                <w:szCs w:val="20"/>
              </w:rPr>
              <w:t>Neobsazenost volných pracovních míst k 3</w:t>
            </w:r>
            <w:r w:rsidR="00451647">
              <w:rPr>
                <w:rFonts w:cs="Arial"/>
                <w:b/>
                <w:sz w:val="20"/>
                <w:szCs w:val="20"/>
              </w:rPr>
              <w:t>0</w:t>
            </w:r>
            <w:r w:rsidRPr="008828D3">
              <w:rPr>
                <w:rFonts w:cs="Arial"/>
                <w:b/>
                <w:sz w:val="20"/>
                <w:szCs w:val="20"/>
              </w:rPr>
              <w:t>. 9. 2016</w:t>
            </w:r>
          </w:p>
        </w:tc>
      </w:tr>
      <w:tr w:rsidR="00D1791F" w:rsidRPr="008828D3" w:rsidTr="001A4D4E">
        <w:trPr>
          <w:trHeight w:val="347"/>
        </w:trPr>
        <w:tc>
          <w:tcPr>
            <w:tcW w:w="1622" w:type="dxa"/>
            <w:vMerge w:val="restart"/>
            <w:vAlign w:val="center"/>
          </w:tcPr>
          <w:p w:rsidR="00D1791F" w:rsidRPr="008828D3" w:rsidRDefault="00D1791F" w:rsidP="00193EA4">
            <w:pPr>
              <w:jc w:val="center"/>
              <w:rPr>
                <w:rFonts w:cs="Arial"/>
                <w:color w:val="000000"/>
                <w:sz w:val="20"/>
                <w:szCs w:val="20"/>
              </w:rPr>
            </w:pPr>
            <w:r w:rsidRPr="008828D3">
              <w:rPr>
                <w:rFonts w:cs="Arial"/>
                <w:color w:val="000000"/>
                <w:sz w:val="20"/>
                <w:szCs w:val="20"/>
              </w:rPr>
              <w:t>Počet pracovních míst</w:t>
            </w:r>
          </w:p>
        </w:tc>
        <w:tc>
          <w:tcPr>
            <w:tcW w:w="1581" w:type="dxa"/>
            <w:vMerge w:val="restart"/>
            <w:tcBorders>
              <w:right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celkem</w:t>
            </w:r>
          </w:p>
        </w:tc>
        <w:tc>
          <w:tcPr>
            <w:tcW w:w="5927" w:type="dxa"/>
            <w:gridSpan w:val="4"/>
            <w:tcBorders>
              <w:left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Neobsazeno (měsíců)</w:t>
            </w:r>
          </w:p>
        </w:tc>
      </w:tr>
      <w:tr w:rsidR="00D1791F" w:rsidRPr="008828D3" w:rsidTr="001A4D4E">
        <w:trPr>
          <w:trHeight w:val="347"/>
        </w:trPr>
        <w:tc>
          <w:tcPr>
            <w:tcW w:w="1622" w:type="dxa"/>
            <w:vMerge/>
            <w:vAlign w:val="center"/>
          </w:tcPr>
          <w:p w:rsidR="00D1791F" w:rsidRPr="008828D3" w:rsidRDefault="00D1791F" w:rsidP="00193EA4">
            <w:pPr>
              <w:jc w:val="center"/>
              <w:rPr>
                <w:rFonts w:cs="Arial"/>
                <w:sz w:val="20"/>
                <w:szCs w:val="20"/>
              </w:rPr>
            </w:pPr>
          </w:p>
        </w:tc>
        <w:tc>
          <w:tcPr>
            <w:tcW w:w="1581" w:type="dxa"/>
            <w:vMerge/>
            <w:tcBorders>
              <w:bottom w:val="single" w:sz="4" w:space="0" w:color="auto"/>
              <w:right w:val="single" w:sz="4" w:space="0" w:color="auto"/>
            </w:tcBorders>
          </w:tcPr>
          <w:p w:rsidR="00D1791F" w:rsidRPr="008828D3" w:rsidRDefault="00D1791F" w:rsidP="00193EA4">
            <w:pPr>
              <w:jc w:val="center"/>
              <w:rPr>
                <w:rFonts w:cs="Arial"/>
                <w:sz w:val="20"/>
                <w:szCs w:val="20"/>
              </w:rPr>
            </w:pPr>
          </w:p>
        </w:tc>
        <w:tc>
          <w:tcPr>
            <w:tcW w:w="1384" w:type="dxa"/>
            <w:tcBorders>
              <w:left w:val="single" w:sz="4" w:space="0" w:color="auto"/>
              <w:bottom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 xml:space="preserve">0-3 </w:t>
            </w:r>
          </w:p>
        </w:tc>
        <w:tc>
          <w:tcPr>
            <w:tcW w:w="1381" w:type="dxa"/>
            <w:tcBorders>
              <w:bottom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 xml:space="preserve">3-6 </w:t>
            </w:r>
          </w:p>
        </w:tc>
        <w:tc>
          <w:tcPr>
            <w:tcW w:w="1581" w:type="dxa"/>
            <w:tcBorders>
              <w:bottom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 xml:space="preserve">6-12 </w:t>
            </w:r>
          </w:p>
        </w:tc>
        <w:tc>
          <w:tcPr>
            <w:tcW w:w="1581" w:type="dxa"/>
            <w:tcBorders>
              <w:bottom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 xml:space="preserve">Nad 12 </w:t>
            </w:r>
          </w:p>
        </w:tc>
      </w:tr>
      <w:tr w:rsidR="00D1791F" w:rsidRPr="008828D3" w:rsidTr="001A4D4E">
        <w:trPr>
          <w:trHeight w:val="347"/>
        </w:trPr>
        <w:tc>
          <w:tcPr>
            <w:tcW w:w="1622" w:type="dxa"/>
            <w:vMerge/>
            <w:vAlign w:val="center"/>
          </w:tcPr>
          <w:p w:rsidR="00D1791F" w:rsidRPr="008828D3" w:rsidRDefault="00D1791F" w:rsidP="00193EA4">
            <w:pPr>
              <w:jc w:val="right"/>
              <w:rPr>
                <w:rFonts w:cs="Arial"/>
                <w:color w:val="000000"/>
                <w:sz w:val="20"/>
                <w:szCs w:val="20"/>
              </w:rPr>
            </w:pPr>
          </w:p>
        </w:tc>
        <w:tc>
          <w:tcPr>
            <w:tcW w:w="1581" w:type="dxa"/>
            <w:tcBorders>
              <w:top w:val="single" w:sz="4" w:space="0" w:color="auto"/>
              <w:bottom w:val="single" w:sz="4" w:space="0" w:color="auto"/>
            </w:tcBorders>
          </w:tcPr>
          <w:p w:rsidR="00D1791F" w:rsidRPr="008828D3" w:rsidRDefault="00D1791F" w:rsidP="00193EA4">
            <w:pPr>
              <w:jc w:val="center"/>
              <w:rPr>
                <w:rFonts w:cs="Arial"/>
                <w:sz w:val="20"/>
                <w:szCs w:val="20"/>
              </w:rPr>
            </w:pPr>
            <w:r w:rsidRPr="008828D3">
              <w:rPr>
                <w:rFonts w:cs="Arial"/>
                <w:sz w:val="20"/>
                <w:szCs w:val="20"/>
              </w:rPr>
              <w:t>140 992</w:t>
            </w:r>
          </w:p>
        </w:tc>
        <w:tc>
          <w:tcPr>
            <w:tcW w:w="1384" w:type="dxa"/>
            <w:vAlign w:val="center"/>
          </w:tcPr>
          <w:p w:rsidR="00D1791F" w:rsidRPr="008828D3" w:rsidRDefault="00D1791F" w:rsidP="00193EA4">
            <w:pPr>
              <w:jc w:val="center"/>
              <w:rPr>
                <w:rFonts w:cs="Arial"/>
                <w:sz w:val="20"/>
                <w:szCs w:val="20"/>
              </w:rPr>
            </w:pPr>
            <w:r w:rsidRPr="008828D3">
              <w:rPr>
                <w:rFonts w:cs="Arial"/>
                <w:sz w:val="20"/>
                <w:szCs w:val="20"/>
              </w:rPr>
              <w:t>61 171</w:t>
            </w:r>
          </w:p>
        </w:tc>
        <w:tc>
          <w:tcPr>
            <w:tcW w:w="1381" w:type="dxa"/>
            <w:vAlign w:val="center"/>
          </w:tcPr>
          <w:p w:rsidR="00D1791F" w:rsidRPr="008828D3" w:rsidRDefault="00D1791F" w:rsidP="00193EA4">
            <w:pPr>
              <w:jc w:val="center"/>
              <w:rPr>
                <w:rFonts w:cs="Arial"/>
                <w:sz w:val="20"/>
                <w:szCs w:val="20"/>
              </w:rPr>
            </w:pPr>
            <w:r w:rsidRPr="008828D3">
              <w:rPr>
                <w:rFonts w:cs="Arial"/>
                <w:sz w:val="20"/>
                <w:szCs w:val="20"/>
              </w:rPr>
              <w:t>30 503</w:t>
            </w:r>
          </w:p>
        </w:tc>
        <w:tc>
          <w:tcPr>
            <w:tcW w:w="1581" w:type="dxa"/>
            <w:vAlign w:val="center"/>
          </w:tcPr>
          <w:p w:rsidR="00D1791F" w:rsidRPr="008828D3" w:rsidRDefault="00D1791F" w:rsidP="00193EA4">
            <w:pPr>
              <w:jc w:val="center"/>
              <w:rPr>
                <w:rFonts w:cs="Arial"/>
                <w:sz w:val="20"/>
                <w:szCs w:val="20"/>
              </w:rPr>
            </w:pPr>
            <w:r w:rsidRPr="008828D3">
              <w:rPr>
                <w:rFonts w:cs="Arial"/>
                <w:sz w:val="20"/>
                <w:szCs w:val="20"/>
              </w:rPr>
              <w:t>24 013</w:t>
            </w:r>
          </w:p>
        </w:tc>
        <w:tc>
          <w:tcPr>
            <w:tcW w:w="1581" w:type="dxa"/>
            <w:vAlign w:val="center"/>
          </w:tcPr>
          <w:p w:rsidR="00D1791F" w:rsidRPr="008828D3" w:rsidRDefault="00D1791F" w:rsidP="00193EA4">
            <w:pPr>
              <w:jc w:val="center"/>
              <w:rPr>
                <w:rFonts w:cs="Arial"/>
                <w:sz w:val="20"/>
                <w:szCs w:val="20"/>
              </w:rPr>
            </w:pPr>
            <w:r w:rsidRPr="008828D3">
              <w:rPr>
                <w:rFonts w:cs="Arial"/>
                <w:sz w:val="20"/>
                <w:szCs w:val="20"/>
              </w:rPr>
              <w:t>25 305</w:t>
            </w:r>
          </w:p>
        </w:tc>
      </w:tr>
      <w:tr w:rsidR="00D1791F" w:rsidRPr="008828D3" w:rsidTr="001A4D4E">
        <w:trPr>
          <w:trHeight w:val="347"/>
        </w:trPr>
        <w:tc>
          <w:tcPr>
            <w:tcW w:w="1622" w:type="dxa"/>
            <w:vAlign w:val="center"/>
          </w:tcPr>
          <w:p w:rsidR="00D1791F" w:rsidRPr="008828D3" w:rsidRDefault="00D1791F" w:rsidP="00193EA4">
            <w:pPr>
              <w:jc w:val="center"/>
              <w:rPr>
                <w:rFonts w:cs="Arial"/>
                <w:color w:val="000000"/>
                <w:sz w:val="20"/>
                <w:szCs w:val="20"/>
              </w:rPr>
            </w:pPr>
            <w:r w:rsidRPr="008828D3">
              <w:rPr>
                <w:rFonts w:cs="Arial"/>
                <w:color w:val="000000"/>
                <w:sz w:val="20"/>
                <w:szCs w:val="20"/>
              </w:rPr>
              <w:t>podíl</w:t>
            </w:r>
          </w:p>
        </w:tc>
        <w:tc>
          <w:tcPr>
            <w:tcW w:w="1581" w:type="dxa"/>
            <w:tcBorders>
              <w:top w:val="single" w:sz="4" w:space="0" w:color="auto"/>
            </w:tcBorders>
          </w:tcPr>
          <w:p w:rsidR="00D1791F" w:rsidRPr="008828D3" w:rsidRDefault="00D1791F" w:rsidP="00193EA4">
            <w:pPr>
              <w:jc w:val="center"/>
              <w:rPr>
                <w:rFonts w:cs="Arial"/>
                <w:sz w:val="20"/>
                <w:szCs w:val="20"/>
              </w:rPr>
            </w:pPr>
            <w:r w:rsidRPr="008828D3">
              <w:rPr>
                <w:rFonts w:cs="Arial"/>
                <w:sz w:val="20"/>
                <w:szCs w:val="20"/>
              </w:rPr>
              <w:t>100 %</w:t>
            </w:r>
          </w:p>
        </w:tc>
        <w:tc>
          <w:tcPr>
            <w:tcW w:w="1384" w:type="dxa"/>
            <w:vAlign w:val="center"/>
          </w:tcPr>
          <w:p w:rsidR="00D1791F" w:rsidRPr="008828D3" w:rsidRDefault="00D1791F" w:rsidP="00193EA4">
            <w:pPr>
              <w:jc w:val="center"/>
              <w:rPr>
                <w:rFonts w:cs="Arial"/>
                <w:sz w:val="20"/>
                <w:szCs w:val="20"/>
              </w:rPr>
            </w:pPr>
            <w:r w:rsidRPr="008828D3">
              <w:rPr>
                <w:rFonts w:cs="Arial"/>
                <w:sz w:val="20"/>
                <w:szCs w:val="20"/>
              </w:rPr>
              <w:t>43,4 %</w:t>
            </w:r>
          </w:p>
        </w:tc>
        <w:tc>
          <w:tcPr>
            <w:tcW w:w="1381" w:type="dxa"/>
            <w:vAlign w:val="center"/>
          </w:tcPr>
          <w:p w:rsidR="00D1791F" w:rsidRPr="008828D3" w:rsidRDefault="00D1791F" w:rsidP="00193EA4">
            <w:pPr>
              <w:jc w:val="center"/>
              <w:rPr>
                <w:rFonts w:cs="Arial"/>
                <w:sz w:val="20"/>
                <w:szCs w:val="20"/>
              </w:rPr>
            </w:pPr>
            <w:r w:rsidRPr="008828D3">
              <w:rPr>
                <w:rFonts w:cs="Arial"/>
                <w:sz w:val="20"/>
                <w:szCs w:val="20"/>
              </w:rPr>
              <w:t>21,6 %</w:t>
            </w:r>
          </w:p>
        </w:tc>
        <w:tc>
          <w:tcPr>
            <w:tcW w:w="1581" w:type="dxa"/>
            <w:vAlign w:val="center"/>
          </w:tcPr>
          <w:p w:rsidR="00D1791F" w:rsidRPr="008828D3" w:rsidRDefault="00D1791F" w:rsidP="00193EA4">
            <w:pPr>
              <w:jc w:val="center"/>
              <w:rPr>
                <w:rFonts w:cs="Arial"/>
                <w:sz w:val="20"/>
                <w:szCs w:val="20"/>
              </w:rPr>
            </w:pPr>
            <w:r w:rsidRPr="008828D3">
              <w:rPr>
                <w:rFonts w:cs="Arial"/>
                <w:sz w:val="20"/>
                <w:szCs w:val="20"/>
              </w:rPr>
              <w:t>17 %</w:t>
            </w:r>
          </w:p>
        </w:tc>
        <w:tc>
          <w:tcPr>
            <w:tcW w:w="1581" w:type="dxa"/>
            <w:vAlign w:val="center"/>
          </w:tcPr>
          <w:p w:rsidR="00D1791F" w:rsidRPr="008828D3" w:rsidRDefault="00D1791F" w:rsidP="00193EA4">
            <w:pPr>
              <w:jc w:val="center"/>
              <w:rPr>
                <w:rFonts w:cs="Arial"/>
                <w:sz w:val="20"/>
                <w:szCs w:val="20"/>
              </w:rPr>
            </w:pPr>
            <w:r w:rsidRPr="008828D3">
              <w:rPr>
                <w:rFonts w:cs="Arial"/>
                <w:sz w:val="20"/>
                <w:szCs w:val="20"/>
              </w:rPr>
              <w:t>18 %</w:t>
            </w:r>
          </w:p>
        </w:tc>
      </w:tr>
      <w:tr w:rsidR="00D1791F" w:rsidRPr="008828D3" w:rsidTr="001A4D4E">
        <w:trPr>
          <w:trHeight w:val="347"/>
        </w:trPr>
        <w:tc>
          <w:tcPr>
            <w:tcW w:w="9130" w:type="dxa"/>
            <w:gridSpan w:val="6"/>
            <w:vAlign w:val="bottom"/>
          </w:tcPr>
          <w:p w:rsidR="00D1791F" w:rsidRPr="008828D3" w:rsidRDefault="00D1791F" w:rsidP="00193EA4">
            <w:pPr>
              <w:jc w:val="center"/>
              <w:rPr>
                <w:rFonts w:cs="Arial"/>
                <w:sz w:val="20"/>
                <w:szCs w:val="20"/>
              </w:rPr>
            </w:pPr>
            <w:r w:rsidRPr="008828D3">
              <w:rPr>
                <w:rFonts w:cs="Arial"/>
                <w:b/>
                <w:sz w:val="20"/>
                <w:szCs w:val="20"/>
              </w:rPr>
              <w:t>Neobsazenost volných pracovních míst k 31. 12. 2016</w:t>
            </w:r>
          </w:p>
        </w:tc>
      </w:tr>
      <w:tr w:rsidR="00D1791F" w:rsidRPr="008828D3" w:rsidTr="001A4D4E">
        <w:trPr>
          <w:trHeight w:val="347"/>
        </w:trPr>
        <w:tc>
          <w:tcPr>
            <w:tcW w:w="1622" w:type="dxa"/>
            <w:vMerge w:val="restart"/>
            <w:vAlign w:val="center"/>
          </w:tcPr>
          <w:p w:rsidR="00D1791F" w:rsidRPr="008828D3" w:rsidRDefault="00D1791F" w:rsidP="00193EA4">
            <w:pPr>
              <w:jc w:val="center"/>
              <w:rPr>
                <w:rFonts w:cs="Arial"/>
                <w:color w:val="000000"/>
                <w:sz w:val="20"/>
                <w:szCs w:val="20"/>
              </w:rPr>
            </w:pPr>
            <w:r w:rsidRPr="008828D3">
              <w:rPr>
                <w:rFonts w:cs="Arial"/>
                <w:color w:val="000000"/>
                <w:sz w:val="20"/>
                <w:szCs w:val="20"/>
              </w:rPr>
              <w:t>Počet pracovních míst</w:t>
            </w:r>
          </w:p>
        </w:tc>
        <w:tc>
          <w:tcPr>
            <w:tcW w:w="1581" w:type="dxa"/>
            <w:vMerge w:val="restart"/>
            <w:tcBorders>
              <w:right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celkem</w:t>
            </w:r>
          </w:p>
        </w:tc>
        <w:tc>
          <w:tcPr>
            <w:tcW w:w="5927" w:type="dxa"/>
            <w:gridSpan w:val="4"/>
            <w:tcBorders>
              <w:left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Neobsazeno (měsíců)</w:t>
            </w:r>
          </w:p>
        </w:tc>
      </w:tr>
      <w:tr w:rsidR="00D1791F" w:rsidRPr="008828D3" w:rsidTr="001A4D4E">
        <w:trPr>
          <w:trHeight w:val="347"/>
        </w:trPr>
        <w:tc>
          <w:tcPr>
            <w:tcW w:w="1622" w:type="dxa"/>
            <w:vMerge/>
            <w:vAlign w:val="center"/>
          </w:tcPr>
          <w:p w:rsidR="00D1791F" w:rsidRPr="008828D3" w:rsidRDefault="00D1791F" w:rsidP="00193EA4">
            <w:pPr>
              <w:jc w:val="center"/>
              <w:rPr>
                <w:rFonts w:cs="Arial"/>
                <w:sz w:val="20"/>
                <w:szCs w:val="20"/>
              </w:rPr>
            </w:pPr>
          </w:p>
        </w:tc>
        <w:tc>
          <w:tcPr>
            <w:tcW w:w="1581" w:type="dxa"/>
            <w:vMerge/>
            <w:tcBorders>
              <w:bottom w:val="single" w:sz="4" w:space="0" w:color="auto"/>
              <w:right w:val="single" w:sz="4" w:space="0" w:color="auto"/>
            </w:tcBorders>
          </w:tcPr>
          <w:p w:rsidR="00D1791F" w:rsidRPr="008828D3" w:rsidRDefault="00D1791F" w:rsidP="00193EA4">
            <w:pPr>
              <w:jc w:val="center"/>
              <w:rPr>
                <w:rFonts w:cs="Arial"/>
                <w:sz w:val="20"/>
                <w:szCs w:val="20"/>
              </w:rPr>
            </w:pPr>
          </w:p>
        </w:tc>
        <w:tc>
          <w:tcPr>
            <w:tcW w:w="1384" w:type="dxa"/>
            <w:tcBorders>
              <w:left w:val="single" w:sz="4" w:space="0" w:color="auto"/>
              <w:bottom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 xml:space="preserve">0-3 </w:t>
            </w:r>
          </w:p>
        </w:tc>
        <w:tc>
          <w:tcPr>
            <w:tcW w:w="1381" w:type="dxa"/>
            <w:tcBorders>
              <w:bottom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 xml:space="preserve">3-6 </w:t>
            </w:r>
          </w:p>
        </w:tc>
        <w:tc>
          <w:tcPr>
            <w:tcW w:w="1581" w:type="dxa"/>
            <w:tcBorders>
              <w:bottom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 xml:space="preserve">6-12 </w:t>
            </w:r>
          </w:p>
        </w:tc>
        <w:tc>
          <w:tcPr>
            <w:tcW w:w="1581" w:type="dxa"/>
            <w:tcBorders>
              <w:bottom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 xml:space="preserve">Nad 12 </w:t>
            </w:r>
          </w:p>
        </w:tc>
      </w:tr>
      <w:tr w:rsidR="00D1791F" w:rsidRPr="008828D3" w:rsidTr="001A4D4E">
        <w:trPr>
          <w:trHeight w:val="347"/>
        </w:trPr>
        <w:tc>
          <w:tcPr>
            <w:tcW w:w="1622" w:type="dxa"/>
            <w:vMerge/>
            <w:vAlign w:val="center"/>
          </w:tcPr>
          <w:p w:rsidR="00D1791F" w:rsidRPr="008828D3" w:rsidRDefault="00D1791F" w:rsidP="00193EA4">
            <w:pPr>
              <w:jc w:val="right"/>
              <w:rPr>
                <w:rFonts w:cs="Arial"/>
                <w:color w:val="000000"/>
                <w:sz w:val="20"/>
                <w:szCs w:val="20"/>
              </w:rPr>
            </w:pPr>
          </w:p>
        </w:tc>
        <w:tc>
          <w:tcPr>
            <w:tcW w:w="1581" w:type="dxa"/>
            <w:tcBorders>
              <w:top w:val="single" w:sz="4" w:space="0" w:color="auto"/>
              <w:bottom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132 495</w:t>
            </w:r>
          </w:p>
        </w:tc>
        <w:tc>
          <w:tcPr>
            <w:tcW w:w="1384" w:type="dxa"/>
            <w:vAlign w:val="center"/>
          </w:tcPr>
          <w:p w:rsidR="00D1791F" w:rsidRPr="008828D3" w:rsidRDefault="00D1791F" w:rsidP="00193EA4">
            <w:pPr>
              <w:jc w:val="center"/>
              <w:rPr>
                <w:rFonts w:cs="Arial"/>
                <w:sz w:val="20"/>
                <w:szCs w:val="20"/>
              </w:rPr>
            </w:pPr>
            <w:r w:rsidRPr="008828D3">
              <w:rPr>
                <w:rFonts w:cs="Arial"/>
                <w:sz w:val="20"/>
                <w:szCs w:val="20"/>
              </w:rPr>
              <w:t>53 940</w:t>
            </w:r>
          </w:p>
        </w:tc>
        <w:tc>
          <w:tcPr>
            <w:tcW w:w="1381" w:type="dxa"/>
            <w:vAlign w:val="center"/>
          </w:tcPr>
          <w:p w:rsidR="00D1791F" w:rsidRPr="008828D3" w:rsidRDefault="00D1791F" w:rsidP="00193EA4">
            <w:pPr>
              <w:jc w:val="center"/>
              <w:rPr>
                <w:rFonts w:cs="Arial"/>
                <w:sz w:val="20"/>
                <w:szCs w:val="20"/>
              </w:rPr>
            </w:pPr>
            <w:r w:rsidRPr="008828D3">
              <w:rPr>
                <w:rFonts w:cs="Arial"/>
                <w:sz w:val="20"/>
                <w:szCs w:val="20"/>
              </w:rPr>
              <w:t>23 093</w:t>
            </w:r>
          </w:p>
        </w:tc>
        <w:tc>
          <w:tcPr>
            <w:tcW w:w="1581" w:type="dxa"/>
            <w:vAlign w:val="center"/>
          </w:tcPr>
          <w:p w:rsidR="00D1791F" w:rsidRPr="008828D3" w:rsidRDefault="00D1791F" w:rsidP="00193EA4">
            <w:pPr>
              <w:jc w:val="center"/>
              <w:rPr>
                <w:rFonts w:cs="Arial"/>
                <w:sz w:val="20"/>
                <w:szCs w:val="20"/>
              </w:rPr>
            </w:pPr>
            <w:r w:rsidRPr="008828D3">
              <w:rPr>
                <w:rFonts w:cs="Arial"/>
                <w:sz w:val="20"/>
                <w:szCs w:val="20"/>
              </w:rPr>
              <w:t>29 421</w:t>
            </w:r>
          </w:p>
        </w:tc>
        <w:tc>
          <w:tcPr>
            <w:tcW w:w="1581" w:type="dxa"/>
            <w:vAlign w:val="center"/>
          </w:tcPr>
          <w:p w:rsidR="00D1791F" w:rsidRPr="008828D3" w:rsidRDefault="00D1791F" w:rsidP="00193EA4">
            <w:pPr>
              <w:jc w:val="center"/>
              <w:rPr>
                <w:rFonts w:cs="Arial"/>
                <w:sz w:val="20"/>
                <w:szCs w:val="20"/>
              </w:rPr>
            </w:pPr>
            <w:r w:rsidRPr="008828D3">
              <w:rPr>
                <w:rFonts w:cs="Arial"/>
                <w:sz w:val="20"/>
                <w:szCs w:val="20"/>
              </w:rPr>
              <w:t>26 041</w:t>
            </w:r>
          </w:p>
        </w:tc>
      </w:tr>
      <w:tr w:rsidR="00D1791F" w:rsidRPr="008828D3" w:rsidTr="001A4D4E">
        <w:trPr>
          <w:trHeight w:val="347"/>
        </w:trPr>
        <w:tc>
          <w:tcPr>
            <w:tcW w:w="1622" w:type="dxa"/>
            <w:vAlign w:val="center"/>
          </w:tcPr>
          <w:p w:rsidR="00D1791F" w:rsidRPr="008828D3" w:rsidRDefault="00D1791F" w:rsidP="00193EA4">
            <w:pPr>
              <w:jc w:val="center"/>
              <w:rPr>
                <w:rFonts w:cs="Arial"/>
                <w:color w:val="000000"/>
                <w:sz w:val="20"/>
                <w:szCs w:val="20"/>
              </w:rPr>
            </w:pPr>
            <w:r w:rsidRPr="008828D3">
              <w:rPr>
                <w:rFonts w:cs="Arial"/>
                <w:color w:val="000000"/>
                <w:sz w:val="20"/>
                <w:szCs w:val="20"/>
              </w:rPr>
              <w:t>podíl</w:t>
            </w:r>
          </w:p>
        </w:tc>
        <w:tc>
          <w:tcPr>
            <w:tcW w:w="1581" w:type="dxa"/>
            <w:tcBorders>
              <w:top w:val="single" w:sz="4" w:space="0" w:color="auto"/>
            </w:tcBorders>
          </w:tcPr>
          <w:p w:rsidR="00D1791F" w:rsidRPr="008828D3" w:rsidRDefault="00D1791F" w:rsidP="00193EA4">
            <w:pPr>
              <w:jc w:val="center"/>
              <w:rPr>
                <w:rFonts w:cs="Arial"/>
                <w:sz w:val="20"/>
                <w:szCs w:val="20"/>
              </w:rPr>
            </w:pPr>
            <w:r w:rsidRPr="008828D3">
              <w:rPr>
                <w:rFonts w:cs="Arial"/>
                <w:sz w:val="20"/>
                <w:szCs w:val="20"/>
              </w:rPr>
              <w:t>100 %</w:t>
            </w:r>
          </w:p>
        </w:tc>
        <w:tc>
          <w:tcPr>
            <w:tcW w:w="1384" w:type="dxa"/>
            <w:vAlign w:val="center"/>
          </w:tcPr>
          <w:p w:rsidR="00D1791F" w:rsidRPr="008828D3" w:rsidRDefault="00D1791F" w:rsidP="00193EA4">
            <w:pPr>
              <w:jc w:val="center"/>
              <w:rPr>
                <w:rFonts w:cs="Arial"/>
                <w:sz w:val="20"/>
                <w:szCs w:val="20"/>
              </w:rPr>
            </w:pPr>
            <w:r w:rsidRPr="008828D3">
              <w:rPr>
                <w:rFonts w:cs="Arial"/>
                <w:sz w:val="20"/>
                <w:szCs w:val="20"/>
              </w:rPr>
              <w:t>40,7 %</w:t>
            </w:r>
          </w:p>
        </w:tc>
        <w:tc>
          <w:tcPr>
            <w:tcW w:w="1381" w:type="dxa"/>
            <w:vAlign w:val="center"/>
          </w:tcPr>
          <w:p w:rsidR="00D1791F" w:rsidRPr="008828D3" w:rsidRDefault="00D1791F" w:rsidP="00193EA4">
            <w:pPr>
              <w:jc w:val="center"/>
              <w:rPr>
                <w:rFonts w:cs="Arial"/>
                <w:sz w:val="20"/>
                <w:szCs w:val="20"/>
              </w:rPr>
            </w:pPr>
            <w:r w:rsidRPr="008828D3">
              <w:rPr>
                <w:rFonts w:cs="Arial"/>
                <w:sz w:val="20"/>
                <w:szCs w:val="20"/>
              </w:rPr>
              <w:t>17,4 %</w:t>
            </w:r>
          </w:p>
        </w:tc>
        <w:tc>
          <w:tcPr>
            <w:tcW w:w="1581" w:type="dxa"/>
            <w:vAlign w:val="center"/>
          </w:tcPr>
          <w:p w:rsidR="00D1791F" w:rsidRPr="008828D3" w:rsidRDefault="00D1791F" w:rsidP="00193EA4">
            <w:pPr>
              <w:jc w:val="center"/>
              <w:rPr>
                <w:rFonts w:cs="Arial"/>
                <w:sz w:val="20"/>
                <w:szCs w:val="20"/>
              </w:rPr>
            </w:pPr>
            <w:r w:rsidRPr="008828D3">
              <w:rPr>
                <w:rFonts w:cs="Arial"/>
                <w:sz w:val="20"/>
                <w:szCs w:val="20"/>
              </w:rPr>
              <w:t>22,2 %</w:t>
            </w:r>
          </w:p>
        </w:tc>
        <w:tc>
          <w:tcPr>
            <w:tcW w:w="1581" w:type="dxa"/>
            <w:vAlign w:val="center"/>
          </w:tcPr>
          <w:p w:rsidR="00D1791F" w:rsidRPr="008828D3" w:rsidRDefault="00D1791F" w:rsidP="00193EA4">
            <w:pPr>
              <w:jc w:val="center"/>
              <w:rPr>
                <w:rFonts w:cs="Arial"/>
                <w:sz w:val="20"/>
                <w:szCs w:val="20"/>
              </w:rPr>
            </w:pPr>
            <w:r w:rsidRPr="008828D3">
              <w:rPr>
                <w:rFonts w:cs="Arial"/>
                <w:sz w:val="20"/>
                <w:szCs w:val="20"/>
              </w:rPr>
              <w:t>19,7 %</w:t>
            </w:r>
          </w:p>
        </w:tc>
      </w:tr>
      <w:tr w:rsidR="00D1791F" w:rsidRPr="008828D3" w:rsidTr="001A4D4E">
        <w:trPr>
          <w:trHeight w:val="347"/>
        </w:trPr>
        <w:tc>
          <w:tcPr>
            <w:tcW w:w="9130" w:type="dxa"/>
            <w:gridSpan w:val="6"/>
            <w:vAlign w:val="bottom"/>
          </w:tcPr>
          <w:p w:rsidR="00D1791F" w:rsidRPr="008828D3" w:rsidRDefault="00D1791F" w:rsidP="00193EA4">
            <w:pPr>
              <w:jc w:val="center"/>
              <w:rPr>
                <w:rFonts w:cs="Arial"/>
                <w:sz w:val="20"/>
                <w:szCs w:val="20"/>
              </w:rPr>
            </w:pPr>
            <w:r w:rsidRPr="008828D3">
              <w:rPr>
                <w:rFonts w:cs="Arial"/>
                <w:b/>
                <w:sz w:val="20"/>
                <w:szCs w:val="20"/>
              </w:rPr>
              <w:t>Neobsazenost volných pracovních míst k 31. 12. 2007</w:t>
            </w:r>
          </w:p>
        </w:tc>
      </w:tr>
      <w:tr w:rsidR="00D1791F" w:rsidRPr="008828D3" w:rsidTr="001A4D4E">
        <w:trPr>
          <w:trHeight w:val="347"/>
        </w:trPr>
        <w:tc>
          <w:tcPr>
            <w:tcW w:w="1622" w:type="dxa"/>
            <w:vMerge w:val="restart"/>
            <w:vAlign w:val="center"/>
          </w:tcPr>
          <w:p w:rsidR="00D1791F" w:rsidRPr="008828D3" w:rsidRDefault="00D1791F" w:rsidP="00193EA4">
            <w:pPr>
              <w:jc w:val="center"/>
              <w:rPr>
                <w:rFonts w:cs="Arial"/>
                <w:color w:val="000000"/>
                <w:sz w:val="20"/>
                <w:szCs w:val="20"/>
              </w:rPr>
            </w:pPr>
            <w:r w:rsidRPr="008828D3">
              <w:rPr>
                <w:rFonts w:cs="Arial"/>
                <w:color w:val="000000"/>
                <w:sz w:val="20"/>
                <w:szCs w:val="20"/>
              </w:rPr>
              <w:t>Počet pracovních míst</w:t>
            </w:r>
          </w:p>
        </w:tc>
        <w:tc>
          <w:tcPr>
            <w:tcW w:w="1581" w:type="dxa"/>
            <w:vMerge w:val="restart"/>
            <w:tcBorders>
              <w:right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celkem</w:t>
            </w:r>
          </w:p>
        </w:tc>
        <w:tc>
          <w:tcPr>
            <w:tcW w:w="5927" w:type="dxa"/>
            <w:gridSpan w:val="4"/>
            <w:tcBorders>
              <w:left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Neobsazeno (měsíců)</w:t>
            </w:r>
          </w:p>
        </w:tc>
      </w:tr>
      <w:tr w:rsidR="00D1791F" w:rsidRPr="008828D3" w:rsidTr="001A4D4E">
        <w:trPr>
          <w:trHeight w:val="347"/>
        </w:trPr>
        <w:tc>
          <w:tcPr>
            <w:tcW w:w="1622" w:type="dxa"/>
            <w:vMerge/>
            <w:vAlign w:val="center"/>
          </w:tcPr>
          <w:p w:rsidR="00D1791F" w:rsidRPr="008828D3" w:rsidRDefault="00D1791F" w:rsidP="00193EA4">
            <w:pPr>
              <w:jc w:val="center"/>
              <w:rPr>
                <w:rFonts w:cs="Arial"/>
                <w:sz w:val="20"/>
                <w:szCs w:val="20"/>
              </w:rPr>
            </w:pPr>
          </w:p>
        </w:tc>
        <w:tc>
          <w:tcPr>
            <w:tcW w:w="1581" w:type="dxa"/>
            <w:vMerge/>
            <w:tcBorders>
              <w:bottom w:val="single" w:sz="4" w:space="0" w:color="auto"/>
              <w:right w:val="single" w:sz="4" w:space="0" w:color="auto"/>
            </w:tcBorders>
          </w:tcPr>
          <w:p w:rsidR="00D1791F" w:rsidRPr="008828D3" w:rsidRDefault="00D1791F" w:rsidP="00193EA4">
            <w:pPr>
              <w:jc w:val="center"/>
              <w:rPr>
                <w:rFonts w:cs="Arial"/>
                <w:sz w:val="20"/>
                <w:szCs w:val="20"/>
              </w:rPr>
            </w:pPr>
          </w:p>
        </w:tc>
        <w:tc>
          <w:tcPr>
            <w:tcW w:w="1384" w:type="dxa"/>
            <w:tcBorders>
              <w:left w:val="single" w:sz="4" w:space="0" w:color="auto"/>
              <w:bottom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 xml:space="preserve">0-3 </w:t>
            </w:r>
          </w:p>
        </w:tc>
        <w:tc>
          <w:tcPr>
            <w:tcW w:w="1381" w:type="dxa"/>
            <w:tcBorders>
              <w:bottom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 xml:space="preserve">3-6 </w:t>
            </w:r>
          </w:p>
        </w:tc>
        <w:tc>
          <w:tcPr>
            <w:tcW w:w="1581" w:type="dxa"/>
            <w:tcBorders>
              <w:bottom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 xml:space="preserve">6-12 </w:t>
            </w:r>
          </w:p>
        </w:tc>
        <w:tc>
          <w:tcPr>
            <w:tcW w:w="1581" w:type="dxa"/>
            <w:tcBorders>
              <w:bottom w:val="single" w:sz="4" w:space="0" w:color="auto"/>
            </w:tcBorders>
            <w:vAlign w:val="center"/>
          </w:tcPr>
          <w:p w:rsidR="00D1791F" w:rsidRPr="008828D3" w:rsidRDefault="00D1791F" w:rsidP="00193EA4">
            <w:pPr>
              <w:jc w:val="center"/>
              <w:rPr>
                <w:rFonts w:cs="Arial"/>
                <w:sz w:val="20"/>
                <w:szCs w:val="20"/>
              </w:rPr>
            </w:pPr>
            <w:r w:rsidRPr="008828D3">
              <w:rPr>
                <w:rFonts w:cs="Arial"/>
                <w:sz w:val="20"/>
                <w:szCs w:val="20"/>
              </w:rPr>
              <w:t xml:space="preserve">Nad 12 </w:t>
            </w:r>
          </w:p>
        </w:tc>
      </w:tr>
      <w:tr w:rsidR="00D1791F" w:rsidRPr="008828D3" w:rsidTr="001A4D4E">
        <w:trPr>
          <w:trHeight w:val="347"/>
        </w:trPr>
        <w:tc>
          <w:tcPr>
            <w:tcW w:w="1622" w:type="dxa"/>
            <w:vMerge/>
            <w:vAlign w:val="center"/>
          </w:tcPr>
          <w:p w:rsidR="00D1791F" w:rsidRPr="008828D3" w:rsidRDefault="00D1791F" w:rsidP="00193EA4">
            <w:pPr>
              <w:jc w:val="right"/>
              <w:rPr>
                <w:rFonts w:cs="Arial"/>
                <w:color w:val="000000"/>
                <w:sz w:val="20"/>
                <w:szCs w:val="20"/>
              </w:rPr>
            </w:pPr>
          </w:p>
        </w:tc>
        <w:tc>
          <w:tcPr>
            <w:tcW w:w="1581" w:type="dxa"/>
            <w:tcBorders>
              <w:top w:val="single" w:sz="4" w:space="0" w:color="auto"/>
              <w:bottom w:val="single" w:sz="4" w:space="0" w:color="auto"/>
            </w:tcBorders>
            <w:vAlign w:val="center"/>
          </w:tcPr>
          <w:p w:rsidR="00D1791F" w:rsidRPr="008828D3" w:rsidRDefault="00D1791F" w:rsidP="00193EA4">
            <w:pPr>
              <w:jc w:val="center"/>
              <w:rPr>
                <w:rFonts w:cs="Arial"/>
                <w:color w:val="000000"/>
                <w:sz w:val="20"/>
                <w:szCs w:val="20"/>
              </w:rPr>
            </w:pPr>
            <w:r w:rsidRPr="008828D3">
              <w:rPr>
                <w:rFonts w:cs="Arial"/>
                <w:color w:val="000000"/>
                <w:sz w:val="20"/>
                <w:szCs w:val="20"/>
              </w:rPr>
              <w:t>141 170</w:t>
            </w:r>
          </w:p>
        </w:tc>
        <w:tc>
          <w:tcPr>
            <w:tcW w:w="1384" w:type="dxa"/>
            <w:vAlign w:val="center"/>
          </w:tcPr>
          <w:p w:rsidR="00D1791F" w:rsidRPr="008828D3" w:rsidRDefault="00D1791F" w:rsidP="00193EA4">
            <w:pPr>
              <w:jc w:val="center"/>
              <w:rPr>
                <w:rFonts w:cs="Arial"/>
                <w:color w:val="000000"/>
                <w:sz w:val="20"/>
                <w:szCs w:val="20"/>
              </w:rPr>
            </w:pPr>
            <w:r w:rsidRPr="008828D3">
              <w:rPr>
                <w:rFonts w:cs="Arial"/>
                <w:color w:val="000000"/>
                <w:sz w:val="20"/>
                <w:szCs w:val="20"/>
              </w:rPr>
              <w:t>67 663</w:t>
            </w:r>
          </w:p>
        </w:tc>
        <w:tc>
          <w:tcPr>
            <w:tcW w:w="1381" w:type="dxa"/>
            <w:vAlign w:val="center"/>
          </w:tcPr>
          <w:p w:rsidR="00D1791F" w:rsidRPr="008828D3" w:rsidRDefault="00D1791F" w:rsidP="00193EA4">
            <w:pPr>
              <w:jc w:val="center"/>
              <w:rPr>
                <w:rFonts w:cs="Arial"/>
                <w:color w:val="000000"/>
                <w:sz w:val="20"/>
                <w:szCs w:val="20"/>
              </w:rPr>
            </w:pPr>
            <w:r w:rsidRPr="008828D3">
              <w:rPr>
                <w:rFonts w:cs="Arial"/>
                <w:color w:val="000000"/>
                <w:sz w:val="20"/>
                <w:szCs w:val="20"/>
              </w:rPr>
              <w:t>28 488</w:t>
            </w:r>
          </w:p>
        </w:tc>
        <w:tc>
          <w:tcPr>
            <w:tcW w:w="1581" w:type="dxa"/>
            <w:vAlign w:val="center"/>
          </w:tcPr>
          <w:p w:rsidR="00D1791F" w:rsidRPr="008828D3" w:rsidRDefault="00D1791F" w:rsidP="00193EA4">
            <w:pPr>
              <w:jc w:val="center"/>
              <w:rPr>
                <w:rFonts w:cs="Arial"/>
                <w:color w:val="000000"/>
                <w:sz w:val="20"/>
                <w:szCs w:val="20"/>
              </w:rPr>
            </w:pPr>
            <w:r w:rsidRPr="008828D3">
              <w:rPr>
                <w:rFonts w:cs="Arial"/>
                <w:color w:val="000000"/>
                <w:sz w:val="20"/>
                <w:szCs w:val="20"/>
              </w:rPr>
              <w:t>25 160</w:t>
            </w:r>
          </w:p>
        </w:tc>
        <w:tc>
          <w:tcPr>
            <w:tcW w:w="1581" w:type="dxa"/>
            <w:vAlign w:val="center"/>
          </w:tcPr>
          <w:p w:rsidR="00D1791F" w:rsidRPr="008828D3" w:rsidRDefault="00D1791F" w:rsidP="00193EA4">
            <w:pPr>
              <w:jc w:val="center"/>
              <w:rPr>
                <w:rFonts w:cs="Arial"/>
                <w:color w:val="000000"/>
                <w:sz w:val="20"/>
                <w:szCs w:val="20"/>
              </w:rPr>
            </w:pPr>
            <w:r w:rsidRPr="008828D3">
              <w:rPr>
                <w:rFonts w:cs="Arial"/>
                <w:color w:val="000000"/>
                <w:sz w:val="20"/>
                <w:szCs w:val="20"/>
              </w:rPr>
              <w:t>19 859</w:t>
            </w:r>
          </w:p>
        </w:tc>
      </w:tr>
      <w:tr w:rsidR="00D1791F" w:rsidRPr="008828D3" w:rsidTr="001A4D4E">
        <w:trPr>
          <w:trHeight w:val="347"/>
        </w:trPr>
        <w:tc>
          <w:tcPr>
            <w:tcW w:w="1622" w:type="dxa"/>
            <w:vAlign w:val="center"/>
          </w:tcPr>
          <w:p w:rsidR="00D1791F" w:rsidRPr="008828D3" w:rsidRDefault="00D1791F" w:rsidP="00193EA4">
            <w:pPr>
              <w:jc w:val="center"/>
              <w:rPr>
                <w:rFonts w:cs="Arial"/>
                <w:color w:val="000000"/>
                <w:sz w:val="20"/>
                <w:szCs w:val="20"/>
              </w:rPr>
            </w:pPr>
            <w:r w:rsidRPr="008828D3">
              <w:rPr>
                <w:rFonts w:cs="Arial"/>
                <w:color w:val="000000"/>
                <w:sz w:val="20"/>
                <w:szCs w:val="20"/>
              </w:rPr>
              <w:t>podíl</w:t>
            </w:r>
          </w:p>
        </w:tc>
        <w:tc>
          <w:tcPr>
            <w:tcW w:w="1581" w:type="dxa"/>
            <w:tcBorders>
              <w:top w:val="single" w:sz="4" w:space="0" w:color="auto"/>
            </w:tcBorders>
          </w:tcPr>
          <w:p w:rsidR="00D1791F" w:rsidRPr="008828D3" w:rsidRDefault="00D1791F" w:rsidP="00193EA4">
            <w:pPr>
              <w:jc w:val="center"/>
              <w:rPr>
                <w:rFonts w:cs="Arial"/>
                <w:sz w:val="20"/>
                <w:szCs w:val="20"/>
              </w:rPr>
            </w:pPr>
            <w:r w:rsidRPr="008828D3">
              <w:rPr>
                <w:rFonts w:cs="Arial"/>
                <w:sz w:val="20"/>
                <w:szCs w:val="20"/>
              </w:rPr>
              <w:t>100 %</w:t>
            </w:r>
          </w:p>
        </w:tc>
        <w:tc>
          <w:tcPr>
            <w:tcW w:w="1384" w:type="dxa"/>
            <w:vAlign w:val="center"/>
          </w:tcPr>
          <w:p w:rsidR="00D1791F" w:rsidRPr="008828D3" w:rsidRDefault="00D1791F" w:rsidP="00193EA4">
            <w:pPr>
              <w:jc w:val="center"/>
              <w:rPr>
                <w:rFonts w:cs="Arial"/>
                <w:color w:val="000000"/>
                <w:sz w:val="20"/>
                <w:szCs w:val="20"/>
              </w:rPr>
            </w:pPr>
            <w:r w:rsidRPr="008828D3">
              <w:rPr>
                <w:rFonts w:cs="Arial"/>
                <w:color w:val="000000"/>
                <w:sz w:val="20"/>
                <w:szCs w:val="20"/>
              </w:rPr>
              <w:t>47,9%</w:t>
            </w:r>
          </w:p>
        </w:tc>
        <w:tc>
          <w:tcPr>
            <w:tcW w:w="1381" w:type="dxa"/>
            <w:vAlign w:val="center"/>
          </w:tcPr>
          <w:p w:rsidR="00D1791F" w:rsidRPr="008828D3" w:rsidRDefault="00D1791F" w:rsidP="00193EA4">
            <w:pPr>
              <w:jc w:val="center"/>
              <w:rPr>
                <w:rFonts w:cs="Arial"/>
                <w:color w:val="000000"/>
                <w:sz w:val="20"/>
                <w:szCs w:val="20"/>
              </w:rPr>
            </w:pPr>
            <w:r w:rsidRPr="008828D3">
              <w:rPr>
                <w:rFonts w:cs="Arial"/>
                <w:color w:val="000000"/>
                <w:sz w:val="20"/>
                <w:szCs w:val="20"/>
              </w:rPr>
              <w:t>20,2%</w:t>
            </w:r>
          </w:p>
        </w:tc>
        <w:tc>
          <w:tcPr>
            <w:tcW w:w="1581" w:type="dxa"/>
            <w:vAlign w:val="center"/>
          </w:tcPr>
          <w:p w:rsidR="00D1791F" w:rsidRPr="008828D3" w:rsidRDefault="00D1791F" w:rsidP="00193EA4">
            <w:pPr>
              <w:jc w:val="center"/>
              <w:rPr>
                <w:rFonts w:cs="Arial"/>
                <w:color w:val="000000"/>
                <w:sz w:val="20"/>
                <w:szCs w:val="20"/>
              </w:rPr>
            </w:pPr>
            <w:r w:rsidRPr="008828D3">
              <w:rPr>
                <w:rFonts w:cs="Arial"/>
                <w:color w:val="000000"/>
                <w:sz w:val="20"/>
                <w:szCs w:val="20"/>
              </w:rPr>
              <w:t>17,8%</w:t>
            </w:r>
          </w:p>
        </w:tc>
        <w:tc>
          <w:tcPr>
            <w:tcW w:w="1581" w:type="dxa"/>
            <w:vAlign w:val="center"/>
          </w:tcPr>
          <w:p w:rsidR="00D1791F" w:rsidRPr="008828D3" w:rsidRDefault="00D1791F" w:rsidP="00193EA4">
            <w:pPr>
              <w:jc w:val="center"/>
              <w:rPr>
                <w:rFonts w:cs="Arial"/>
                <w:color w:val="000000"/>
                <w:sz w:val="20"/>
                <w:szCs w:val="20"/>
              </w:rPr>
            </w:pPr>
            <w:r w:rsidRPr="008828D3">
              <w:rPr>
                <w:rFonts w:cs="Arial"/>
                <w:color w:val="000000"/>
                <w:sz w:val="20"/>
                <w:szCs w:val="20"/>
              </w:rPr>
              <w:t>14,1%</w:t>
            </w:r>
          </w:p>
        </w:tc>
      </w:tr>
    </w:tbl>
    <w:p w:rsidR="00575F2F" w:rsidRDefault="00575F2F" w:rsidP="00484D3B">
      <w:pPr>
        <w:spacing w:before="120" w:after="120" w:line="240" w:lineRule="auto"/>
      </w:pPr>
    </w:p>
    <w:p w:rsidR="00D1791F" w:rsidRDefault="00D1791F" w:rsidP="00484D3B">
      <w:pPr>
        <w:spacing w:before="120" w:after="120" w:line="240" w:lineRule="auto"/>
      </w:pPr>
      <w:r>
        <w:t>Přestože v předcházející kapitole bylo uvedeno, že z pohledu ukazatelů charakterizujících trh práce v oblasti nezaměstnanosti (tj. na nabídkové straně trhu práce) vykazuje český trh práce shodný vývoj v roce 2016 jako v roce 2007, při porovnání struktury VPM podle doby jejich neobsazení je znateln</w:t>
      </w:r>
      <w:r w:rsidR="004A5D48">
        <w:t>á</w:t>
      </w:r>
      <w:r>
        <w:t xml:space="preserve"> </w:t>
      </w:r>
      <w:r w:rsidR="004A5D48">
        <w:t>změna</w:t>
      </w:r>
      <w:r>
        <w:t>. Oproti stavu před devíti lety, současný vývoj ve 4</w:t>
      </w:r>
      <w:r w:rsidR="000901EA">
        <w:t>Q</w:t>
      </w:r>
      <w:r>
        <w:t xml:space="preserve"> </w:t>
      </w:r>
      <w:r w:rsidR="00154D38">
        <w:t>(2016)</w:t>
      </w:r>
      <w:r>
        <w:t xml:space="preserve"> vykazuje určité zpomalení dynamiky vývoje na poptávkové straně trhu práce. Tato skutečnost se projevuje zvýšením podílu dlouhodobě neobsazených pracovních míst, v prosinci 2007 tvořily 14,1 % hlášených VPM, a naopak poklesem podílu míst hlášených po dobu méně jak 3 měsíce, ty v prosinci 2007 tvořily téměř 48 %.</w:t>
      </w:r>
      <w:r w:rsidR="006A294D" w:rsidRPr="006A294D">
        <w:t xml:space="preserve"> </w:t>
      </w:r>
      <w:r w:rsidR="006A294D">
        <w:t>Ve sledovaném období 4</w:t>
      </w:r>
      <w:r w:rsidR="000901EA">
        <w:t>Q</w:t>
      </w:r>
      <w:r w:rsidR="006A294D">
        <w:t xml:space="preserve"> 2016 se tak dále projevil jeden z rysů současné disproporce na</w:t>
      </w:r>
      <w:r w:rsidR="00D03B61">
        <w:t xml:space="preserve"> trhu práce v oblasti nabídky a </w:t>
      </w:r>
      <w:r w:rsidR="006A294D">
        <w:t>poptávky na trhu práce spočívající v nemožnosti dlouhodobě obsadit některá pracovní místa.</w:t>
      </w:r>
    </w:p>
    <w:p w:rsidR="000D7385" w:rsidRDefault="000D7385">
      <w:pPr>
        <w:spacing w:after="200"/>
        <w:jc w:val="left"/>
      </w:pPr>
      <w:r>
        <w:br w:type="page"/>
      </w:r>
    </w:p>
    <w:p w:rsidR="00E47A50" w:rsidRPr="00286F14" w:rsidRDefault="00E47A50" w:rsidP="00484D3B">
      <w:pPr>
        <w:pStyle w:val="Nadpis3"/>
      </w:pPr>
      <w:bookmarkStart w:id="7" w:name="_Toc476556224"/>
      <w:r w:rsidRPr="00286F14">
        <w:t>Struktura VPM podle zaměstnání</w:t>
      </w:r>
      <w:bookmarkEnd w:id="7"/>
    </w:p>
    <w:p w:rsidR="00AB0A51" w:rsidRDefault="00132DCB" w:rsidP="000D7385">
      <w:pPr>
        <w:spacing w:after="200" w:line="240" w:lineRule="auto"/>
        <w:rPr>
          <w:b/>
          <w:bCs/>
          <w:color w:val="4F81BD" w:themeColor="accent1"/>
          <w:sz w:val="18"/>
          <w:szCs w:val="18"/>
        </w:rPr>
      </w:pPr>
      <w:r>
        <w:t>Následující graf zobrazuje strukturu a počet VPM dle doby neobsazenosti v jednotlivých hlavních třídách zaměstnání podle klasifikace CZ-ISCO.</w:t>
      </w:r>
    </w:p>
    <w:p w:rsidR="00132DCB" w:rsidRDefault="00575F2F" w:rsidP="00484D3B">
      <w:pPr>
        <w:pStyle w:val="Titulek"/>
        <w:keepNext/>
      </w:pPr>
      <w:bookmarkStart w:id="8" w:name="_Toc476556278"/>
      <w:r>
        <w:rPr>
          <w:noProof/>
          <w:lang w:eastAsia="cs-CZ"/>
        </w:rPr>
        <w:drawing>
          <wp:anchor distT="0" distB="0" distL="114300" distR="114300" simplePos="0" relativeHeight="251664384" behindDoc="1" locked="0" layoutInCell="1" allowOverlap="1" wp14:anchorId="73BE7B38" wp14:editId="6D8A144B">
            <wp:simplePos x="0" y="0"/>
            <wp:positionH relativeFrom="column">
              <wp:posOffset>3810</wp:posOffset>
            </wp:positionH>
            <wp:positionV relativeFrom="paragraph">
              <wp:posOffset>329565</wp:posOffset>
            </wp:positionV>
            <wp:extent cx="5964555" cy="3923030"/>
            <wp:effectExtent l="0" t="0" r="17145" b="20320"/>
            <wp:wrapTight wrapText="bothSides">
              <wp:wrapPolygon edited="0">
                <wp:start x="0" y="0"/>
                <wp:lineTo x="0" y="21607"/>
                <wp:lineTo x="21593" y="21607"/>
                <wp:lineTo x="21593" y="0"/>
                <wp:lineTo x="0" y="0"/>
              </wp:wrapPolygon>
            </wp:wrapTight>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132DCB">
        <w:t xml:space="preserve">Graf č.: </w:t>
      </w:r>
      <w:r w:rsidR="00AB7C96">
        <w:fldChar w:fldCharType="begin"/>
      </w:r>
      <w:r w:rsidR="00AB7C96">
        <w:instrText xml:space="preserve"> SEQ Graf_č.: \* ARABIC </w:instrText>
      </w:r>
      <w:r w:rsidR="00AB7C96">
        <w:fldChar w:fldCharType="separate"/>
      </w:r>
      <w:r w:rsidR="004A5D48">
        <w:rPr>
          <w:noProof/>
        </w:rPr>
        <w:t>1</w:t>
      </w:r>
      <w:r w:rsidR="00AB7C96">
        <w:rPr>
          <w:noProof/>
        </w:rPr>
        <w:fldChar w:fldCharType="end"/>
      </w:r>
      <w:r w:rsidR="00132DCB">
        <w:t xml:space="preserve"> </w:t>
      </w:r>
      <w:r w:rsidR="00132DCB" w:rsidRPr="00132DCB">
        <w:t>Struktura neobsazenosti VPM podle hl. tříd zaměstnání (k 31. 12. 2016</w:t>
      </w:r>
      <w:r w:rsidR="00451647">
        <w:t>)</w:t>
      </w:r>
      <w:bookmarkEnd w:id="8"/>
    </w:p>
    <w:p w:rsidR="00575F2F" w:rsidRDefault="00575F2F" w:rsidP="006A294D">
      <w:pPr>
        <w:spacing w:before="240" w:after="120" w:line="240" w:lineRule="auto"/>
      </w:pPr>
    </w:p>
    <w:p w:rsidR="00132DCB" w:rsidRDefault="00451C97" w:rsidP="006A294D">
      <w:pPr>
        <w:spacing w:before="240" w:after="120" w:line="240" w:lineRule="auto"/>
      </w:pPr>
      <w:r>
        <w:t>Je patrné, ž</w:t>
      </w:r>
      <w:r w:rsidR="00132DCB">
        <w:t xml:space="preserve">e nejvyšší počet VMP je hlášen v třídách </w:t>
      </w:r>
      <w:r w:rsidR="00132DCB">
        <w:rPr>
          <w:i/>
        </w:rPr>
        <w:t>Obsluha strojů a zařízení, montéři</w:t>
      </w:r>
      <w:r w:rsidR="00132DCB">
        <w:t xml:space="preserve"> (29 963 VPM</w:t>
      </w:r>
      <w:r>
        <w:t>)</w:t>
      </w:r>
      <w:r w:rsidR="00132DCB">
        <w:t xml:space="preserve">, a </w:t>
      </w:r>
      <w:r w:rsidR="006A294D">
        <w:rPr>
          <w:i/>
        </w:rPr>
        <w:t>Ř</w:t>
      </w:r>
      <w:r w:rsidR="00132DCB">
        <w:rPr>
          <w:i/>
        </w:rPr>
        <w:t>emeslníci a opraváři</w:t>
      </w:r>
      <w:r w:rsidR="00132DCB">
        <w:t xml:space="preserve"> (28 547 VPM</w:t>
      </w:r>
      <w:r>
        <w:t>)</w:t>
      </w:r>
      <w:r w:rsidR="00132DCB">
        <w:t xml:space="preserve">, následovaných třídou </w:t>
      </w:r>
      <w:r w:rsidR="00132DCB">
        <w:rPr>
          <w:i/>
        </w:rPr>
        <w:t>Pomocní a nekvalifikovaní pracovníci</w:t>
      </w:r>
      <w:r w:rsidR="00132DCB">
        <w:t xml:space="preserve"> (</w:t>
      </w:r>
      <w:r>
        <w:t xml:space="preserve">26 223 VPM). Podíl dlouhodobě neobsazených pracovních míst v těchto třídách </w:t>
      </w:r>
      <w:r w:rsidR="006A294D">
        <w:t>odpovídal celkovému průměru tj. </w:t>
      </w:r>
      <w:r>
        <w:t xml:space="preserve">zhruba 20 %, v případě pomocných a nekvalifikovaných pracovníků dokonce v mezi </w:t>
      </w:r>
      <w:r w:rsidR="000901EA">
        <w:t xml:space="preserve">čtvrtletním </w:t>
      </w:r>
      <w:r>
        <w:t xml:space="preserve">srovnání stoupl podíl VPM neobsazených méně než 3 měsíce, když se přiblížil 50 %. </w:t>
      </w:r>
      <w:r w:rsidRPr="006A294D">
        <w:rPr>
          <w:b/>
        </w:rPr>
        <w:t xml:space="preserve">Z početnějších tříd poptávaných zaměstnání jsou dlouhodobě neobsazená pracovní místa zastoupena však ve třídě </w:t>
      </w:r>
      <w:r w:rsidRPr="006A294D">
        <w:rPr>
          <w:b/>
          <w:i/>
        </w:rPr>
        <w:t>Specialisté</w:t>
      </w:r>
      <w:r w:rsidRPr="006A294D">
        <w:rPr>
          <w:b/>
        </w:rPr>
        <w:t>.</w:t>
      </w:r>
      <w:r>
        <w:t xml:space="preserve"> V této skupině bylo k 31. 12. 2016 hlášeno celkem 9 868 VPM, z čehož více než polovina byla neobsazena déle jak 6 měsíců, déle než 12 měsíců pak téměř 23 %.</w:t>
      </w:r>
    </w:p>
    <w:p w:rsidR="004F7612" w:rsidRDefault="00451C97" w:rsidP="00484D3B">
      <w:pPr>
        <w:spacing w:after="200" w:line="240" w:lineRule="auto"/>
      </w:pPr>
      <w:r>
        <w:t>Následující graf porovnává strukturu VPM podle hlavních tříd zaměstnání CZ-ISCO mezi krátkodobě neobsazenými VPM (do 3 měsíců) a dlouhodobě neobsazenými VPM (nad 12 měsíců). Vyplývá z něj, že s dobou neobsazenosti klesá zastoupení pomocných profesí, naopak narůstá zastoupení</w:t>
      </w:r>
      <w:r w:rsidR="004F7612">
        <w:t xml:space="preserve"> specialistů, řemeslníků a obsluhy zařízení a strojů.</w:t>
      </w:r>
    </w:p>
    <w:p w:rsidR="004F7612" w:rsidRDefault="004F7612" w:rsidP="00484D3B">
      <w:pPr>
        <w:pStyle w:val="Titulek"/>
        <w:keepNext/>
      </w:pPr>
      <w:bookmarkStart w:id="9" w:name="_Toc476556279"/>
      <w:r>
        <w:t xml:space="preserve">Graf č.: </w:t>
      </w:r>
      <w:r w:rsidR="00AB7C96">
        <w:fldChar w:fldCharType="begin"/>
      </w:r>
      <w:r w:rsidR="00AB7C96">
        <w:instrText xml:space="preserve"> SEQ Graf_č.: \* ARABIC </w:instrText>
      </w:r>
      <w:r w:rsidR="00AB7C96">
        <w:fldChar w:fldCharType="separate"/>
      </w:r>
      <w:r w:rsidR="004A5D48">
        <w:rPr>
          <w:noProof/>
        </w:rPr>
        <w:t>2</w:t>
      </w:r>
      <w:r w:rsidR="00AB7C96">
        <w:rPr>
          <w:noProof/>
        </w:rPr>
        <w:fldChar w:fldCharType="end"/>
      </w:r>
      <w:r>
        <w:t xml:space="preserve"> Struktura VPM podle hl. tříd zaměstnání a doby neobsazenosti</w:t>
      </w:r>
      <w:r w:rsidR="00451647">
        <w:t xml:space="preserve"> (31. 12. 2016)</w:t>
      </w:r>
      <w:bookmarkEnd w:id="9"/>
    </w:p>
    <w:p w:rsidR="00695D11" w:rsidRDefault="004F7612" w:rsidP="00484D3B">
      <w:pPr>
        <w:spacing w:before="120" w:after="200" w:line="240" w:lineRule="auto"/>
      </w:pPr>
      <w:r>
        <w:rPr>
          <w:noProof/>
          <w:lang w:eastAsia="cs-CZ"/>
        </w:rPr>
        <w:drawing>
          <wp:inline distT="0" distB="0" distL="0" distR="0" wp14:anchorId="52C84C61" wp14:editId="6926FD21">
            <wp:extent cx="5762847" cy="2573079"/>
            <wp:effectExtent l="0" t="0" r="9525" b="1778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51C97" w:rsidRDefault="004F7612" w:rsidP="00484D3B">
      <w:pPr>
        <w:spacing w:before="120" w:after="200" w:line="240" w:lineRule="auto"/>
      </w:pPr>
      <w:r>
        <w:t>S výjimkou poklesu pomocných profesí v dlouhodobě neobsazených VPM je výše uvedený vývoj struktury VPM shodný s vývojem v předešlém období.</w:t>
      </w:r>
      <w:r w:rsidR="00451C97">
        <w:t xml:space="preserve"> </w:t>
      </w:r>
    </w:p>
    <w:p w:rsidR="00E47A50" w:rsidRDefault="00E47A50" w:rsidP="00484D3B">
      <w:pPr>
        <w:pStyle w:val="Nadpis3"/>
      </w:pPr>
      <w:bookmarkStart w:id="10" w:name="_Toc476556225"/>
      <w:r w:rsidRPr="00286F14">
        <w:t>Struktura</w:t>
      </w:r>
      <w:r>
        <w:t xml:space="preserve"> VPM podle vzdělání</w:t>
      </w:r>
      <w:bookmarkEnd w:id="10"/>
    </w:p>
    <w:p w:rsidR="001875F7" w:rsidRDefault="001875F7" w:rsidP="00484D3B">
      <w:pPr>
        <w:spacing w:before="120" w:after="200" w:line="240" w:lineRule="auto"/>
      </w:pPr>
      <w:r>
        <w:t xml:space="preserve">Soulad mezi nabídkou a poptávkou na trhu práce je rovněž ovlivňován kvalifikačními požadavky zaměstnavatelů a kvalifikační strukturou uchazečů o zaměstnání. Jak ukazují následující grafy, nejhůře se daří obsazovat volná pracovní místa na obou koncích kvalifikačního spektra a to jak v případě VPM nevyžadujících žádnou kvalifikaci (VPM, která nemají požadavek ani na dokončení ZŠ), tak ve vysoce specializovaných profesích s požadavkem na vysokoškolské vzdělání jak v bakalářském, tak vyšším stupni vzdělání. Co se týče objemu hlášených VPM se však jedná o marginální absolutní počty. </w:t>
      </w:r>
    </w:p>
    <w:p w:rsidR="001875F7" w:rsidRDefault="001875F7" w:rsidP="00484D3B">
      <w:pPr>
        <w:pStyle w:val="Titulek"/>
        <w:keepNext/>
      </w:pPr>
      <w:bookmarkStart w:id="11" w:name="_Toc476556280"/>
      <w:r>
        <w:t xml:space="preserve">Graf č.: </w:t>
      </w:r>
      <w:r w:rsidR="00AB7C96">
        <w:fldChar w:fldCharType="begin"/>
      </w:r>
      <w:r w:rsidR="00AB7C96">
        <w:instrText xml:space="preserve"> SEQ Graf_č.: \* ARABIC </w:instrText>
      </w:r>
      <w:r w:rsidR="00AB7C96">
        <w:fldChar w:fldCharType="separate"/>
      </w:r>
      <w:r w:rsidR="004A5D48">
        <w:rPr>
          <w:noProof/>
        </w:rPr>
        <w:t>3</w:t>
      </w:r>
      <w:r w:rsidR="00AB7C96">
        <w:rPr>
          <w:noProof/>
        </w:rPr>
        <w:fldChar w:fldCharType="end"/>
      </w:r>
      <w:r>
        <w:t xml:space="preserve"> Struktura a počty VPM podle vzdělání</w:t>
      </w:r>
      <w:r w:rsidR="00451647">
        <w:t xml:space="preserve"> (31. 12. 2016)</w:t>
      </w:r>
      <w:bookmarkEnd w:id="11"/>
    </w:p>
    <w:p w:rsidR="001875F7" w:rsidRPr="00451C97" w:rsidRDefault="001875F7" w:rsidP="00484D3B">
      <w:pPr>
        <w:spacing w:before="120" w:after="200" w:line="240" w:lineRule="auto"/>
      </w:pPr>
      <w:r>
        <w:rPr>
          <w:noProof/>
          <w:lang w:eastAsia="cs-CZ"/>
        </w:rPr>
        <w:drawing>
          <wp:inline distT="0" distB="0" distL="0" distR="0" wp14:anchorId="17C9B74D" wp14:editId="3089D66C">
            <wp:extent cx="5762847" cy="3200400"/>
            <wp:effectExtent l="0" t="0" r="9525" b="1905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76E9" w:rsidRDefault="001875F7" w:rsidP="00484D3B">
      <w:pPr>
        <w:spacing w:after="200" w:line="240" w:lineRule="auto"/>
      </w:pPr>
      <w:r w:rsidRPr="001875F7">
        <w:t>Naopak v nejpočetnějších skupinách, tj. u VPM s požadavkem na minimálně základní vzdělání a VPM s požadavkem na střední odborné vzdělání s vyučením je podíl dlouhodobě neobsazených VPM nižší než průměr za všechny skupiny.</w:t>
      </w:r>
      <w:r>
        <w:t xml:space="preserve"> </w:t>
      </w:r>
    </w:p>
    <w:p w:rsidR="000176E9" w:rsidRDefault="000176E9" w:rsidP="00484D3B">
      <w:pPr>
        <w:spacing w:after="200" w:line="240" w:lineRule="auto"/>
      </w:pPr>
      <w:r>
        <w:t>Oproti předcházejícímu období došlo ke změně dynamiky změny kvalifikační struktury VPM s dobou neobsazenosti, neboť podíl VPM s požadavkem na nejvýše základní vzdělání se s dobou neobsazení pracovního místa nemění. V minulém období bylo patrné, že podíl pracovních míst požadujících základní vzdělání s dobou neobsazenosti vzrůstá. Naopak v případě střední kva</w:t>
      </w:r>
      <w:r w:rsidR="006A294D">
        <w:t>lifikace dochází ke stagnaci (v </w:t>
      </w:r>
      <w:r>
        <w:t>minulém období s dobou neobsazenosti podíl klesal), v případě profesí vyžadujících vysokou kvalifikaci zůstává situace shodná. Tento vývoj indikuje mírně stoupající tendenci problému obsazování VPM s požadavkem na vyšší kvalifikaci, nicméně rozhodný bude další vývoj.</w:t>
      </w:r>
    </w:p>
    <w:p w:rsidR="00C8716D" w:rsidRDefault="00C8716D" w:rsidP="00484D3B">
      <w:pPr>
        <w:pStyle w:val="Titulek"/>
        <w:keepNext/>
      </w:pPr>
      <w:bookmarkStart w:id="12" w:name="_Toc476556281"/>
      <w:r>
        <w:t xml:space="preserve">Graf č.: </w:t>
      </w:r>
      <w:r w:rsidR="00AB7C96">
        <w:fldChar w:fldCharType="begin"/>
      </w:r>
      <w:r w:rsidR="00AB7C96">
        <w:instrText xml:space="preserve"> SEQ Graf_č.: \* ARABIC </w:instrText>
      </w:r>
      <w:r w:rsidR="00AB7C96">
        <w:fldChar w:fldCharType="separate"/>
      </w:r>
      <w:r w:rsidR="004A5D48">
        <w:rPr>
          <w:noProof/>
        </w:rPr>
        <w:t>4</w:t>
      </w:r>
      <w:r w:rsidR="00AB7C96">
        <w:rPr>
          <w:noProof/>
        </w:rPr>
        <w:fldChar w:fldCharType="end"/>
      </w:r>
      <w:r>
        <w:t xml:space="preserve"> </w:t>
      </w:r>
      <w:r w:rsidRPr="00906C7B">
        <w:t>Podíly VPM podle vzdělání a podle doby neobsazenosti (31. 12. 2016)</w:t>
      </w:r>
      <w:bookmarkEnd w:id="12"/>
    </w:p>
    <w:p w:rsidR="00132DCB" w:rsidRDefault="000176E9" w:rsidP="00484D3B">
      <w:pPr>
        <w:spacing w:after="200" w:line="240" w:lineRule="auto"/>
      </w:pPr>
      <w:r>
        <w:rPr>
          <w:noProof/>
          <w:lang w:eastAsia="cs-CZ"/>
        </w:rPr>
        <w:drawing>
          <wp:inline distT="0" distB="0" distL="0" distR="0" wp14:anchorId="32F3B1B8" wp14:editId="49F5BA6F">
            <wp:extent cx="5762847" cy="2583711"/>
            <wp:effectExtent l="0" t="0" r="9525" b="2667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8716D" w:rsidRDefault="00C8716D" w:rsidP="00484D3B">
      <w:pPr>
        <w:pStyle w:val="Titulek"/>
        <w:keepNext/>
      </w:pPr>
      <w:bookmarkStart w:id="13" w:name="_Toc476556282"/>
      <w:r>
        <w:t xml:space="preserve">Graf č.: </w:t>
      </w:r>
      <w:r w:rsidR="00AB7C96">
        <w:fldChar w:fldCharType="begin"/>
      </w:r>
      <w:r w:rsidR="00AB7C96">
        <w:instrText xml:space="preserve"> SEQ Graf_č.: \* ARABIC </w:instrText>
      </w:r>
      <w:r w:rsidR="00AB7C96">
        <w:fldChar w:fldCharType="separate"/>
      </w:r>
      <w:r w:rsidR="004A5D48">
        <w:rPr>
          <w:noProof/>
        </w:rPr>
        <w:t>5</w:t>
      </w:r>
      <w:r w:rsidR="00AB7C96">
        <w:rPr>
          <w:noProof/>
        </w:rPr>
        <w:fldChar w:fldCharType="end"/>
      </w:r>
      <w:r>
        <w:t xml:space="preserve"> </w:t>
      </w:r>
      <w:r w:rsidRPr="007F6CAE">
        <w:t xml:space="preserve">Podíly VPM podle vzdělání a </w:t>
      </w:r>
      <w:r>
        <w:t>podle doby neobsazenosti (30. 9</w:t>
      </w:r>
      <w:r w:rsidRPr="007F6CAE">
        <w:t>. 2016)</w:t>
      </w:r>
      <w:bookmarkEnd w:id="13"/>
    </w:p>
    <w:p w:rsidR="000176E9" w:rsidRDefault="000176E9" w:rsidP="00484D3B">
      <w:pPr>
        <w:spacing w:after="200" w:line="240" w:lineRule="auto"/>
      </w:pPr>
      <w:r>
        <w:rPr>
          <w:noProof/>
          <w:lang w:eastAsia="cs-CZ"/>
        </w:rPr>
        <w:drawing>
          <wp:inline distT="0" distB="0" distL="0" distR="0" wp14:anchorId="72FDFEF3" wp14:editId="152AAD30">
            <wp:extent cx="5762847" cy="2424223"/>
            <wp:effectExtent l="0" t="0" r="9525" b="1460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D5084" w:rsidRDefault="008D5084">
      <w:pPr>
        <w:spacing w:after="200"/>
        <w:jc w:val="left"/>
      </w:pPr>
      <w:r>
        <w:br w:type="page"/>
      </w:r>
    </w:p>
    <w:p w:rsidR="00AE6880" w:rsidRDefault="00AE6880" w:rsidP="00484D3B">
      <w:pPr>
        <w:pStyle w:val="Nadpis3"/>
      </w:pPr>
      <w:bookmarkStart w:id="14" w:name="_Toc476556226"/>
      <w:r w:rsidRPr="00286F14">
        <w:t>Nasycenost</w:t>
      </w:r>
      <w:r>
        <w:t xml:space="preserve"> pracovního trhu pracovní silou</w:t>
      </w:r>
      <w:bookmarkEnd w:id="14"/>
    </w:p>
    <w:p w:rsidR="00D1791F" w:rsidRDefault="00AB0A51" w:rsidP="00484D3B">
      <w:pPr>
        <w:spacing w:after="200" w:line="240" w:lineRule="auto"/>
      </w:pPr>
      <w:r>
        <w:rPr>
          <w:noProof/>
          <w:lang w:eastAsia="cs-CZ"/>
        </w:rPr>
        <mc:AlternateContent>
          <mc:Choice Requires="wps">
            <w:drawing>
              <wp:anchor distT="0" distB="0" distL="114300" distR="114300" simplePos="0" relativeHeight="251662336" behindDoc="0" locked="0" layoutInCell="1" allowOverlap="1" wp14:anchorId="2142B61F" wp14:editId="17519922">
                <wp:simplePos x="0" y="0"/>
                <wp:positionH relativeFrom="column">
                  <wp:posOffset>2540</wp:posOffset>
                </wp:positionH>
                <wp:positionV relativeFrom="paragraph">
                  <wp:posOffset>1978025</wp:posOffset>
                </wp:positionV>
                <wp:extent cx="6028055" cy="201295"/>
                <wp:effectExtent l="0" t="0" r="0" b="8255"/>
                <wp:wrapTight wrapText="bothSides">
                  <wp:wrapPolygon edited="0">
                    <wp:start x="0" y="0"/>
                    <wp:lineTo x="0" y="20442"/>
                    <wp:lineTo x="21502" y="20442"/>
                    <wp:lineTo x="21502" y="0"/>
                    <wp:lineTo x="0" y="0"/>
                  </wp:wrapPolygon>
                </wp:wrapTight>
                <wp:docPr id="13" name="Textové pole 13"/>
                <wp:cNvGraphicFramePr/>
                <a:graphic xmlns:a="http://schemas.openxmlformats.org/drawingml/2006/main">
                  <a:graphicData uri="http://schemas.microsoft.com/office/word/2010/wordprocessingShape">
                    <wps:wsp>
                      <wps:cNvSpPr txBox="1"/>
                      <wps:spPr>
                        <a:xfrm>
                          <a:off x="0" y="0"/>
                          <a:ext cx="6028055" cy="201295"/>
                        </a:xfrm>
                        <a:prstGeom prst="rect">
                          <a:avLst/>
                        </a:prstGeom>
                        <a:solidFill>
                          <a:prstClr val="white"/>
                        </a:solidFill>
                        <a:ln>
                          <a:noFill/>
                        </a:ln>
                        <a:effectLst/>
                      </wps:spPr>
                      <wps:txbx>
                        <w:txbxContent>
                          <w:p w:rsidR="000D73F8" w:rsidRPr="009540A8" w:rsidRDefault="000D73F8" w:rsidP="00C442AF">
                            <w:pPr>
                              <w:pStyle w:val="Titulek"/>
                              <w:rPr>
                                <w:sz w:val="24"/>
                              </w:rPr>
                            </w:pPr>
                            <w:bookmarkStart w:id="15" w:name="_Toc476556283"/>
                            <w:r>
                              <w:t xml:space="preserve">Graf č.: </w:t>
                            </w:r>
                            <w:r w:rsidR="00AB7C96">
                              <w:fldChar w:fldCharType="begin"/>
                            </w:r>
                            <w:r w:rsidR="00AB7C96">
                              <w:instrText xml:space="preserve"> SEQ Graf_č.: \* ARABIC </w:instrText>
                            </w:r>
                            <w:r w:rsidR="00AB7C96">
                              <w:fldChar w:fldCharType="separate"/>
                            </w:r>
                            <w:r>
                              <w:rPr>
                                <w:noProof/>
                              </w:rPr>
                              <w:t>6</w:t>
                            </w:r>
                            <w:r w:rsidR="00AB7C96">
                              <w:rPr>
                                <w:noProof/>
                              </w:rPr>
                              <w:fldChar w:fldCharType="end"/>
                            </w:r>
                            <w:r>
                              <w:t xml:space="preserve"> Počet </w:t>
                            </w:r>
                            <w:proofErr w:type="spellStart"/>
                            <w:r>
                              <w:t>UoZ</w:t>
                            </w:r>
                            <w:proofErr w:type="spellEnd"/>
                            <w:r>
                              <w:t xml:space="preserve"> na VPM, srovnání září 2016/prosinec 2016</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3" o:spid="_x0000_s1026" type="#_x0000_t202" style="position:absolute;left:0;text-align:left;margin-left:.2pt;margin-top:155.75pt;width:474.65pt;height:1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" stroked="f">
                <v:textbox inset="0,0,0,0">
                  <w:txbxContent>
                    <w:p w:rsidR="000D73F8" w:rsidRPr="009540A8" w:rsidRDefault="000D73F8" w:rsidP="00C442AF">
                      <w:pPr>
                        <w:pStyle w:val="Titulek"/>
                        <w:rPr>
                          <w:sz w:val="24"/>
                        </w:rPr>
                      </w:pPr>
                      <w:bookmarkStart w:id="15" w:name="_Toc476556283"/>
                      <w:r>
                        <w:t xml:space="preserve">Graf č.: </w:t>
                      </w:r>
                      <w:fldSimple w:instr=" SEQ Graf_č.: \* ARABIC ">
                        <w:r>
                          <w:rPr>
                            <w:noProof/>
                          </w:rPr>
                          <w:t>6</w:t>
                        </w:r>
                      </w:fldSimple>
                      <w:r>
                        <w:t xml:space="preserve"> Počet </w:t>
                      </w:r>
                      <w:proofErr w:type="spellStart"/>
                      <w:r>
                        <w:t>UoZ</w:t>
                      </w:r>
                      <w:proofErr w:type="spellEnd"/>
                      <w:r>
                        <w:t xml:space="preserve"> na VPM, srovnání září 2016/prosinec 2016</w:t>
                      </w:r>
                      <w:bookmarkEnd w:id="15"/>
                    </w:p>
                  </w:txbxContent>
                </v:textbox>
                <w10:wrap type="tight"/>
              </v:shape>
            </w:pict>
          </mc:Fallback>
        </mc:AlternateContent>
      </w:r>
      <w:r w:rsidR="00064A77">
        <w:rPr>
          <w:noProof/>
          <w:lang w:eastAsia="cs-CZ"/>
        </w:rPr>
        <w:drawing>
          <wp:anchor distT="0" distB="0" distL="114300" distR="114300" simplePos="0" relativeHeight="251660288" behindDoc="1" locked="0" layoutInCell="1" allowOverlap="1" wp14:anchorId="306C66F9" wp14:editId="49B72C15">
            <wp:simplePos x="0" y="0"/>
            <wp:positionH relativeFrom="column">
              <wp:posOffset>-92075</wp:posOffset>
            </wp:positionH>
            <wp:positionV relativeFrom="paragraph">
              <wp:posOffset>2191385</wp:posOffset>
            </wp:positionV>
            <wp:extent cx="6038850" cy="2519680"/>
            <wp:effectExtent l="0" t="0" r="19050" b="13970"/>
            <wp:wrapTight wrapText="bothSides">
              <wp:wrapPolygon edited="0">
                <wp:start x="0" y="0"/>
                <wp:lineTo x="0" y="21556"/>
                <wp:lineTo x="21600" y="21556"/>
                <wp:lineTo x="21600" y="0"/>
                <wp:lineTo x="0" y="0"/>
              </wp:wrapPolygon>
            </wp:wrapTight>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B07FDA">
        <w:t>Nasycenost/nenasycenost trhu práce nejlépe vykresluje ukazat</w:t>
      </w:r>
      <w:r w:rsidR="00AE6880">
        <w:t>el počtu uchazečů o </w:t>
      </w:r>
      <w:r w:rsidR="00B07FDA">
        <w:t xml:space="preserve">zaměstnání připadajících na jedno volné pracovní </w:t>
      </w:r>
      <w:r w:rsidR="00AE6880">
        <w:t>místo. Jak je uvedeno v tabulce </w:t>
      </w:r>
      <w:r w:rsidR="00B07FDA">
        <w:t>č. 1 v počátku této kapitoly, v celorepublikovém průměru dosahuje tento ukazatel hodnoty 2,9 a ve sledovaném období 4</w:t>
      </w:r>
      <w:r w:rsidR="000901EA">
        <w:t>Q</w:t>
      </w:r>
      <w:r w:rsidR="00B07FDA">
        <w:t xml:space="preserve"> 2016 oproti předcházejícímu 3</w:t>
      </w:r>
      <w:r w:rsidR="000901EA">
        <w:t xml:space="preserve">Q </w:t>
      </w:r>
      <w:r w:rsidR="00B07FDA">
        <w:t>2016 mírně narost</w:t>
      </w:r>
      <w:r w:rsidR="00D5054B">
        <w:t>l, a to o 0,2 z hodnoty 2,7. O </w:t>
      </w:r>
      <w:r w:rsidR="00B07FDA">
        <w:t xml:space="preserve">jedno ohlášené VPM se tak ucházejí téměř tři uchazeči o zaměstnání. Pro srovnání v prosinci 2007 to bylo 2,5 </w:t>
      </w:r>
      <w:proofErr w:type="spellStart"/>
      <w:r w:rsidR="00B07FDA">
        <w:t>UoZ</w:t>
      </w:r>
      <w:proofErr w:type="spellEnd"/>
      <w:r w:rsidR="00B07FDA">
        <w:t xml:space="preserve">/VPM v prosinci roku 2015 4,4 </w:t>
      </w:r>
      <w:proofErr w:type="spellStart"/>
      <w:r w:rsidR="00B07FDA">
        <w:t>UoZ</w:t>
      </w:r>
      <w:proofErr w:type="spellEnd"/>
      <w:r w:rsidR="00B07FDA">
        <w:t>/VPM. Jak bylo uvedeno výše, rozložení nabídky a</w:t>
      </w:r>
      <w:r w:rsidR="000901EA">
        <w:t> </w:t>
      </w:r>
      <w:r w:rsidR="00B07FDA">
        <w:t xml:space="preserve">poptávky není regionálně rovnoměrné, disproporce v nasycenosti pracovního trhu jsou však patrné i z pohledu hlavních tříd zaměstnání. Tuto disproporci vyjadřujeme v níže uvedeném grafu prostřednictvím ukazatele počtu </w:t>
      </w:r>
      <w:proofErr w:type="spellStart"/>
      <w:r w:rsidR="00B07FDA">
        <w:t>UoZ</w:t>
      </w:r>
      <w:proofErr w:type="spellEnd"/>
      <w:r w:rsidR="00B07FDA">
        <w:t xml:space="preserve"> na jedno VPM.</w:t>
      </w:r>
    </w:p>
    <w:p w:rsidR="00526EEC" w:rsidRDefault="00D806DD" w:rsidP="00484D3B">
      <w:pPr>
        <w:spacing w:after="200" w:line="240" w:lineRule="auto"/>
        <w:rPr>
          <w:i/>
        </w:rPr>
      </w:pPr>
      <w:r>
        <w:t xml:space="preserve">Jak je patrné z uvedeného grafu č. 6, nejvyšší přebytek pracovní síly panuje v třídě </w:t>
      </w:r>
      <w:r>
        <w:rPr>
          <w:i/>
        </w:rPr>
        <w:t>Úředníci</w:t>
      </w:r>
      <w:r>
        <w:t>,</w:t>
      </w:r>
      <w:r w:rsidR="00C442AF">
        <w:t xml:space="preserve"> a to v delším časovém horizontu. Aktuálně ve sledovaném období následuje</w:t>
      </w:r>
      <w:r>
        <w:t xml:space="preserve"> tříd</w:t>
      </w:r>
      <w:r w:rsidR="00C442AF">
        <w:t>a</w:t>
      </w:r>
      <w:r>
        <w:t xml:space="preserve"> zaměstnanců v oblasti zemědělství, lesnictví a rybářství</w:t>
      </w:r>
      <w:r w:rsidR="00164959">
        <w:t>, kde je v </w:t>
      </w:r>
      <w:r w:rsidR="00C442AF">
        <w:t>důsledku ukončování sezónních prací patrný nárůst mezi sledovanými obdobími.</w:t>
      </w:r>
      <w:r>
        <w:t xml:space="preserve"> </w:t>
      </w:r>
      <w:r w:rsidR="00C442AF">
        <w:t>Oproti celorepublikovému průměru se více uchazečů o zaměstnání uchází o jedno pracovní místo ve třídě</w:t>
      </w:r>
      <w:r>
        <w:t xml:space="preserve"> </w:t>
      </w:r>
      <w:r>
        <w:rPr>
          <w:i/>
        </w:rPr>
        <w:t>Pomocní a nekvalifikovaní pracovníci</w:t>
      </w:r>
      <w:r w:rsidR="00C442AF">
        <w:t>, v níž lze rovněž sledovat mírný nárůst.</w:t>
      </w:r>
      <w:r w:rsidR="004B5C8E">
        <w:t xml:space="preserve"> Tato poslední skupina je zároveň charakterizována vysokým počtem hlášených VPM, jak ukazuje graf č. 1. Z početně významně zastoupených tříd zaměstnání mezi VPM tak lze sledovat relat</w:t>
      </w:r>
      <w:r w:rsidR="00D5054B">
        <w:t>ivní nedostatek pracovní síly u </w:t>
      </w:r>
      <w:r w:rsidR="004B5C8E">
        <w:t xml:space="preserve">skupiny </w:t>
      </w:r>
      <w:r w:rsidR="004B5C8E">
        <w:rPr>
          <w:i/>
        </w:rPr>
        <w:t>Obsluha strojů, zařízení, montéři</w:t>
      </w:r>
      <w:r w:rsidR="004B5C8E">
        <w:t xml:space="preserve"> a mezi třídami </w:t>
      </w:r>
      <w:r w:rsidR="004B5C8E">
        <w:rPr>
          <w:i/>
        </w:rPr>
        <w:t>Specialisté</w:t>
      </w:r>
      <w:r w:rsidR="004B5C8E">
        <w:t xml:space="preserve"> a </w:t>
      </w:r>
      <w:r w:rsidR="00164959">
        <w:rPr>
          <w:i/>
        </w:rPr>
        <w:t>Techničtí a </w:t>
      </w:r>
      <w:r w:rsidR="004B5C8E">
        <w:rPr>
          <w:i/>
        </w:rPr>
        <w:t>odborní pracovníci</w:t>
      </w:r>
      <w:r w:rsidR="00C442AF">
        <w:t>, přičemž v případě specialistů počet dostupných nezaměstnaných na hlášená pracovní místa oproti konci září 2016 dokonce poklesl.</w:t>
      </w:r>
      <w:r w:rsidR="0009627B">
        <w:t xml:space="preserve"> Nedostatek volné pracovní síly je patrný rovněž ve třídě </w:t>
      </w:r>
      <w:r w:rsidR="00193EA4">
        <w:rPr>
          <w:i/>
        </w:rPr>
        <w:t>Řemeslníci a </w:t>
      </w:r>
      <w:r w:rsidR="0009627B">
        <w:rPr>
          <w:i/>
        </w:rPr>
        <w:t>opraváři.</w:t>
      </w:r>
    </w:p>
    <w:p w:rsidR="00AE6880" w:rsidRDefault="00AE6880" w:rsidP="00484D3B">
      <w:pPr>
        <w:pStyle w:val="Nadpis3"/>
      </w:pPr>
      <w:bookmarkStart w:id="16" w:name="_Toc476556227"/>
      <w:r>
        <w:t>VPM pro cizince</w:t>
      </w:r>
      <w:bookmarkEnd w:id="16"/>
    </w:p>
    <w:p w:rsidR="000F473F" w:rsidRDefault="000F473F" w:rsidP="00484D3B">
      <w:pPr>
        <w:spacing w:after="200" w:line="240" w:lineRule="auto"/>
      </w:pPr>
      <w:r>
        <w:t xml:space="preserve">V posledním </w:t>
      </w:r>
      <w:r w:rsidR="000901EA">
        <w:t xml:space="preserve">čtvrtletí </w:t>
      </w:r>
      <w:r>
        <w:t>loňského roku došlo rovněž k mírnému nárůstu podílu volných pracovních míst, která jsou ze strany zaměstnavatelů označena jako VPM vhodná k umístění cizinců. K 31. 12. 2016 evidoval ÚP ČR takovýchto míst 48 731 z celkového počtu VPM, tj. zhruba 36,8 % všech ohlášených VPM. Oproti stavu předešlé zprávy se jedná o nárůst podílu o 8,6 p. b.</w:t>
      </w:r>
      <w:r w:rsidR="00193EA4">
        <w:t>, v absolutním počtu se jedná o </w:t>
      </w:r>
      <w:r>
        <w:t xml:space="preserve">nárůst 8 896 VPM. Následující graf ukazuje na rozložení podílu VPM vhodných pro cizince na počtu VPM v jednotlivých hl. třídách zaměstnání podle kategorizace CZ-ISCO v komparaci s počtem </w:t>
      </w:r>
      <w:proofErr w:type="spellStart"/>
      <w:r>
        <w:t>UoZ</w:t>
      </w:r>
      <w:proofErr w:type="spellEnd"/>
      <w:r>
        <w:t xml:space="preserve"> na VPM.</w:t>
      </w:r>
    </w:p>
    <w:p w:rsidR="007128B9" w:rsidRDefault="00AB0A51" w:rsidP="008D5084">
      <w:pPr>
        <w:pStyle w:val="Titulek"/>
      </w:pPr>
      <w:bookmarkStart w:id="17" w:name="_Toc476556284"/>
      <w:r>
        <w:t xml:space="preserve">Graf č.: </w:t>
      </w:r>
      <w:r w:rsidR="00AB7C96">
        <w:fldChar w:fldCharType="begin"/>
      </w:r>
      <w:r w:rsidR="00AB7C96">
        <w:instrText xml:space="preserve"> SEQ Graf</w:instrText>
      </w:r>
      <w:r w:rsidR="00AB7C96">
        <w:instrText xml:space="preserve">_č.: \* ARABIC </w:instrText>
      </w:r>
      <w:r w:rsidR="00AB7C96">
        <w:fldChar w:fldCharType="separate"/>
      </w:r>
      <w:r w:rsidR="004A5D48">
        <w:rPr>
          <w:noProof/>
        </w:rPr>
        <w:t>7</w:t>
      </w:r>
      <w:r w:rsidR="00AB7C96">
        <w:rPr>
          <w:noProof/>
        </w:rPr>
        <w:fldChar w:fldCharType="end"/>
      </w:r>
      <w:r>
        <w:t xml:space="preserve"> Podíl VPM hlášených jako vhodná pro cizince podle hl. tříd zaměstnání k 31. 12. 2016</w:t>
      </w:r>
      <w:bookmarkEnd w:id="17"/>
      <w:r w:rsidR="007128B9">
        <w:rPr>
          <w:noProof/>
          <w:lang w:eastAsia="cs-CZ"/>
        </w:rPr>
        <w:drawing>
          <wp:inline distT="0" distB="0" distL="0" distR="0" wp14:anchorId="1BF76FE7" wp14:editId="7E8CBF11">
            <wp:extent cx="6198782" cy="2509284"/>
            <wp:effectExtent l="0" t="0" r="12065" b="24765"/>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E6880" w:rsidRDefault="00AE6880" w:rsidP="00AB0A51">
      <w:pPr>
        <w:pStyle w:val="Nadpis3"/>
        <w:spacing w:before="240" w:after="120"/>
        <w:ind w:left="788" w:hanging="431"/>
      </w:pPr>
      <w:bookmarkStart w:id="18" w:name="_Toc476556228"/>
      <w:r w:rsidRPr="00286F14">
        <w:t>Průměrný</w:t>
      </w:r>
      <w:r>
        <w:t xml:space="preserve"> výdělek</w:t>
      </w:r>
      <w:bookmarkEnd w:id="18"/>
    </w:p>
    <w:p w:rsidR="00D5054B" w:rsidRDefault="00D5054B" w:rsidP="00484D3B">
      <w:pPr>
        <w:spacing w:after="200" w:line="240" w:lineRule="auto"/>
      </w:pPr>
      <w:r>
        <w:t xml:space="preserve">Primárním, avšak nikoliv jediným, motivačním prvkem na poptávkové straně trhu práce je odměna za vykonanou práci, tj. mzda nebo plat, popřípadě odměna z dohody. Stávající situace na trhu práce pozitivně ovlivňuje růst výdělků, přičemž zejména u profesí s nízkým výdělkem sehrává významný vliv rovněž růst minimální mzdy a s ní spojený nárůst minimálních zaručených mezd. </w:t>
      </w:r>
      <w:r w:rsidR="00F07193" w:rsidRPr="00C06386">
        <w:rPr>
          <w:szCs w:val="24"/>
        </w:rPr>
        <w:t>Průměrná mzda</w:t>
      </w:r>
      <w:r w:rsidR="00F07193" w:rsidRPr="00C06386">
        <w:rPr>
          <w:rFonts w:cs="Arial"/>
          <w:bCs/>
          <w:szCs w:val="24"/>
        </w:rPr>
        <w:t>, kterou MPSV používá pro účely zákona o zaměstnanosti</w:t>
      </w:r>
      <w:r w:rsidR="000901EA">
        <w:rPr>
          <w:rFonts w:cs="Arial"/>
          <w:bCs/>
          <w:szCs w:val="24"/>
        </w:rPr>
        <w:t>,</w:t>
      </w:r>
      <w:r w:rsidR="00F07193" w:rsidRPr="00C06386">
        <w:rPr>
          <w:rFonts w:cs="Arial"/>
          <w:bCs/>
          <w:szCs w:val="24"/>
        </w:rPr>
        <w:t xml:space="preserve"> v roce 2016 </w:t>
      </w:r>
      <w:r w:rsidR="00F07193" w:rsidRPr="00C06386">
        <w:rPr>
          <w:szCs w:val="24"/>
        </w:rPr>
        <w:t>činila 27 000 Kč, což je o 1 097 Kč více než v roce 2015.</w:t>
      </w:r>
    </w:p>
    <w:p w:rsidR="00D5054B" w:rsidRDefault="00D562F4" w:rsidP="00484D3B">
      <w:pPr>
        <w:spacing w:after="200" w:line="240" w:lineRule="auto"/>
      </w:pPr>
      <w:r>
        <w:t>Ve 3</w:t>
      </w:r>
      <w:r w:rsidR="000901EA">
        <w:t>Q</w:t>
      </w:r>
      <w:r>
        <w:t xml:space="preserve"> </w:t>
      </w:r>
      <w:r w:rsidR="000901EA">
        <w:t xml:space="preserve">2016 </w:t>
      </w:r>
      <w:r>
        <w:t xml:space="preserve">dosáhla </w:t>
      </w:r>
      <w:r w:rsidRPr="00D562F4">
        <w:rPr>
          <w:b/>
        </w:rPr>
        <w:t xml:space="preserve">výše průměrného </w:t>
      </w:r>
      <w:r w:rsidR="000901EA">
        <w:rPr>
          <w:b/>
        </w:rPr>
        <w:t xml:space="preserve">měsíčního </w:t>
      </w:r>
      <w:r w:rsidRPr="00D562F4">
        <w:rPr>
          <w:b/>
        </w:rPr>
        <w:t>hrubého výdělku</w:t>
      </w:r>
      <w:r>
        <w:t xml:space="preserve"> dle Informačního systému o</w:t>
      </w:r>
      <w:r w:rsidR="000901EA">
        <w:t> </w:t>
      </w:r>
      <w:r>
        <w:t xml:space="preserve">průměrném výdělku hodnoty </w:t>
      </w:r>
      <w:r>
        <w:rPr>
          <w:b/>
        </w:rPr>
        <w:t>28 215 Kč</w:t>
      </w:r>
      <w:r>
        <w:t>, mediánová hodnota pak 24</w:t>
      </w:r>
      <w:r w:rsidR="000901EA">
        <w:t> </w:t>
      </w:r>
      <w:r>
        <w:t>450</w:t>
      </w:r>
      <w:r w:rsidR="000901EA">
        <w:t> </w:t>
      </w:r>
      <w:r>
        <w:t>Kč/měsíc. V meziročním srovnání došlo ke zvýšení průměrného výdělku o</w:t>
      </w:r>
      <w:r w:rsidR="000901EA">
        <w:t> </w:t>
      </w:r>
      <w:r>
        <w:t>4,7</w:t>
      </w:r>
      <w:r w:rsidR="000901EA">
        <w:t> </w:t>
      </w:r>
      <w:r>
        <w:t>%, mediánu dokonce o 5,2 %, což poukazuje na velmi mírné nivelizování mezi nejvyššími a nejnižšími výdělky. Mírně vyšší jsou výdělky ve mzdové sféře (průměr – 28</w:t>
      </w:r>
      <w:r w:rsidR="000901EA">
        <w:t> </w:t>
      </w:r>
      <w:r>
        <w:t>311</w:t>
      </w:r>
      <w:r w:rsidR="000901EA">
        <w:t xml:space="preserve"> Kč</w:t>
      </w:r>
      <w:r>
        <w:t>, medián – 23</w:t>
      </w:r>
      <w:r w:rsidR="000901EA">
        <w:t> </w:t>
      </w:r>
      <w:r>
        <w:t>965</w:t>
      </w:r>
      <w:r w:rsidR="000901EA">
        <w:t xml:space="preserve"> Kč</w:t>
      </w:r>
      <w:r>
        <w:t>) než ve sféře platové, která se naopak vyznačuje vyšší nivelizací výdělků (průměr – 27</w:t>
      </w:r>
      <w:r w:rsidR="000901EA">
        <w:t> </w:t>
      </w:r>
      <w:r>
        <w:t>782</w:t>
      </w:r>
      <w:r w:rsidR="000901EA">
        <w:t xml:space="preserve"> Kč</w:t>
      </w:r>
      <w:r>
        <w:t>, medián – 26</w:t>
      </w:r>
      <w:r w:rsidR="000901EA">
        <w:t> </w:t>
      </w:r>
      <w:r>
        <w:t>204</w:t>
      </w:r>
      <w:r w:rsidR="000901EA">
        <w:t xml:space="preserve"> Kč</w:t>
      </w:r>
      <w:r>
        <w:t xml:space="preserve">). </w:t>
      </w:r>
    </w:p>
    <w:p w:rsidR="002B6A5F" w:rsidRPr="003E48B4" w:rsidRDefault="002B6A5F" w:rsidP="00484D3B">
      <w:pPr>
        <w:spacing w:after="200" w:line="240" w:lineRule="auto"/>
      </w:pPr>
      <w:r>
        <w:t xml:space="preserve">Výrazný je však nadále </w:t>
      </w:r>
      <w:r w:rsidRPr="00AB0A51">
        <w:t>genderový rozdíl výdělků</w:t>
      </w:r>
      <w:r>
        <w:t xml:space="preserve"> a to jak ve mzdové, tak platové sféře. </w:t>
      </w:r>
      <w:r w:rsidRPr="00AB0A51">
        <w:rPr>
          <w:b/>
        </w:rPr>
        <w:t>V 1. pololetí 2016 v případě mediánovýc</w:t>
      </w:r>
      <w:r w:rsidR="000A0CD4" w:rsidRPr="000A0CD4">
        <w:rPr>
          <w:b/>
        </w:rPr>
        <w:t>h mezd činil rozdíl mezi muži a</w:t>
      </w:r>
      <w:r w:rsidR="000A0CD4">
        <w:rPr>
          <w:b/>
        </w:rPr>
        <w:t> </w:t>
      </w:r>
      <w:r w:rsidRPr="00AB0A51">
        <w:rPr>
          <w:b/>
        </w:rPr>
        <w:t>ženami 5 037 Kč, u průměru dokonce 7 524 Kč</w:t>
      </w:r>
      <w:r w:rsidR="004C0803">
        <w:rPr>
          <w:rStyle w:val="Znakapoznpodarou"/>
        </w:rPr>
        <w:footnoteReference w:id="3"/>
      </w:r>
      <w:r w:rsidR="000A0CD4">
        <w:t>. Jak vyplývá z tabulky níže, dochází k mírné nivelizaci rozdílu u mediánových mezd, u průměrných však nikoliv. Důvodem může být vyšší nivelizace u nízkopříjmových skupin, u vyšších výdělků však nikoliv. Nejmarkantnější rozdíl v odměňování mužů a žen je ve věkové skupině 40 – 49 let, kde rozdíl u průměrné mzdy mezi ženami a muži činil v 1. polovině 2016 dokonce 10 702 Kč. Obdobně existují genderové disproporce i v platové sféře, nicméně tyto jsou o něco nižší. V případě mediánových platů činil v 1. pololetí roku 2016 rozdíl</w:t>
      </w:r>
      <w:r w:rsidR="001324AF">
        <w:t xml:space="preserve"> 3 928 Kč, v případě průměrných platů pak 5 589 Kč.</w:t>
      </w:r>
      <w:r w:rsidR="003E48B4">
        <w:t xml:space="preserve"> </w:t>
      </w:r>
      <w:r w:rsidR="003E48B4">
        <w:rPr>
          <w:b/>
        </w:rPr>
        <w:t>Při tom je nutno uvést, že mezi zaměstnanými ženami je vyšší podíl vysokoškolsky vzdělaných osob než v případě mužů</w:t>
      </w:r>
      <w:r w:rsidR="001C2CB3">
        <w:rPr>
          <w:b/>
        </w:rPr>
        <w:t xml:space="preserve"> </w:t>
      </w:r>
      <w:r w:rsidR="001C2CB3">
        <w:t>(aktuálně o 3,1 p. b.)</w:t>
      </w:r>
      <w:r w:rsidR="003E48B4">
        <w:rPr>
          <w:b/>
        </w:rPr>
        <w:t xml:space="preserve">, </w:t>
      </w:r>
      <w:r w:rsidR="003E48B4" w:rsidRPr="00AB0A51">
        <w:t>a to jak mezi zaměstnanci, tak mezi</w:t>
      </w:r>
      <w:r w:rsidR="001C2CB3">
        <w:rPr>
          <w:rStyle w:val="Znakapoznpodarou"/>
        </w:rPr>
        <w:t xml:space="preserve"> </w:t>
      </w:r>
      <w:r w:rsidR="001C2CB3" w:rsidRPr="001C2CB3">
        <w:rPr>
          <w:rStyle w:val="Znakapoznpodarou"/>
          <w:vertAlign w:val="baseline"/>
        </w:rPr>
        <w:t>pracujícími na vlastní účet, potažmo zaměstnavateli</w:t>
      </w:r>
      <w:r w:rsidR="001C2CB3">
        <w:t xml:space="preserve"> (v tomto případě dokonce o 9,6 p. b.)</w:t>
      </w:r>
      <w:r w:rsidR="003E48B4">
        <w:rPr>
          <w:rStyle w:val="Znakapoznpodarou"/>
          <w:b/>
        </w:rPr>
        <w:footnoteReference w:id="4"/>
      </w:r>
      <w:r w:rsidR="003E48B4">
        <w:t>.</w:t>
      </w:r>
    </w:p>
    <w:p w:rsidR="00D562F4" w:rsidRDefault="00D562F4" w:rsidP="00484D3B">
      <w:pPr>
        <w:spacing w:after="200" w:line="240" w:lineRule="auto"/>
      </w:pPr>
      <w:r>
        <w:t xml:space="preserve">Výsledky podle kategorizace CZ-ISCO nejsou za </w:t>
      </w:r>
      <w:r w:rsidR="00A70D05">
        <w:t>rok</w:t>
      </w:r>
      <w:r>
        <w:t xml:space="preserve"> 2016 v rámci </w:t>
      </w:r>
      <w:r w:rsidR="00741B62">
        <w:t xml:space="preserve">ISPV dosud zveřejněny, níže proto uvádíme vývoj za rok 2015 a 1. pololetí roku 2016 ve vybraných </w:t>
      </w:r>
      <w:r w:rsidR="008828D3">
        <w:t>skupin</w:t>
      </w:r>
      <w:r w:rsidR="00741B62">
        <w:t>ách zaměstnání podle CZ-ISCO:</w:t>
      </w:r>
    </w:p>
    <w:p w:rsidR="008828D3" w:rsidRDefault="008828D3" w:rsidP="00484D3B">
      <w:pPr>
        <w:pStyle w:val="Titulek"/>
        <w:keepNext/>
      </w:pPr>
      <w:bookmarkStart w:id="19" w:name="_Toc476556297"/>
      <w:r>
        <w:t xml:space="preserve">Tabulka </w:t>
      </w:r>
      <w:r w:rsidR="00AB7C96">
        <w:fldChar w:fldCharType="begin"/>
      </w:r>
      <w:r w:rsidR="00AB7C96">
        <w:instrText xml:space="preserve"> SEQ Tabulka \* ARABIC </w:instrText>
      </w:r>
      <w:r w:rsidR="00AB7C96">
        <w:fldChar w:fldCharType="separate"/>
      </w:r>
      <w:r w:rsidR="004A5D48">
        <w:rPr>
          <w:noProof/>
        </w:rPr>
        <w:t>3</w:t>
      </w:r>
      <w:r w:rsidR="00AB7C96">
        <w:rPr>
          <w:noProof/>
        </w:rPr>
        <w:fldChar w:fldCharType="end"/>
      </w:r>
      <w:r>
        <w:t xml:space="preserve"> Vývoj mezd ve vybraných skupinách zaměstnání podle CZ-ISCO</w:t>
      </w:r>
      <w:r w:rsidR="000901EA">
        <w:t xml:space="preserve"> (v Kč/měsíc)</w:t>
      </w:r>
      <w:r w:rsidR="00C37A04">
        <w:rPr>
          <w:rStyle w:val="Znakapoznpodarou"/>
          <w:rFonts w:eastAsia="Times New Roman" w:cs="Arial"/>
          <w:b w:val="0"/>
          <w:bCs w:val="0"/>
          <w:lang w:eastAsia="cs-CZ"/>
        </w:rPr>
        <w:footnoteReference w:id="5"/>
      </w:r>
      <w:bookmarkEnd w:id="19"/>
    </w:p>
    <w:tbl>
      <w:tblPr>
        <w:tblW w:w="92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4"/>
        <w:gridCol w:w="4205"/>
        <w:gridCol w:w="861"/>
        <w:gridCol w:w="902"/>
        <w:gridCol w:w="904"/>
        <w:gridCol w:w="903"/>
        <w:gridCol w:w="904"/>
      </w:tblGrid>
      <w:tr w:rsidR="001376A1" w:rsidTr="00AB0A51">
        <w:trPr>
          <w:trHeight w:val="408"/>
        </w:trPr>
        <w:tc>
          <w:tcPr>
            <w:tcW w:w="5650" w:type="dxa"/>
            <w:gridSpan w:val="3"/>
            <w:vMerge w:val="restart"/>
            <w:vAlign w:val="center"/>
            <w:hideMark/>
          </w:tcPr>
          <w:p w:rsidR="001376A1" w:rsidRDefault="001376A1" w:rsidP="00484D3B">
            <w:pPr>
              <w:spacing w:line="240" w:lineRule="auto"/>
              <w:jc w:val="center"/>
              <w:rPr>
                <w:rFonts w:eastAsia="Times New Roman" w:cs="Arial"/>
                <w:b/>
                <w:bCs/>
                <w:sz w:val="18"/>
                <w:szCs w:val="18"/>
                <w:lang w:eastAsia="cs-CZ"/>
              </w:rPr>
            </w:pPr>
            <w:r>
              <w:rPr>
                <w:rFonts w:eastAsia="Times New Roman" w:cs="Arial"/>
                <w:b/>
                <w:bCs/>
                <w:sz w:val="18"/>
                <w:szCs w:val="18"/>
                <w:lang w:eastAsia="cs-CZ"/>
              </w:rPr>
              <w:t xml:space="preserve">CZ ISCO </w:t>
            </w:r>
          </w:p>
        </w:tc>
        <w:tc>
          <w:tcPr>
            <w:tcW w:w="1806" w:type="dxa"/>
            <w:gridSpan w:val="2"/>
            <w:vAlign w:val="center"/>
            <w:hideMark/>
          </w:tcPr>
          <w:p w:rsidR="001376A1" w:rsidRDefault="001376A1" w:rsidP="00484D3B">
            <w:pPr>
              <w:spacing w:line="240" w:lineRule="auto"/>
              <w:jc w:val="center"/>
              <w:rPr>
                <w:rFonts w:eastAsia="Times New Roman" w:cs="Arial"/>
                <w:b/>
                <w:bCs/>
                <w:sz w:val="18"/>
                <w:szCs w:val="18"/>
                <w:lang w:eastAsia="cs-CZ"/>
              </w:rPr>
            </w:pPr>
            <w:r>
              <w:rPr>
                <w:rFonts w:eastAsia="Times New Roman" w:cs="Arial"/>
                <w:b/>
                <w:bCs/>
                <w:sz w:val="18"/>
                <w:szCs w:val="18"/>
                <w:lang w:eastAsia="cs-CZ"/>
              </w:rPr>
              <w:t>2015</w:t>
            </w:r>
          </w:p>
        </w:tc>
        <w:tc>
          <w:tcPr>
            <w:tcW w:w="1807" w:type="dxa"/>
            <w:gridSpan w:val="2"/>
            <w:vAlign w:val="center"/>
          </w:tcPr>
          <w:p w:rsidR="001376A1" w:rsidRDefault="001376A1" w:rsidP="00484D3B">
            <w:pPr>
              <w:spacing w:line="240" w:lineRule="auto"/>
              <w:jc w:val="center"/>
              <w:rPr>
                <w:rFonts w:eastAsia="Times New Roman" w:cs="Arial"/>
                <w:b/>
                <w:bCs/>
                <w:sz w:val="18"/>
                <w:szCs w:val="18"/>
                <w:lang w:eastAsia="cs-CZ"/>
              </w:rPr>
            </w:pPr>
            <w:r>
              <w:rPr>
                <w:rFonts w:eastAsia="Times New Roman" w:cs="Arial"/>
                <w:b/>
                <w:bCs/>
                <w:sz w:val="18"/>
                <w:szCs w:val="18"/>
                <w:lang w:eastAsia="cs-CZ"/>
              </w:rPr>
              <w:t>1. pololetí 2016</w:t>
            </w:r>
          </w:p>
        </w:tc>
      </w:tr>
      <w:tr w:rsidR="001376A1" w:rsidTr="00AB0A51">
        <w:trPr>
          <w:trHeight w:val="412"/>
        </w:trPr>
        <w:tc>
          <w:tcPr>
            <w:tcW w:w="5650" w:type="dxa"/>
            <w:gridSpan w:val="3"/>
            <w:vMerge/>
            <w:noWrap/>
            <w:vAlign w:val="center"/>
          </w:tcPr>
          <w:p w:rsidR="001376A1" w:rsidRDefault="001376A1" w:rsidP="00484D3B">
            <w:pPr>
              <w:spacing w:line="240" w:lineRule="auto"/>
              <w:rPr>
                <w:rFonts w:cs="Arial"/>
                <w:sz w:val="20"/>
                <w:szCs w:val="20"/>
              </w:rPr>
            </w:pPr>
          </w:p>
        </w:tc>
        <w:tc>
          <w:tcPr>
            <w:tcW w:w="902" w:type="dxa"/>
            <w:noWrap/>
            <w:vAlign w:val="center"/>
          </w:tcPr>
          <w:p w:rsidR="001376A1" w:rsidRDefault="001376A1" w:rsidP="00484D3B">
            <w:pPr>
              <w:spacing w:line="240" w:lineRule="auto"/>
              <w:jc w:val="center"/>
              <w:rPr>
                <w:rFonts w:eastAsia="Times New Roman" w:cs="Arial"/>
                <w:sz w:val="20"/>
                <w:szCs w:val="20"/>
                <w:lang w:eastAsia="cs-CZ"/>
              </w:rPr>
            </w:pPr>
            <w:r>
              <w:rPr>
                <w:rFonts w:eastAsia="Times New Roman" w:cs="Arial"/>
                <w:sz w:val="20"/>
                <w:szCs w:val="20"/>
                <w:lang w:eastAsia="cs-CZ"/>
              </w:rPr>
              <w:t>medián</w:t>
            </w:r>
          </w:p>
        </w:tc>
        <w:tc>
          <w:tcPr>
            <w:tcW w:w="904" w:type="dxa"/>
            <w:vAlign w:val="center"/>
          </w:tcPr>
          <w:p w:rsidR="001376A1" w:rsidRDefault="001376A1" w:rsidP="00484D3B">
            <w:pPr>
              <w:spacing w:line="240" w:lineRule="auto"/>
              <w:jc w:val="center"/>
              <w:rPr>
                <w:rFonts w:eastAsia="Times New Roman" w:cs="Arial"/>
                <w:sz w:val="20"/>
                <w:szCs w:val="20"/>
                <w:lang w:eastAsia="cs-CZ"/>
              </w:rPr>
            </w:pPr>
            <w:r>
              <w:rPr>
                <w:rFonts w:eastAsia="Times New Roman" w:cs="Arial"/>
                <w:sz w:val="20"/>
                <w:szCs w:val="20"/>
                <w:lang w:eastAsia="cs-CZ"/>
              </w:rPr>
              <w:t>průměr</w:t>
            </w:r>
          </w:p>
        </w:tc>
        <w:tc>
          <w:tcPr>
            <w:tcW w:w="903" w:type="dxa"/>
            <w:vAlign w:val="center"/>
          </w:tcPr>
          <w:p w:rsidR="001376A1" w:rsidRDefault="001376A1" w:rsidP="00484D3B">
            <w:pPr>
              <w:spacing w:line="240" w:lineRule="auto"/>
              <w:jc w:val="center"/>
              <w:rPr>
                <w:rFonts w:eastAsia="Times New Roman" w:cs="Arial"/>
                <w:sz w:val="20"/>
                <w:szCs w:val="20"/>
                <w:lang w:eastAsia="cs-CZ"/>
              </w:rPr>
            </w:pPr>
            <w:r>
              <w:rPr>
                <w:rFonts w:eastAsia="Times New Roman" w:cs="Arial"/>
                <w:sz w:val="20"/>
                <w:szCs w:val="20"/>
                <w:lang w:eastAsia="cs-CZ"/>
              </w:rPr>
              <w:t>medián</w:t>
            </w:r>
          </w:p>
        </w:tc>
        <w:tc>
          <w:tcPr>
            <w:tcW w:w="904" w:type="dxa"/>
            <w:vAlign w:val="center"/>
          </w:tcPr>
          <w:p w:rsidR="001376A1" w:rsidRDefault="001376A1" w:rsidP="00484D3B">
            <w:pPr>
              <w:spacing w:line="240" w:lineRule="auto"/>
              <w:jc w:val="center"/>
              <w:rPr>
                <w:rFonts w:eastAsia="Times New Roman" w:cs="Arial"/>
                <w:sz w:val="20"/>
                <w:szCs w:val="20"/>
                <w:lang w:eastAsia="cs-CZ"/>
              </w:rPr>
            </w:pPr>
            <w:r>
              <w:rPr>
                <w:rFonts w:eastAsia="Times New Roman" w:cs="Arial"/>
                <w:sz w:val="20"/>
                <w:szCs w:val="20"/>
                <w:lang w:eastAsia="cs-CZ"/>
              </w:rPr>
              <w:t>průměr</w:t>
            </w:r>
          </w:p>
        </w:tc>
      </w:tr>
      <w:tr w:rsidR="00C37A04" w:rsidTr="00D5054B">
        <w:trPr>
          <w:trHeight w:val="360"/>
        </w:trPr>
        <w:tc>
          <w:tcPr>
            <w:tcW w:w="584" w:type="dxa"/>
            <w:noWrap/>
            <w:vAlign w:val="center"/>
          </w:tcPr>
          <w:p w:rsidR="00741B62" w:rsidRDefault="00741B62" w:rsidP="00484D3B">
            <w:pPr>
              <w:spacing w:line="240" w:lineRule="auto"/>
              <w:rPr>
                <w:rFonts w:cs="Arial"/>
                <w:sz w:val="20"/>
                <w:szCs w:val="20"/>
              </w:rPr>
            </w:pPr>
            <w:r>
              <w:rPr>
                <w:rFonts w:cs="Arial"/>
                <w:sz w:val="20"/>
                <w:szCs w:val="20"/>
              </w:rPr>
              <w:t>512</w:t>
            </w:r>
          </w:p>
        </w:tc>
        <w:tc>
          <w:tcPr>
            <w:tcW w:w="5066" w:type="dxa"/>
            <w:gridSpan w:val="2"/>
            <w:noWrap/>
            <w:vAlign w:val="center"/>
          </w:tcPr>
          <w:p w:rsidR="00741B62" w:rsidRDefault="00741B62" w:rsidP="00484D3B">
            <w:pPr>
              <w:spacing w:line="240" w:lineRule="auto"/>
              <w:rPr>
                <w:rFonts w:cs="Arial"/>
                <w:sz w:val="20"/>
                <w:szCs w:val="20"/>
              </w:rPr>
            </w:pPr>
            <w:r>
              <w:rPr>
                <w:rFonts w:cs="Arial"/>
                <w:sz w:val="20"/>
                <w:szCs w:val="20"/>
              </w:rPr>
              <w:t>Kuchaři (kromě šéfkuchařů), pomocní kuchaři</w:t>
            </w:r>
          </w:p>
        </w:tc>
        <w:tc>
          <w:tcPr>
            <w:tcW w:w="902" w:type="dxa"/>
            <w:noWrap/>
            <w:vAlign w:val="center"/>
          </w:tcPr>
          <w:p w:rsidR="00741B62" w:rsidRDefault="002503C3" w:rsidP="00484D3B">
            <w:pPr>
              <w:spacing w:line="240" w:lineRule="auto"/>
              <w:jc w:val="center"/>
              <w:rPr>
                <w:rFonts w:eastAsia="Times New Roman" w:cs="Arial"/>
                <w:sz w:val="20"/>
                <w:szCs w:val="20"/>
                <w:lang w:eastAsia="cs-CZ"/>
              </w:rPr>
            </w:pPr>
            <w:r>
              <w:rPr>
                <w:rFonts w:eastAsia="Times New Roman" w:cs="Arial"/>
                <w:sz w:val="20"/>
                <w:szCs w:val="20"/>
                <w:lang w:eastAsia="cs-CZ"/>
              </w:rPr>
              <w:t>12 512</w:t>
            </w:r>
          </w:p>
        </w:tc>
        <w:tc>
          <w:tcPr>
            <w:tcW w:w="904" w:type="dxa"/>
            <w:vAlign w:val="center"/>
          </w:tcPr>
          <w:p w:rsidR="00741B62" w:rsidRDefault="002503C3" w:rsidP="00484D3B">
            <w:pPr>
              <w:spacing w:line="240" w:lineRule="auto"/>
              <w:jc w:val="center"/>
              <w:rPr>
                <w:rFonts w:eastAsia="Times New Roman" w:cs="Arial"/>
                <w:sz w:val="20"/>
                <w:szCs w:val="20"/>
                <w:lang w:eastAsia="cs-CZ"/>
              </w:rPr>
            </w:pPr>
            <w:r>
              <w:rPr>
                <w:rFonts w:eastAsia="Times New Roman" w:cs="Arial"/>
                <w:sz w:val="20"/>
                <w:szCs w:val="20"/>
                <w:lang w:eastAsia="cs-CZ"/>
              </w:rPr>
              <w:t>14 504</w:t>
            </w:r>
          </w:p>
        </w:tc>
        <w:tc>
          <w:tcPr>
            <w:tcW w:w="903" w:type="dxa"/>
            <w:vAlign w:val="center"/>
          </w:tcPr>
          <w:p w:rsidR="00741B62" w:rsidRDefault="0031717A" w:rsidP="00484D3B">
            <w:pPr>
              <w:spacing w:line="240" w:lineRule="auto"/>
              <w:jc w:val="center"/>
              <w:rPr>
                <w:rFonts w:eastAsia="Times New Roman" w:cs="Arial"/>
                <w:sz w:val="20"/>
                <w:szCs w:val="20"/>
                <w:lang w:eastAsia="cs-CZ"/>
              </w:rPr>
            </w:pPr>
            <w:r>
              <w:rPr>
                <w:rFonts w:eastAsia="Times New Roman" w:cs="Arial"/>
                <w:sz w:val="20"/>
                <w:szCs w:val="20"/>
                <w:lang w:eastAsia="cs-CZ"/>
              </w:rPr>
              <w:t>13 112</w:t>
            </w:r>
          </w:p>
        </w:tc>
        <w:tc>
          <w:tcPr>
            <w:tcW w:w="904" w:type="dxa"/>
            <w:vAlign w:val="center"/>
          </w:tcPr>
          <w:p w:rsidR="00741B62" w:rsidRDefault="0031717A" w:rsidP="00484D3B">
            <w:pPr>
              <w:spacing w:line="240" w:lineRule="auto"/>
              <w:jc w:val="center"/>
              <w:rPr>
                <w:rFonts w:eastAsia="Times New Roman" w:cs="Arial"/>
                <w:sz w:val="20"/>
                <w:szCs w:val="20"/>
                <w:lang w:eastAsia="cs-CZ"/>
              </w:rPr>
            </w:pPr>
            <w:r>
              <w:rPr>
                <w:rFonts w:eastAsia="Times New Roman" w:cs="Arial"/>
                <w:sz w:val="20"/>
                <w:szCs w:val="20"/>
                <w:lang w:eastAsia="cs-CZ"/>
              </w:rPr>
              <w:t>15 109</w:t>
            </w:r>
          </w:p>
        </w:tc>
      </w:tr>
      <w:tr w:rsidR="00C37A04" w:rsidTr="00D5054B">
        <w:trPr>
          <w:trHeight w:val="360"/>
        </w:trPr>
        <w:tc>
          <w:tcPr>
            <w:tcW w:w="584" w:type="dxa"/>
            <w:noWrap/>
            <w:vAlign w:val="center"/>
          </w:tcPr>
          <w:p w:rsidR="00741B62" w:rsidRDefault="00741B62" w:rsidP="00484D3B">
            <w:pPr>
              <w:spacing w:line="240" w:lineRule="auto"/>
              <w:rPr>
                <w:rFonts w:cs="Arial"/>
                <w:sz w:val="20"/>
                <w:szCs w:val="20"/>
              </w:rPr>
            </w:pPr>
            <w:r>
              <w:rPr>
                <w:rFonts w:cs="Arial"/>
                <w:sz w:val="20"/>
                <w:szCs w:val="20"/>
              </w:rPr>
              <w:t>522</w:t>
            </w:r>
          </w:p>
        </w:tc>
        <w:tc>
          <w:tcPr>
            <w:tcW w:w="5066" w:type="dxa"/>
            <w:gridSpan w:val="2"/>
            <w:noWrap/>
            <w:vAlign w:val="center"/>
          </w:tcPr>
          <w:p w:rsidR="00741B62" w:rsidRDefault="00741B62" w:rsidP="00484D3B">
            <w:pPr>
              <w:spacing w:line="240" w:lineRule="auto"/>
              <w:rPr>
                <w:rFonts w:cs="Arial"/>
                <w:sz w:val="20"/>
                <w:szCs w:val="20"/>
              </w:rPr>
            </w:pPr>
            <w:r>
              <w:rPr>
                <w:rFonts w:cs="Arial"/>
                <w:sz w:val="20"/>
                <w:szCs w:val="20"/>
              </w:rPr>
              <w:t xml:space="preserve">Provozovatelé </w:t>
            </w:r>
            <w:proofErr w:type="spellStart"/>
            <w:r>
              <w:rPr>
                <w:rFonts w:cs="Arial"/>
                <w:sz w:val="20"/>
                <w:szCs w:val="20"/>
              </w:rPr>
              <w:t>maloob</w:t>
            </w:r>
            <w:proofErr w:type="spellEnd"/>
            <w:r>
              <w:rPr>
                <w:rFonts w:cs="Arial"/>
                <w:sz w:val="20"/>
                <w:szCs w:val="20"/>
              </w:rPr>
              <w:t xml:space="preserve">. a </w:t>
            </w:r>
            <w:proofErr w:type="spellStart"/>
            <w:r>
              <w:rPr>
                <w:rFonts w:cs="Arial"/>
                <w:sz w:val="20"/>
                <w:szCs w:val="20"/>
              </w:rPr>
              <w:t>velkoob</w:t>
            </w:r>
            <w:proofErr w:type="spellEnd"/>
            <w:r>
              <w:rPr>
                <w:rFonts w:cs="Arial"/>
                <w:sz w:val="20"/>
                <w:szCs w:val="20"/>
              </w:rPr>
              <w:t xml:space="preserve">. prodejen, prodavači </w:t>
            </w:r>
          </w:p>
        </w:tc>
        <w:tc>
          <w:tcPr>
            <w:tcW w:w="902" w:type="dxa"/>
            <w:noWrap/>
            <w:vAlign w:val="center"/>
          </w:tcPr>
          <w:p w:rsidR="00741B62" w:rsidRDefault="002503C3" w:rsidP="00484D3B">
            <w:pPr>
              <w:spacing w:line="240" w:lineRule="auto"/>
              <w:jc w:val="center"/>
              <w:rPr>
                <w:rFonts w:eastAsia="Times New Roman" w:cs="Arial"/>
                <w:sz w:val="20"/>
                <w:szCs w:val="20"/>
                <w:lang w:eastAsia="cs-CZ"/>
              </w:rPr>
            </w:pPr>
            <w:r>
              <w:rPr>
                <w:rFonts w:eastAsia="Times New Roman" w:cs="Arial"/>
                <w:sz w:val="20"/>
                <w:szCs w:val="20"/>
                <w:lang w:eastAsia="cs-CZ"/>
              </w:rPr>
              <w:t>15 757</w:t>
            </w:r>
          </w:p>
        </w:tc>
        <w:tc>
          <w:tcPr>
            <w:tcW w:w="904" w:type="dxa"/>
            <w:vAlign w:val="center"/>
          </w:tcPr>
          <w:p w:rsidR="00741B62" w:rsidRDefault="002503C3" w:rsidP="00484D3B">
            <w:pPr>
              <w:spacing w:line="240" w:lineRule="auto"/>
              <w:jc w:val="center"/>
              <w:rPr>
                <w:rFonts w:eastAsia="Times New Roman" w:cs="Arial"/>
                <w:sz w:val="20"/>
                <w:szCs w:val="20"/>
                <w:lang w:eastAsia="cs-CZ"/>
              </w:rPr>
            </w:pPr>
            <w:r>
              <w:rPr>
                <w:rFonts w:eastAsia="Times New Roman" w:cs="Arial"/>
                <w:sz w:val="20"/>
                <w:szCs w:val="20"/>
                <w:lang w:eastAsia="cs-CZ"/>
              </w:rPr>
              <w:t>17 483</w:t>
            </w:r>
          </w:p>
        </w:tc>
        <w:tc>
          <w:tcPr>
            <w:tcW w:w="903" w:type="dxa"/>
            <w:vAlign w:val="center"/>
          </w:tcPr>
          <w:p w:rsidR="00741B62" w:rsidRDefault="00D97B43" w:rsidP="00484D3B">
            <w:pPr>
              <w:spacing w:line="240" w:lineRule="auto"/>
              <w:jc w:val="center"/>
              <w:rPr>
                <w:rFonts w:eastAsia="Times New Roman" w:cs="Arial"/>
                <w:sz w:val="20"/>
                <w:szCs w:val="20"/>
                <w:lang w:eastAsia="cs-CZ"/>
              </w:rPr>
            </w:pPr>
            <w:r>
              <w:rPr>
                <w:rFonts w:eastAsia="Times New Roman" w:cs="Arial"/>
                <w:sz w:val="20"/>
                <w:szCs w:val="20"/>
                <w:lang w:eastAsia="cs-CZ"/>
              </w:rPr>
              <w:t>16 835</w:t>
            </w:r>
          </w:p>
        </w:tc>
        <w:tc>
          <w:tcPr>
            <w:tcW w:w="904" w:type="dxa"/>
            <w:vAlign w:val="center"/>
          </w:tcPr>
          <w:p w:rsidR="00741B62" w:rsidRDefault="00D97B43" w:rsidP="00484D3B">
            <w:pPr>
              <w:spacing w:line="240" w:lineRule="auto"/>
              <w:jc w:val="center"/>
              <w:rPr>
                <w:rFonts w:eastAsia="Times New Roman" w:cs="Arial"/>
                <w:sz w:val="20"/>
                <w:szCs w:val="20"/>
                <w:lang w:eastAsia="cs-CZ"/>
              </w:rPr>
            </w:pPr>
            <w:r>
              <w:rPr>
                <w:rFonts w:eastAsia="Times New Roman" w:cs="Arial"/>
                <w:sz w:val="20"/>
                <w:szCs w:val="20"/>
                <w:lang w:eastAsia="cs-CZ"/>
              </w:rPr>
              <w:t>18 693</w:t>
            </w:r>
          </w:p>
        </w:tc>
      </w:tr>
      <w:tr w:rsidR="00C37A04" w:rsidTr="00D5054B">
        <w:trPr>
          <w:trHeight w:val="360"/>
        </w:trPr>
        <w:tc>
          <w:tcPr>
            <w:tcW w:w="584" w:type="dxa"/>
            <w:noWrap/>
            <w:vAlign w:val="center"/>
          </w:tcPr>
          <w:p w:rsidR="00741B62" w:rsidRDefault="00741B62" w:rsidP="00484D3B">
            <w:pPr>
              <w:spacing w:line="240" w:lineRule="auto"/>
              <w:rPr>
                <w:rFonts w:cs="Arial"/>
                <w:sz w:val="20"/>
                <w:szCs w:val="20"/>
              </w:rPr>
            </w:pPr>
            <w:r>
              <w:rPr>
                <w:rFonts w:cs="Arial"/>
                <w:sz w:val="20"/>
                <w:szCs w:val="20"/>
              </w:rPr>
              <w:t>541</w:t>
            </w:r>
          </w:p>
        </w:tc>
        <w:tc>
          <w:tcPr>
            <w:tcW w:w="5066" w:type="dxa"/>
            <w:gridSpan w:val="2"/>
            <w:noWrap/>
            <w:vAlign w:val="center"/>
          </w:tcPr>
          <w:p w:rsidR="00741B62" w:rsidRDefault="00741B62" w:rsidP="00484D3B">
            <w:pPr>
              <w:spacing w:line="240" w:lineRule="auto"/>
              <w:rPr>
                <w:rFonts w:cs="Arial"/>
                <w:sz w:val="20"/>
                <w:szCs w:val="20"/>
              </w:rPr>
            </w:pPr>
            <w:r>
              <w:rPr>
                <w:rFonts w:cs="Arial"/>
                <w:sz w:val="20"/>
                <w:szCs w:val="20"/>
              </w:rPr>
              <w:t>Pracovníci v</w:t>
            </w:r>
            <w:r w:rsidR="00D97B43">
              <w:rPr>
                <w:rFonts w:cs="Arial"/>
                <w:sz w:val="20"/>
                <w:szCs w:val="20"/>
              </w:rPr>
              <w:t> </w:t>
            </w:r>
            <w:r>
              <w:rPr>
                <w:rFonts w:cs="Arial"/>
                <w:sz w:val="20"/>
                <w:szCs w:val="20"/>
              </w:rPr>
              <w:t>oblasti ochrany a ostrahy</w:t>
            </w:r>
          </w:p>
        </w:tc>
        <w:tc>
          <w:tcPr>
            <w:tcW w:w="902" w:type="dxa"/>
            <w:noWrap/>
            <w:vAlign w:val="center"/>
          </w:tcPr>
          <w:p w:rsidR="00741B62" w:rsidRDefault="002503C3" w:rsidP="00484D3B">
            <w:pPr>
              <w:spacing w:line="240" w:lineRule="auto"/>
              <w:jc w:val="center"/>
              <w:rPr>
                <w:rFonts w:eastAsia="Times New Roman" w:cs="Arial"/>
                <w:sz w:val="20"/>
                <w:szCs w:val="20"/>
                <w:lang w:eastAsia="cs-CZ"/>
              </w:rPr>
            </w:pPr>
            <w:r>
              <w:rPr>
                <w:rFonts w:eastAsia="Times New Roman" w:cs="Arial"/>
                <w:sz w:val="20"/>
                <w:szCs w:val="20"/>
                <w:lang w:eastAsia="cs-CZ"/>
              </w:rPr>
              <w:t>13 148</w:t>
            </w:r>
          </w:p>
        </w:tc>
        <w:tc>
          <w:tcPr>
            <w:tcW w:w="904" w:type="dxa"/>
            <w:vAlign w:val="center"/>
          </w:tcPr>
          <w:p w:rsidR="00741B62" w:rsidRDefault="002503C3" w:rsidP="00484D3B">
            <w:pPr>
              <w:spacing w:line="240" w:lineRule="auto"/>
              <w:jc w:val="center"/>
              <w:rPr>
                <w:rFonts w:eastAsia="Times New Roman" w:cs="Arial"/>
                <w:sz w:val="20"/>
                <w:szCs w:val="20"/>
                <w:lang w:eastAsia="cs-CZ"/>
              </w:rPr>
            </w:pPr>
            <w:r>
              <w:rPr>
                <w:rFonts w:eastAsia="Times New Roman" w:cs="Arial"/>
                <w:sz w:val="20"/>
                <w:szCs w:val="20"/>
                <w:lang w:eastAsia="cs-CZ"/>
              </w:rPr>
              <w:t>14 804</w:t>
            </w:r>
          </w:p>
        </w:tc>
        <w:tc>
          <w:tcPr>
            <w:tcW w:w="903" w:type="dxa"/>
            <w:vAlign w:val="center"/>
          </w:tcPr>
          <w:p w:rsidR="00741B62" w:rsidRDefault="00D97B43" w:rsidP="00484D3B">
            <w:pPr>
              <w:spacing w:line="240" w:lineRule="auto"/>
              <w:jc w:val="center"/>
              <w:rPr>
                <w:rFonts w:eastAsia="Times New Roman" w:cs="Arial"/>
                <w:sz w:val="20"/>
                <w:szCs w:val="20"/>
                <w:lang w:eastAsia="cs-CZ"/>
              </w:rPr>
            </w:pPr>
            <w:r>
              <w:rPr>
                <w:rFonts w:eastAsia="Times New Roman" w:cs="Arial"/>
                <w:sz w:val="20"/>
                <w:szCs w:val="20"/>
                <w:lang w:eastAsia="cs-CZ"/>
              </w:rPr>
              <w:t>13 686</w:t>
            </w:r>
          </w:p>
        </w:tc>
        <w:tc>
          <w:tcPr>
            <w:tcW w:w="904" w:type="dxa"/>
            <w:vAlign w:val="center"/>
          </w:tcPr>
          <w:p w:rsidR="00741B62" w:rsidRDefault="00D97B43" w:rsidP="00484D3B">
            <w:pPr>
              <w:spacing w:line="240" w:lineRule="auto"/>
              <w:jc w:val="center"/>
              <w:rPr>
                <w:rFonts w:eastAsia="Times New Roman" w:cs="Arial"/>
                <w:sz w:val="20"/>
                <w:szCs w:val="20"/>
                <w:lang w:eastAsia="cs-CZ"/>
              </w:rPr>
            </w:pPr>
            <w:r>
              <w:rPr>
                <w:rFonts w:eastAsia="Times New Roman" w:cs="Arial"/>
                <w:sz w:val="20"/>
                <w:szCs w:val="20"/>
                <w:lang w:eastAsia="cs-CZ"/>
              </w:rPr>
              <w:t>15 528</w:t>
            </w:r>
          </w:p>
        </w:tc>
      </w:tr>
      <w:tr w:rsidR="00C37A04" w:rsidTr="00D5054B">
        <w:trPr>
          <w:trHeight w:val="360"/>
        </w:trPr>
        <w:tc>
          <w:tcPr>
            <w:tcW w:w="584" w:type="dxa"/>
            <w:noWrap/>
            <w:vAlign w:val="center"/>
          </w:tcPr>
          <w:p w:rsidR="00741B62" w:rsidRDefault="00741B62" w:rsidP="00484D3B">
            <w:pPr>
              <w:spacing w:line="240" w:lineRule="auto"/>
              <w:rPr>
                <w:rFonts w:cs="Arial"/>
                <w:sz w:val="20"/>
                <w:szCs w:val="20"/>
              </w:rPr>
            </w:pPr>
            <w:r>
              <w:rPr>
                <w:rFonts w:cs="Arial"/>
                <w:sz w:val="20"/>
                <w:szCs w:val="20"/>
              </w:rPr>
              <w:t>721</w:t>
            </w:r>
          </w:p>
        </w:tc>
        <w:tc>
          <w:tcPr>
            <w:tcW w:w="5066" w:type="dxa"/>
            <w:gridSpan w:val="2"/>
            <w:noWrap/>
            <w:vAlign w:val="center"/>
          </w:tcPr>
          <w:p w:rsidR="00741B62" w:rsidRDefault="00741B62" w:rsidP="00484D3B">
            <w:pPr>
              <w:spacing w:line="240" w:lineRule="auto"/>
              <w:rPr>
                <w:rFonts w:cs="Arial"/>
                <w:sz w:val="20"/>
                <w:szCs w:val="20"/>
              </w:rPr>
            </w:pPr>
            <w:r>
              <w:rPr>
                <w:rFonts w:cs="Arial"/>
                <w:sz w:val="20"/>
                <w:szCs w:val="20"/>
              </w:rPr>
              <w:t>Slévači, svářeči a příbuzní pracovníci</w:t>
            </w:r>
          </w:p>
        </w:tc>
        <w:tc>
          <w:tcPr>
            <w:tcW w:w="902" w:type="dxa"/>
            <w:noWrap/>
            <w:vAlign w:val="center"/>
          </w:tcPr>
          <w:p w:rsidR="00741B62" w:rsidRDefault="002503C3" w:rsidP="00484D3B">
            <w:pPr>
              <w:spacing w:line="240" w:lineRule="auto"/>
              <w:jc w:val="center"/>
              <w:rPr>
                <w:rFonts w:eastAsia="Times New Roman" w:cs="Arial"/>
                <w:sz w:val="20"/>
                <w:szCs w:val="20"/>
                <w:lang w:eastAsia="cs-CZ"/>
              </w:rPr>
            </w:pPr>
            <w:r>
              <w:rPr>
                <w:rFonts w:eastAsia="Times New Roman" w:cs="Arial"/>
                <w:sz w:val="20"/>
                <w:szCs w:val="20"/>
                <w:lang w:eastAsia="cs-CZ"/>
              </w:rPr>
              <w:t>25 392</w:t>
            </w:r>
          </w:p>
        </w:tc>
        <w:tc>
          <w:tcPr>
            <w:tcW w:w="904" w:type="dxa"/>
            <w:vAlign w:val="center"/>
          </w:tcPr>
          <w:p w:rsidR="00741B62" w:rsidRDefault="002503C3" w:rsidP="00484D3B">
            <w:pPr>
              <w:spacing w:line="240" w:lineRule="auto"/>
              <w:jc w:val="center"/>
              <w:rPr>
                <w:rFonts w:eastAsia="Times New Roman" w:cs="Arial"/>
                <w:sz w:val="20"/>
                <w:szCs w:val="20"/>
                <w:lang w:eastAsia="cs-CZ"/>
              </w:rPr>
            </w:pPr>
            <w:r>
              <w:rPr>
                <w:rFonts w:eastAsia="Times New Roman" w:cs="Arial"/>
                <w:sz w:val="20"/>
                <w:szCs w:val="20"/>
                <w:lang w:eastAsia="cs-CZ"/>
              </w:rPr>
              <w:t>26 367</w:t>
            </w:r>
          </w:p>
        </w:tc>
        <w:tc>
          <w:tcPr>
            <w:tcW w:w="903" w:type="dxa"/>
            <w:shd w:val="clear" w:color="auto" w:fill="auto"/>
            <w:vAlign w:val="center"/>
          </w:tcPr>
          <w:p w:rsidR="00741B62" w:rsidRDefault="00D97B43" w:rsidP="00484D3B">
            <w:pPr>
              <w:spacing w:line="240" w:lineRule="auto"/>
              <w:jc w:val="center"/>
              <w:rPr>
                <w:rFonts w:eastAsia="Times New Roman" w:cs="Arial"/>
                <w:sz w:val="20"/>
                <w:szCs w:val="20"/>
                <w:lang w:eastAsia="cs-CZ"/>
              </w:rPr>
            </w:pPr>
            <w:r>
              <w:rPr>
                <w:rFonts w:eastAsia="Times New Roman" w:cs="Arial"/>
                <w:sz w:val="20"/>
                <w:szCs w:val="20"/>
                <w:lang w:eastAsia="cs-CZ"/>
              </w:rPr>
              <w:t>25 986</w:t>
            </w:r>
          </w:p>
        </w:tc>
        <w:tc>
          <w:tcPr>
            <w:tcW w:w="904" w:type="dxa"/>
            <w:vAlign w:val="center"/>
          </w:tcPr>
          <w:p w:rsidR="00741B62" w:rsidRDefault="006832D4" w:rsidP="00484D3B">
            <w:pPr>
              <w:spacing w:line="240" w:lineRule="auto"/>
              <w:jc w:val="center"/>
              <w:rPr>
                <w:rFonts w:eastAsia="Times New Roman" w:cs="Arial"/>
                <w:sz w:val="20"/>
                <w:szCs w:val="20"/>
                <w:lang w:eastAsia="cs-CZ"/>
              </w:rPr>
            </w:pPr>
            <w:r>
              <w:rPr>
                <w:rFonts w:eastAsia="Times New Roman" w:cs="Arial"/>
                <w:sz w:val="20"/>
                <w:szCs w:val="20"/>
                <w:lang w:eastAsia="cs-CZ"/>
              </w:rPr>
              <w:t>27 063</w:t>
            </w:r>
          </w:p>
        </w:tc>
      </w:tr>
      <w:tr w:rsidR="00C37A04" w:rsidTr="00D5054B">
        <w:trPr>
          <w:trHeight w:val="360"/>
        </w:trPr>
        <w:tc>
          <w:tcPr>
            <w:tcW w:w="584" w:type="dxa"/>
            <w:noWrap/>
            <w:vAlign w:val="center"/>
          </w:tcPr>
          <w:p w:rsidR="00741B62" w:rsidRDefault="00741B62" w:rsidP="00484D3B">
            <w:pPr>
              <w:spacing w:line="240" w:lineRule="auto"/>
              <w:rPr>
                <w:rFonts w:cs="Arial"/>
                <w:sz w:val="20"/>
                <w:szCs w:val="20"/>
              </w:rPr>
            </w:pPr>
            <w:r>
              <w:rPr>
                <w:rFonts w:cs="Arial"/>
                <w:sz w:val="20"/>
                <w:szCs w:val="20"/>
              </w:rPr>
              <w:t>722</w:t>
            </w:r>
          </w:p>
        </w:tc>
        <w:tc>
          <w:tcPr>
            <w:tcW w:w="5066" w:type="dxa"/>
            <w:gridSpan w:val="2"/>
            <w:noWrap/>
            <w:vAlign w:val="center"/>
          </w:tcPr>
          <w:p w:rsidR="00741B62" w:rsidRDefault="00741B62" w:rsidP="00484D3B">
            <w:pPr>
              <w:spacing w:line="240" w:lineRule="auto"/>
              <w:rPr>
                <w:rFonts w:cs="Arial"/>
                <w:sz w:val="20"/>
                <w:szCs w:val="20"/>
              </w:rPr>
            </w:pPr>
            <w:r>
              <w:rPr>
                <w:rFonts w:cs="Arial"/>
                <w:sz w:val="20"/>
                <w:szCs w:val="20"/>
              </w:rPr>
              <w:t>Kováři, nástrojaři a příbuzní pracovníci</w:t>
            </w:r>
          </w:p>
        </w:tc>
        <w:tc>
          <w:tcPr>
            <w:tcW w:w="902" w:type="dxa"/>
            <w:noWrap/>
            <w:vAlign w:val="center"/>
          </w:tcPr>
          <w:p w:rsidR="00741B62" w:rsidRDefault="002503C3" w:rsidP="00484D3B">
            <w:pPr>
              <w:spacing w:line="240" w:lineRule="auto"/>
              <w:jc w:val="center"/>
              <w:rPr>
                <w:rFonts w:eastAsia="Times New Roman" w:cs="Arial"/>
                <w:sz w:val="20"/>
                <w:szCs w:val="20"/>
                <w:lang w:eastAsia="cs-CZ"/>
              </w:rPr>
            </w:pPr>
            <w:r>
              <w:rPr>
                <w:rFonts w:eastAsia="Times New Roman" w:cs="Arial"/>
                <w:sz w:val="20"/>
                <w:szCs w:val="20"/>
                <w:lang w:eastAsia="cs-CZ"/>
              </w:rPr>
              <w:t>24 082</w:t>
            </w:r>
          </w:p>
        </w:tc>
        <w:tc>
          <w:tcPr>
            <w:tcW w:w="904" w:type="dxa"/>
            <w:vAlign w:val="center"/>
          </w:tcPr>
          <w:p w:rsidR="00741B62" w:rsidRDefault="00E56EA6" w:rsidP="00484D3B">
            <w:pPr>
              <w:spacing w:line="240" w:lineRule="auto"/>
              <w:jc w:val="center"/>
              <w:rPr>
                <w:rFonts w:eastAsia="Times New Roman" w:cs="Arial"/>
                <w:sz w:val="20"/>
                <w:szCs w:val="20"/>
                <w:lang w:eastAsia="cs-CZ"/>
              </w:rPr>
            </w:pPr>
            <w:r>
              <w:rPr>
                <w:rFonts w:eastAsia="Times New Roman" w:cs="Arial"/>
                <w:sz w:val="20"/>
                <w:szCs w:val="20"/>
                <w:lang w:eastAsia="cs-CZ"/>
              </w:rPr>
              <w:t>25 202</w:t>
            </w:r>
          </w:p>
        </w:tc>
        <w:tc>
          <w:tcPr>
            <w:tcW w:w="903" w:type="dxa"/>
            <w:shd w:val="clear" w:color="auto" w:fill="auto"/>
            <w:vAlign w:val="center"/>
          </w:tcPr>
          <w:p w:rsidR="00741B62" w:rsidRDefault="006832D4" w:rsidP="00484D3B">
            <w:pPr>
              <w:spacing w:line="240" w:lineRule="auto"/>
              <w:jc w:val="center"/>
              <w:rPr>
                <w:rFonts w:eastAsia="Times New Roman" w:cs="Arial"/>
                <w:sz w:val="20"/>
                <w:szCs w:val="20"/>
                <w:lang w:eastAsia="cs-CZ"/>
              </w:rPr>
            </w:pPr>
            <w:r>
              <w:rPr>
                <w:rFonts w:eastAsia="Times New Roman" w:cs="Arial"/>
                <w:sz w:val="20"/>
                <w:szCs w:val="20"/>
                <w:lang w:eastAsia="cs-CZ"/>
              </w:rPr>
              <w:t>24 502</w:t>
            </w:r>
          </w:p>
        </w:tc>
        <w:tc>
          <w:tcPr>
            <w:tcW w:w="904" w:type="dxa"/>
            <w:vAlign w:val="center"/>
          </w:tcPr>
          <w:p w:rsidR="00741B62" w:rsidRDefault="006832D4" w:rsidP="00484D3B">
            <w:pPr>
              <w:spacing w:line="240" w:lineRule="auto"/>
              <w:jc w:val="center"/>
              <w:rPr>
                <w:rFonts w:eastAsia="Times New Roman" w:cs="Arial"/>
                <w:sz w:val="20"/>
                <w:szCs w:val="20"/>
                <w:lang w:eastAsia="cs-CZ"/>
              </w:rPr>
            </w:pPr>
            <w:r>
              <w:rPr>
                <w:rFonts w:eastAsia="Times New Roman" w:cs="Arial"/>
                <w:sz w:val="20"/>
                <w:szCs w:val="20"/>
                <w:lang w:eastAsia="cs-CZ"/>
              </w:rPr>
              <w:t>25 823</w:t>
            </w:r>
          </w:p>
        </w:tc>
      </w:tr>
      <w:tr w:rsidR="00C37A04" w:rsidTr="00D5054B">
        <w:trPr>
          <w:trHeight w:val="360"/>
        </w:trPr>
        <w:tc>
          <w:tcPr>
            <w:tcW w:w="584" w:type="dxa"/>
            <w:noWrap/>
            <w:vAlign w:val="center"/>
          </w:tcPr>
          <w:p w:rsidR="00741B62" w:rsidRDefault="00741B62" w:rsidP="00484D3B">
            <w:pPr>
              <w:spacing w:line="240" w:lineRule="auto"/>
              <w:rPr>
                <w:rFonts w:cs="Arial"/>
                <w:sz w:val="20"/>
                <w:szCs w:val="20"/>
              </w:rPr>
            </w:pPr>
            <w:r>
              <w:rPr>
                <w:rFonts w:cs="Arial"/>
                <w:sz w:val="20"/>
                <w:szCs w:val="20"/>
              </w:rPr>
              <w:t>821</w:t>
            </w:r>
          </w:p>
        </w:tc>
        <w:tc>
          <w:tcPr>
            <w:tcW w:w="5066" w:type="dxa"/>
            <w:gridSpan w:val="2"/>
            <w:noWrap/>
            <w:vAlign w:val="center"/>
          </w:tcPr>
          <w:p w:rsidR="00741B62" w:rsidRDefault="00741B62" w:rsidP="00484D3B">
            <w:pPr>
              <w:spacing w:line="240" w:lineRule="auto"/>
              <w:rPr>
                <w:rFonts w:cs="Arial"/>
                <w:sz w:val="20"/>
                <w:szCs w:val="20"/>
              </w:rPr>
            </w:pPr>
            <w:r>
              <w:rPr>
                <w:rFonts w:cs="Arial"/>
                <w:sz w:val="20"/>
                <w:szCs w:val="20"/>
              </w:rPr>
              <w:t>Montážní dělníci výrobků a zařízení</w:t>
            </w:r>
          </w:p>
        </w:tc>
        <w:tc>
          <w:tcPr>
            <w:tcW w:w="902" w:type="dxa"/>
            <w:noWrap/>
            <w:vAlign w:val="center"/>
          </w:tcPr>
          <w:p w:rsidR="00741B62" w:rsidRDefault="00D540F0" w:rsidP="00484D3B">
            <w:pPr>
              <w:spacing w:line="240" w:lineRule="auto"/>
              <w:jc w:val="center"/>
              <w:rPr>
                <w:rFonts w:eastAsia="Times New Roman" w:cs="Arial"/>
                <w:sz w:val="20"/>
                <w:szCs w:val="20"/>
                <w:lang w:eastAsia="cs-CZ"/>
              </w:rPr>
            </w:pPr>
            <w:r>
              <w:rPr>
                <w:rFonts w:eastAsia="Times New Roman" w:cs="Arial"/>
                <w:sz w:val="20"/>
                <w:szCs w:val="20"/>
                <w:lang w:eastAsia="cs-CZ"/>
              </w:rPr>
              <w:t>21 100</w:t>
            </w:r>
          </w:p>
        </w:tc>
        <w:tc>
          <w:tcPr>
            <w:tcW w:w="904" w:type="dxa"/>
            <w:vAlign w:val="center"/>
          </w:tcPr>
          <w:p w:rsidR="00741B62" w:rsidRDefault="00D540F0" w:rsidP="00484D3B">
            <w:pPr>
              <w:spacing w:line="240" w:lineRule="auto"/>
              <w:jc w:val="center"/>
              <w:rPr>
                <w:rFonts w:eastAsia="Times New Roman" w:cs="Arial"/>
                <w:sz w:val="20"/>
                <w:szCs w:val="20"/>
                <w:lang w:eastAsia="cs-CZ"/>
              </w:rPr>
            </w:pPr>
            <w:r>
              <w:rPr>
                <w:rFonts w:eastAsia="Times New Roman" w:cs="Arial"/>
                <w:sz w:val="20"/>
                <w:szCs w:val="20"/>
                <w:lang w:eastAsia="cs-CZ"/>
              </w:rPr>
              <w:t>22 086</w:t>
            </w:r>
          </w:p>
        </w:tc>
        <w:tc>
          <w:tcPr>
            <w:tcW w:w="903" w:type="dxa"/>
            <w:vAlign w:val="center"/>
          </w:tcPr>
          <w:p w:rsidR="00741B62" w:rsidRDefault="006832D4" w:rsidP="00484D3B">
            <w:pPr>
              <w:spacing w:line="240" w:lineRule="auto"/>
              <w:jc w:val="center"/>
              <w:rPr>
                <w:rFonts w:eastAsia="Times New Roman" w:cs="Arial"/>
                <w:sz w:val="20"/>
                <w:szCs w:val="20"/>
                <w:lang w:eastAsia="cs-CZ"/>
              </w:rPr>
            </w:pPr>
            <w:r>
              <w:rPr>
                <w:rFonts w:eastAsia="Times New Roman" w:cs="Arial"/>
                <w:sz w:val="20"/>
                <w:szCs w:val="20"/>
                <w:lang w:eastAsia="cs-CZ"/>
              </w:rPr>
              <w:t>21 823</w:t>
            </w:r>
          </w:p>
        </w:tc>
        <w:tc>
          <w:tcPr>
            <w:tcW w:w="904" w:type="dxa"/>
            <w:vAlign w:val="center"/>
          </w:tcPr>
          <w:p w:rsidR="00741B62" w:rsidRDefault="006832D4" w:rsidP="00484D3B">
            <w:pPr>
              <w:spacing w:line="240" w:lineRule="auto"/>
              <w:jc w:val="center"/>
              <w:rPr>
                <w:rFonts w:eastAsia="Times New Roman" w:cs="Arial"/>
                <w:sz w:val="20"/>
                <w:szCs w:val="20"/>
                <w:lang w:eastAsia="cs-CZ"/>
              </w:rPr>
            </w:pPr>
            <w:r>
              <w:rPr>
                <w:rFonts w:eastAsia="Times New Roman" w:cs="Arial"/>
                <w:sz w:val="20"/>
                <w:szCs w:val="20"/>
                <w:lang w:eastAsia="cs-CZ"/>
              </w:rPr>
              <w:t>23 010</w:t>
            </w:r>
          </w:p>
        </w:tc>
      </w:tr>
      <w:tr w:rsidR="00C37A04" w:rsidTr="00D5054B">
        <w:trPr>
          <w:trHeight w:val="360"/>
        </w:trPr>
        <w:tc>
          <w:tcPr>
            <w:tcW w:w="584" w:type="dxa"/>
            <w:noWrap/>
            <w:vAlign w:val="center"/>
          </w:tcPr>
          <w:p w:rsidR="00741B62" w:rsidRDefault="00741B62" w:rsidP="00484D3B">
            <w:pPr>
              <w:spacing w:line="240" w:lineRule="auto"/>
              <w:rPr>
                <w:rFonts w:cs="Arial"/>
                <w:sz w:val="20"/>
                <w:szCs w:val="20"/>
              </w:rPr>
            </w:pPr>
            <w:r>
              <w:rPr>
                <w:rFonts w:cs="Arial"/>
                <w:sz w:val="20"/>
                <w:szCs w:val="20"/>
              </w:rPr>
              <w:t>834</w:t>
            </w:r>
          </w:p>
        </w:tc>
        <w:tc>
          <w:tcPr>
            <w:tcW w:w="5066" w:type="dxa"/>
            <w:gridSpan w:val="2"/>
            <w:noWrap/>
            <w:vAlign w:val="center"/>
          </w:tcPr>
          <w:p w:rsidR="00741B62" w:rsidRDefault="00741B62" w:rsidP="00484D3B">
            <w:pPr>
              <w:spacing w:line="240" w:lineRule="auto"/>
              <w:rPr>
                <w:rFonts w:cs="Arial"/>
                <w:sz w:val="20"/>
                <w:szCs w:val="20"/>
              </w:rPr>
            </w:pPr>
            <w:r>
              <w:rPr>
                <w:rFonts w:cs="Arial"/>
                <w:sz w:val="20"/>
                <w:szCs w:val="20"/>
              </w:rPr>
              <w:t>Obsluha pojízdných zařízení</w:t>
            </w:r>
          </w:p>
        </w:tc>
        <w:tc>
          <w:tcPr>
            <w:tcW w:w="902" w:type="dxa"/>
            <w:noWrap/>
            <w:vAlign w:val="center"/>
          </w:tcPr>
          <w:p w:rsidR="00741B62" w:rsidRDefault="00205704" w:rsidP="00484D3B">
            <w:pPr>
              <w:spacing w:line="240" w:lineRule="auto"/>
              <w:jc w:val="center"/>
              <w:rPr>
                <w:rFonts w:eastAsia="Times New Roman" w:cs="Arial"/>
                <w:sz w:val="20"/>
                <w:szCs w:val="20"/>
                <w:lang w:eastAsia="cs-CZ"/>
              </w:rPr>
            </w:pPr>
            <w:r>
              <w:rPr>
                <w:rFonts w:eastAsia="Times New Roman" w:cs="Arial"/>
                <w:sz w:val="20"/>
                <w:szCs w:val="20"/>
                <w:lang w:eastAsia="cs-CZ"/>
              </w:rPr>
              <w:t>22 458</w:t>
            </w:r>
          </w:p>
        </w:tc>
        <w:tc>
          <w:tcPr>
            <w:tcW w:w="904" w:type="dxa"/>
            <w:vAlign w:val="center"/>
          </w:tcPr>
          <w:p w:rsidR="00741B62" w:rsidRDefault="00205704" w:rsidP="00484D3B">
            <w:pPr>
              <w:spacing w:line="240" w:lineRule="auto"/>
              <w:jc w:val="center"/>
              <w:rPr>
                <w:rFonts w:eastAsia="Times New Roman" w:cs="Arial"/>
                <w:sz w:val="20"/>
                <w:szCs w:val="20"/>
                <w:lang w:eastAsia="cs-CZ"/>
              </w:rPr>
            </w:pPr>
            <w:r>
              <w:rPr>
                <w:rFonts w:eastAsia="Times New Roman" w:cs="Arial"/>
                <w:sz w:val="20"/>
                <w:szCs w:val="20"/>
                <w:lang w:eastAsia="cs-CZ"/>
              </w:rPr>
              <w:t>23 158</w:t>
            </w:r>
          </w:p>
        </w:tc>
        <w:tc>
          <w:tcPr>
            <w:tcW w:w="903" w:type="dxa"/>
            <w:vAlign w:val="center"/>
          </w:tcPr>
          <w:p w:rsidR="00741B62" w:rsidRDefault="00D304CD" w:rsidP="00484D3B">
            <w:pPr>
              <w:spacing w:line="240" w:lineRule="auto"/>
              <w:jc w:val="center"/>
              <w:rPr>
                <w:rFonts w:eastAsia="Times New Roman" w:cs="Arial"/>
                <w:sz w:val="20"/>
                <w:szCs w:val="20"/>
                <w:lang w:eastAsia="cs-CZ"/>
              </w:rPr>
            </w:pPr>
            <w:r>
              <w:rPr>
                <w:rFonts w:eastAsia="Times New Roman" w:cs="Arial"/>
                <w:sz w:val="20"/>
                <w:szCs w:val="20"/>
                <w:lang w:eastAsia="cs-CZ"/>
              </w:rPr>
              <w:t>22 434</w:t>
            </w:r>
          </w:p>
        </w:tc>
        <w:tc>
          <w:tcPr>
            <w:tcW w:w="904" w:type="dxa"/>
            <w:vAlign w:val="center"/>
          </w:tcPr>
          <w:p w:rsidR="00741B62" w:rsidRDefault="00D304CD" w:rsidP="00484D3B">
            <w:pPr>
              <w:spacing w:line="240" w:lineRule="auto"/>
              <w:jc w:val="center"/>
              <w:rPr>
                <w:rFonts w:eastAsia="Times New Roman" w:cs="Arial"/>
                <w:sz w:val="20"/>
                <w:szCs w:val="20"/>
                <w:lang w:eastAsia="cs-CZ"/>
              </w:rPr>
            </w:pPr>
            <w:r>
              <w:rPr>
                <w:rFonts w:eastAsia="Times New Roman" w:cs="Arial"/>
                <w:sz w:val="20"/>
                <w:szCs w:val="20"/>
                <w:lang w:eastAsia="cs-CZ"/>
              </w:rPr>
              <w:t>23 266</w:t>
            </w:r>
          </w:p>
        </w:tc>
      </w:tr>
      <w:tr w:rsidR="00C37A04" w:rsidTr="00D5054B">
        <w:trPr>
          <w:trHeight w:val="360"/>
        </w:trPr>
        <w:tc>
          <w:tcPr>
            <w:tcW w:w="584" w:type="dxa"/>
            <w:noWrap/>
            <w:vAlign w:val="center"/>
          </w:tcPr>
          <w:p w:rsidR="00741B62" w:rsidRDefault="00741B62" w:rsidP="00484D3B">
            <w:pPr>
              <w:spacing w:line="240" w:lineRule="auto"/>
              <w:rPr>
                <w:rFonts w:cs="Arial"/>
                <w:sz w:val="20"/>
                <w:szCs w:val="20"/>
              </w:rPr>
            </w:pPr>
            <w:r>
              <w:rPr>
                <w:rFonts w:cs="Arial"/>
                <w:sz w:val="20"/>
                <w:szCs w:val="20"/>
              </w:rPr>
              <w:t>833</w:t>
            </w:r>
          </w:p>
        </w:tc>
        <w:tc>
          <w:tcPr>
            <w:tcW w:w="5066" w:type="dxa"/>
            <w:gridSpan w:val="2"/>
            <w:noWrap/>
            <w:vAlign w:val="center"/>
          </w:tcPr>
          <w:p w:rsidR="00741B62" w:rsidRDefault="00741B62" w:rsidP="00484D3B">
            <w:pPr>
              <w:spacing w:line="240" w:lineRule="auto"/>
              <w:rPr>
                <w:rFonts w:cs="Arial"/>
                <w:sz w:val="20"/>
                <w:szCs w:val="20"/>
              </w:rPr>
            </w:pPr>
            <w:r>
              <w:rPr>
                <w:rFonts w:cs="Arial"/>
                <w:sz w:val="20"/>
                <w:szCs w:val="20"/>
              </w:rPr>
              <w:t>Řidiči nákladních automobilů, autobusů a tramvají</w:t>
            </w:r>
          </w:p>
        </w:tc>
        <w:tc>
          <w:tcPr>
            <w:tcW w:w="902" w:type="dxa"/>
            <w:noWrap/>
            <w:vAlign w:val="center"/>
          </w:tcPr>
          <w:p w:rsidR="00741B62" w:rsidRDefault="00205704" w:rsidP="00484D3B">
            <w:pPr>
              <w:spacing w:line="240" w:lineRule="auto"/>
              <w:jc w:val="center"/>
              <w:rPr>
                <w:rFonts w:eastAsia="Times New Roman" w:cs="Arial"/>
                <w:sz w:val="20"/>
                <w:szCs w:val="20"/>
                <w:lang w:eastAsia="cs-CZ"/>
              </w:rPr>
            </w:pPr>
            <w:r>
              <w:rPr>
                <w:rFonts w:eastAsia="Times New Roman" w:cs="Arial"/>
                <w:sz w:val="20"/>
                <w:szCs w:val="20"/>
                <w:lang w:eastAsia="cs-CZ"/>
              </w:rPr>
              <w:t>19 934</w:t>
            </w:r>
          </w:p>
        </w:tc>
        <w:tc>
          <w:tcPr>
            <w:tcW w:w="904" w:type="dxa"/>
            <w:vAlign w:val="center"/>
          </w:tcPr>
          <w:p w:rsidR="00741B62" w:rsidRDefault="00205704" w:rsidP="00484D3B">
            <w:pPr>
              <w:spacing w:line="240" w:lineRule="auto"/>
              <w:jc w:val="center"/>
              <w:rPr>
                <w:rFonts w:eastAsia="Times New Roman" w:cs="Arial"/>
                <w:sz w:val="20"/>
                <w:szCs w:val="20"/>
                <w:lang w:eastAsia="cs-CZ"/>
              </w:rPr>
            </w:pPr>
            <w:r>
              <w:rPr>
                <w:rFonts w:eastAsia="Times New Roman" w:cs="Arial"/>
                <w:sz w:val="20"/>
                <w:szCs w:val="20"/>
                <w:lang w:eastAsia="cs-CZ"/>
              </w:rPr>
              <w:t>20 894</w:t>
            </w:r>
          </w:p>
        </w:tc>
        <w:tc>
          <w:tcPr>
            <w:tcW w:w="903" w:type="dxa"/>
            <w:vAlign w:val="center"/>
          </w:tcPr>
          <w:p w:rsidR="00741B62" w:rsidRDefault="00D304CD" w:rsidP="00484D3B">
            <w:pPr>
              <w:spacing w:line="240" w:lineRule="auto"/>
              <w:jc w:val="center"/>
              <w:rPr>
                <w:rFonts w:eastAsia="Times New Roman" w:cs="Arial"/>
                <w:sz w:val="20"/>
                <w:szCs w:val="20"/>
                <w:lang w:eastAsia="cs-CZ"/>
              </w:rPr>
            </w:pPr>
            <w:r>
              <w:rPr>
                <w:rFonts w:eastAsia="Times New Roman" w:cs="Arial"/>
                <w:sz w:val="20"/>
                <w:szCs w:val="20"/>
                <w:lang w:eastAsia="cs-CZ"/>
              </w:rPr>
              <w:t>20 066</w:t>
            </w:r>
          </w:p>
        </w:tc>
        <w:tc>
          <w:tcPr>
            <w:tcW w:w="904" w:type="dxa"/>
            <w:vAlign w:val="center"/>
          </w:tcPr>
          <w:p w:rsidR="00741B62" w:rsidRDefault="00D304CD" w:rsidP="00484D3B">
            <w:pPr>
              <w:spacing w:line="240" w:lineRule="auto"/>
              <w:jc w:val="center"/>
              <w:rPr>
                <w:rFonts w:eastAsia="Times New Roman" w:cs="Arial"/>
                <w:sz w:val="20"/>
                <w:szCs w:val="20"/>
                <w:lang w:eastAsia="cs-CZ"/>
              </w:rPr>
            </w:pPr>
            <w:r>
              <w:rPr>
                <w:rFonts w:eastAsia="Times New Roman" w:cs="Arial"/>
                <w:sz w:val="20"/>
                <w:szCs w:val="20"/>
                <w:lang w:eastAsia="cs-CZ"/>
              </w:rPr>
              <w:t>21 174</w:t>
            </w:r>
          </w:p>
        </w:tc>
      </w:tr>
      <w:tr w:rsidR="00C37A04" w:rsidTr="00D5054B">
        <w:trPr>
          <w:trHeight w:val="360"/>
        </w:trPr>
        <w:tc>
          <w:tcPr>
            <w:tcW w:w="584" w:type="dxa"/>
            <w:noWrap/>
            <w:vAlign w:val="center"/>
          </w:tcPr>
          <w:p w:rsidR="00741B62" w:rsidRDefault="0031717A" w:rsidP="00484D3B">
            <w:pPr>
              <w:spacing w:line="240" w:lineRule="auto"/>
              <w:rPr>
                <w:rFonts w:cs="Arial"/>
                <w:sz w:val="20"/>
                <w:szCs w:val="20"/>
              </w:rPr>
            </w:pPr>
            <w:r>
              <w:rPr>
                <w:rFonts w:cs="Arial"/>
                <w:sz w:val="20"/>
                <w:szCs w:val="20"/>
              </w:rPr>
              <w:t>911</w:t>
            </w:r>
          </w:p>
        </w:tc>
        <w:tc>
          <w:tcPr>
            <w:tcW w:w="5066" w:type="dxa"/>
            <w:gridSpan w:val="2"/>
            <w:vAlign w:val="center"/>
          </w:tcPr>
          <w:p w:rsidR="00741B62" w:rsidRDefault="0031717A" w:rsidP="00484D3B">
            <w:pPr>
              <w:spacing w:line="240" w:lineRule="auto"/>
              <w:rPr>
                <w:rFonts w:cs="Arial"/>
                <w:sz w:val="20"/>
                <w:szCs w:val="20"/>
              </w:rPr>
            </w:pPr>
            <w:r>
              <w:rPr>
                <w:rFonts w:cs="Arial"/>
                <w:sz w:val="20"/>
                <w:szCs w:val="20"/>
              </w:rPr>
              <w:t>Uklízeči a pomoc</w:t>
            </w:r>
            <w:r w:rsidR="001376A1">
              <w:rPr>
                <w:rFonts w:cs="Arial"/>
                <w:sz w:val="20"/>
                <w:szCs w:val="20"/>
              </w:rPr>
              <w:t>.</w:t>
            </w:r>
            <w:r>
              <w:rPr>
                <w:rFonts w:cs="Arial"/>
                <w:sz w:val="20"/>
                <w:szCs w:val="20"/>
              </w:rPr>
              <w:t xml:space="preserve"> v</w:t>
            </w:r>
            <w:r w:rsidR="001376A1">
              <w:rPr>
                <w:rFonts w:cs="Arial"/>
                <w:sz w:val="20"/>
                <w:szCs w:val="20"/>
              </w:rPr>
              <w:t> </w:t>
            </w:r>
            <w:r>
              <w:rPr>
                <w:rFonts w:cs="Arial"/>
                <w:sz w:val="20"/>
                <w:szCs w:val="20"/>
              </w:rPr>
              <w:t>dom</w:t>
            </w:r>
            <w:r w:rsidR="001376A1">
              <w:rPr>
                <w:rFonts w:cs="Arial"/>
                <w:sz w:val="20"/>
                <w:szCs w:val="20"/>
              </w:rPr>
              <w:t>.</w:t>
            </w:r>
            <w:r>
              <w:rPr>
                <w:rFonts w:cs="Arial"/>
                <w:sz w:val="20"/>
                <w:szCs w:val="20"/>
              </w:rPr>
              <w:t xml:space="preserve">., hotel., </w:t>
            </w:r>
            <w:proofErr w:type="spellStart"/>
            <w:r>
              <w:rPr>
                <w:rFonts w:cs="Arial"/>
                <w:sz w:val="20"/>
                <w:szCs w:val="20"/>
              </w:rPr>
              <w:t>admin</w:t>
            </w:r>
            <w:proofErr w:type="spellEnd"/>
            <w:r>
              <w:rPr>
                <w:rFonts w:cs="Arial"/>
                <w:sz w:val="20"/>
                <w:szCs w:val="20"/>
              </w:rPr>
              <w:t xml:space="preserve">., </w:t>
            </w:r>
            <w:proofErr w:type="spellStart"/>
            <w:r>
              <w:rPr>
                <w:rFonts w:cs="Arial"/>
                <w:sz w:val="20"/>
                <w:szCs w:val="20"/>
              </w:rPr>
              <w:t>prům</w:t>
            </w:r>
            <w:proofErr w:type="spellEnd"/>
            <w:r>
              <w:rPr>
                <w:rFonts w:cs="Arial"/>
                <w:sz w:val="20"/>
                <w:szCs w:val="20"/>
              </w:rPr>
              <w:t>. aj.</w:t>
            </w:r>
          </w:p>
        </w:tc>
        <w:tc>
          <w:tcPr>
            <w:tcW w:w="902" w:type="dxa"/>
            <w:noWrap/>
            <w:vAlign w:val="center"/>
          </w:tcPr>
          <w:p w:rsidR="00741B62" w:rsidRDefault="00205704" w:rsidP="00484D3B">
            <w:pPr>
              <w:spacing w:line="240" w:lineRule="auto"/>
              <w:jc w:val="center"/>
              <w:rPr>
                <w:rFonts w:eastAsia="Times New Roman" w:cs="Arial"/>
                <w:sz w:val="20"/>
                <w:szCs w:val="20"/>
                <w:lang w:eastAsia="cs-CZ"/>
              </w:rPr>
            </w:pPr>
            <w:r>
              <w:rPr>
                <w:rFonts w:eastAsia="Times New Roman" w:cs="Arial"/>
                <w:sz w:val="20"/>
                <w:szCs w:val="20"/>
                <w:lang w:eastAsia="cs-CZ"/>
              </w:rPr>
              <w:t>11 931</w:t>
            </w:r>
          </w:p>
        </w:tc>
        <w:tc>
          <w:tcPr>
            <w:tcW w:w="904" w:type="dxa"/>
            <w:vAlign w:val="center"/>
          </w:tcPr>
          <w:p w:rsidR="00741B62" w:rsidRDefault="00205704" w:rsidP="00484D3B">
            <w:pPr>
              <w:spacing w:line="240" w:lineRule="auto"/>
              <w:jc w:val="center"/>
              <w:rPr>
                <w:rFonts w:eastAsia="Times New Roman" w:cs="Arial"/>
                <w:sz w:val="20"/>
                <w:szCs w:val="20"/>
                <w:lang w:eastAsia="cs-CZ"/>
              </w:rPr>
            </w:pPr>
            <w:r>
              <w:rPr>
                <w:rFonts w:eastAsia="Times New Roman" w:cs="Arial"/>
                <w:sz w:val="20"/>
                <w:szCs w:val="20"/>
                <w:lang w:eastAsia="cs-CZ"/>
              </w:rPr>
              <w:t>13 026</w:t>
            </w:r>
          </w:p>
        </w:tc>
        <w:tc>
          <w:tcPr>
            <w:tcW w:w="903" w:type="dxa"/>
            <w:vAlign w:val="center"/>
          </w:tcPr>
          <w:p w:rsidR="00741B62" w:rsidRDefault="00D304CD" w:rsidP="00484D3B">
            <w:pPr>
              <w:spacing w:line="240" w:lineRule="auto"/>
              <w:jc w:val="center"/>
              <w:rPr>
                <w:rFonts w:eastAsia="Times New Roman" w:cs="Arial"/>
                <w:sz w:val="20"/>
                <w:szCs w:val="20"/>
                <w:lang w:eastAsia="cs-CZ"/>
              </w:rPr>
            </w:pPr>
            <w:r>
              <w:rPr>
                <w:rFonts w:eastAsia="Times New Roman" w:cs="Arial"/>
                <w:sz w:val="20"/>
                <w:szCs w:val="20"/>
                <w:lang w:eastAsia="cs-CZ"/>
              </w:rPr>
              <w:t>12 112</w:t>
            </w:r>
          </w:p>
        </w:tc>
        <w:tc>
          <w:tcPr>
            <w:tcW w:w="904" w:type="dxa"/>
            <w:vAlign w:val="center"/>
          </w:tcPr>
          <w:p w:rsidR="00741B62" w:rsidRDefault="00D304CD" w:rsidP="00484D3B">
            <w:pPr>
              <w:spacing w:line="240" w:lineRule="auto"/>
              <w:jc w:val="center"/>
              <w:rPr>
                <w:rFonts w:eastAsia="Times New Roman" w:cs="Arial"/>
                <w:sz w:val="20"/>
                <w:szCs w:val="20"/>
                <w:lang w:eastAsia="cs-CZ"/>
              </w:rPr>
            </w:pPr>
            <w:r>
              <w:rPr>
                <w:rFonts w:eastAsia="Times New Roman" w:cs="Arial"/>
                <w:sz w:val="20"/>
                <w:szCs w:val="20"/>
                <w:lang w:eastAsia="cs-CZ"/>
              </w:rPr>
              <w:t>13 356</w:t>
            </w:r>
          </w:p>
        </w:tc>
      </w:tr>
      <w:tr w:rsidR="00C37A04" w:rsidTr="00AB0A51">
        <w:trPr>
          <w:trHeight w:val="360"/>
        </w:trPr>
        <w:tc>
          <w:tcPr>
            <w:tcW w:w="584" w:type="dxa"/>
            <w:tcBorders>
              <w:bottom w:val="double" w:sz="4" w:space="0" w:color="auto"/>
            </w:tcBorders>
            <w:noWrap/>
            <w:vAlign w:val="center"/>
          </w:tcPr>
          <w:p w:rsidR="0031717A" w:rsidRDefault="0031717A" w:rsidP="00484D3B">
            <w:pPr>
              <w:spacing w:line="240" w:lineRule="auto"/>
              <w:rPr>
                <w:rFonts w:cs="Arial"/>
                <w:sz w:val="20"/>
                <w:szCs w:val="20"/>
              </w:rPr>
            </w:pPr>
            <w:r>
              <w:rPr>
                <w:rFonts w:cs="Arial"/>
                <w:sz w:val="20"/>
                <w:szCs w:val="20"/>
              </w:rPr>
              <w:t>932</w:t>
            </w:r>
          </w:p>
        </w:tc>
        <w:tc>
          <w:tcPr>
            <w:tcW w:w="5066" w:type="dxa"/>
            <w:gridSpan w:val="2"/>
            <w:tcBorders>
              <w:bottom w:val="double" w:sz="4" w:space="0" w:color="auto"/>
            </w:tcBorders>
            <w:vAlign w:val="center"/>
          </w:tcPr>
          <w:p w:rsidR="0031717A" w:rsidRDefault="0031717A" w:rsidP="00484D3B">
            <w:pPr>
              <w:spacing w:line="240" w:lineRule="auto"/>
              <w:rPr>
                <w:rFonts w:cs="Arial"/>
                <w:sz w:val="20"/>
                <w:szCs w:val="20"/>
              </w:rPr>
            </w:pPr>
            <w:r>
              <w:rPr>
                <w:rFonts w:cs="Arial"/>
                <w:sz w:val="20"/>
                <w:szCs w:val="20"/>
              </w:rPr>
              <w:t>Pomocní pracovníci ve výrobě</w:t>
            </w:r>
          </w:p>
        </w:tc>
        <w:tc>
          <w:tcPr>
            <w:tcW w:w="902" w:type="dxa"/>
            <w:tcBorders>
              <w:bottom w:val="double" w:sz="4" w:space="0" w:color="auto"/>
            </w:tcBorders>
            <w:noWrap/>
            <w:vAlign w:val="center"/>
          </w:tcPr>
          <w:p w:rsidR="0031717A" w:rsidRDefault="00205704" w:rsidP="00484D3B">
            <w:pPr>
              <w:spacing w:line="240" w:lineRule="auto"/>
              <w:jc w:val="center"/>
              <w:rPr>
                <w:rFonts w:eastAsia="Times New Roman" w:cs="Arial"/>
                <w:sz w:val="20"/>
                <w:szCs w:val="20"/>
                <w:lang w:eastAsia="cs-CZ"/>
              </w:rPr>
            </w:pPr>
            <w:r>
              <w:rPr>
                <w:rFonts w:eastAsia="Times New Roman" w:cs="Arial"/>
                <w:sz w:val="20"/>
                <w:szCs w:val="20"/>
                <w:lang w:eastAsia="cs-CZ"/>
              </w:rPr>
              <w:t>16 976</w:t>
            </w:r>
          </w:p>
        </w:tc>
        <w:tc>
          <w:tcPr>
            <w:tcW w:w="904" w:type="dxa"/>
            <w:tcBorders>
              <w:bottom w:val="double" w:sz="4" w:space="0" w:color="auto"/>
            </w:tcBorders>
            <w:vAlign w:val="center"/>
          </w:tcPr>
          <w:p w:rsidR="0031717A" w:rsidRDefault="00205704" w:rsidP="00484D3B">
            <w:pPr>
              <w:spacing w:line="240" w:lineRule="auto"/>
              <w:jc w:val="center"/>
              <w:rPr>
                <w:rFonts w:eastAsia="Times New Roman" w:cs="Arial"/>
                <w:sz w:val="20"/>
                <w:szCs w:val="20"/>
                <w:lang w:eastAsia="cs-CZ"/>
              </w:rPr>
            </w:pPr>
            <w:r>
              <w:rPr>
                <w:rFonts w:eastAsia="Times New Roman" w:cs="Arial"/>
                <w:sz w:val="20"/>
                <w:szCs w:val="20"/>
                <w:lang w:eastAsia="cs-CZ"/>
              </w:rPr>
              <w:t>17 812</w:t>
            </w:r>
          </w:p>
        </w:tc>
        <w:tc>
          <w:tcPr>
            <w:tcW w:w="903" w:type="dxa"/>
            <w:tcBorders>
              <w:bottom w:val="double" w:sz="4" w:space="0" w:color="auto"/>
            </w:tcBorders>
            <w:vAlign w:val="center"/>
          </w:tcPr>
          <w:p w:rsidR="0031717A" w:rsidRDefault="00D304CD" w:rsidP="00484D3B">
            <w:pPr>
              <w:spacing w:line="240" w:lineRule="auto"/>
              <w:jc w:val="center"/>
              <w:rPr>
                <w:rFonts w:eastAsia="Times New Roman" w:cs="Arial"/>
                <w:sz w:val="20"/>
                <w:szCs w:val="20"/>
                <w:lang w:eastAsia="cs-CZ"/>
              </w:rPr>
            </w:pPr>
            <w:r>
              <w:rPr>
                <w:rFonts w:eastAsia="Times New Roman" w:cs="Arial"/>
                <w:sz w:val="20"/>
                <w:szCs w:val="20"/>
                <w:lang w:eastAsia="cs-CZ"/>
              </w:rPr>
              <w:t>18 030</w:t>
            </w:r>
          </w:p>
        </w:tc>
        <w:tc>
          <w:tcPr>
            <w:tcW w:w="904" w:type="dxa"/>
            <w:tcBorders>
              <w:bottom w:val="double" w:sz="4" w:space="0" w:color="auto"/>
            </w:tcBorders>
            <w:vAlign w:val="center"/>
          </w:tcPr>
          <w:p w:rsidR="0031717A" w:rsidRDefault="006B50B2" w:rsidP="00484D3B">
            <w:pPr>
              <w:spacing w:line="240" w:lineRule="auto"/>
              <w:jc w:val="center"/>
              <w:rPr>
                <w:rFonts w:eastAsia="Times New Roman" w:cs="Arial"/>
                <w:sz w:val="20"/>
                <w:szCs w:val="20"/>
                <w:lang w:eastAsia="cs-CZ"/>
              </w:rPr>
            </w:pPr>
            <w:r>
              <w:rPr>
                <w:rFonts w:eastAsia="Times New Roman" w:cs="Arial"/>
                <w:sz w:val="20"/>
                <w:szCs w:val="20"/>
                <w:lang w:eastAsia="cs-CZ"/>
              </w:rPr>
              <w:t>18 799</w:t>
            </w:r>
          </w:p>
        </w:tc>
      </w:tr>
      <w:tr w:rsidR="006B50B2" w:rsidTr="00AB0A51">
        <w:trPr>
          <w:trHeight w:val="360"/>
        </w:trPr>
        <w:tc>
          <w:tcPr>
            <w:tcW w:w="5650" w:type="dxa"/>
            <w:gridSpan w:val="3"/>
            <w:tcBorders>
              <w:top w:val="double" w:sz="4" w:space="0" w:color="auto"/>
              <w:left w:val="double" w:sz="4" w:space="0" w:color="auto"/>
              <w:bottom w:val="double" w:sz="4" w:space="0" w:color="auto"/>
            </w:tcBorders>
            <w:noWrap/>
            <w:vAlign w:val="center"/>
          </w:tcPr>
          <w:p w:rsidR="006B50B2" w:rsidRPr="006B50B2" w:rsidRDefault="006B50B2" w:rsidP="00484D3B">
            <w:pPr>
              <w:spacing w:line="240" w:lineRule="auto"/>
              <w:jc w:val="center"/>
              <w:rPr>
                <w:rFonts w:cs="Arial"/>
                <w:b/>
                <w:sz w:val="20"/>
                <w:szCs w:val="20"/>
              </w:rPr>
            </w:pPr>
            <w:r w:rsidRPr="006B50B2">
              <w:rPr>
                <w:rFonts w:cs="Arial"/>
                <w:b/>
                <w:sz w:val="20"/>
                <w:szCs w:val="20"/>
              </w:rPr>
              <w:t>Celkem mzdy v České republice</w:t>
            </w:r>
          </w:p>
        </w:tc>
        <w:tc>
          <w:tcPr>
            <w:tcW w:w="902" w:type="dxa"/>
            <w:tcBorders>
              <w:top w:val="double" w:sz="4" w:space="0" w:color="auto"/>
              <w:bottom w:val="double" w:sz="4" w:space="0" w:color="auto"/>
            </w:tcBorders>
            <w:noWrap/>
            <w:vAlign w:val="center"/>
          </w:tcPr>
          <w:p w:rsidR="006B50B2" w:rsidRPr="006B50B2" w:rsidRDefault="00D540F0" w:rsidP="00484D3B">
            <w:pPr>
              <w:spacing w:line="240" w:lineRule="auto"/>
              <w:jc w:val="center"/>
              <w:rPr>
                <w:rFonts w:eastAsia="Times New Roman" w:cs="Arial"/>
                <w:b/>
                <w:sz w:val="20"/>
                <w:szCs w:val="20"/>
                <w:lang w:eastAsia="cs-CZ"/>
              </w:rPr>
            </w:pPr>
            <w:r>
              <w:rPr>
                <w:rFonts w:eastAsia="Times New Roman" w:cs="Arial"/>
                <w:b/>
                <w:sz w:val="20"/>
                <w:szCs w:val="20"/>
                <w:lang w:eastAsia="cs-CZ"/>
              </w:rPr>
              <w:t>22 971</w:t>
            </w:r>
          </w:p>
        </w:tc>
        <w:tc>
          <w:tcPr>
            <w:tcW w:w="904" w:type="dxa"/>
            <w:tcBorders>
              <w:top w:val="double" w:sz="4" w:space="0" w:color="auto"/>
              <w:bottom w:val="double" w:sz="4" w:space="0" w:color="auto"/>
            </w:tcBorders>
            <w:vAlign w:val="center"/>
          </w:tcPr>
          <w:p w:rsidR="006B50B2" w:rsidRPr="006B50B2" w:rsidRDefault="00D540F0" w:rsidP="00484D3B">
            <w:pPr>
              <w:spacing w:line="240" w:lineRule="auto"/>
              <w:jc w:val="center"/>
              <w:rPr>
                <w:rFonts w:eastAsia="Times New Roman" w:cs="Arial"/>
                <w:b/>
                <w:sz w:val="20"/>
                <w:szCs w:val="20"/>
                <w:lang w:eastAsia="cs-CZ"/>
              </w:rPr>
            </w:pPr>
            <w:r>
              <w:rPr>
                <w:rFonts w:eastAsia="Times New Roman" w:cs="Arial"/>
                <w:b/>
                <w:sz w:val="20"/>
                <w:szCs w:val="20"/>
                <w:lang w:eastAsia="cs-CZ"/>
              </w:rPr>
              <w:t>27 777</w:t>
            </w:r>
          </w:p>
        </w:tc>
        <w:tc>
          <w:tcPr>
            <w:tcW w:w="903" w:type="dxa"/>
            <w:tcBorders>
              <w:top w:val="double" w:sz="4" w:space="0" w:color="auto"/>
              <w:bottom w:val="double" w:sz="4" w:space="0" w:color="auto"/>
            </w:tcBorders>
            <w:vAlign w:val="center"/>
          </w:tcPr>
          <w:p w:rsidR="006B50B2" w:rsidRPr="006B50B2" w:rsidRDefault="006B50B2" w:rsidP="00484D3B">
            <w:pPr>
              <w:spacing w:line="240" w:lineRule="auto"/>
              <w:jc w:val="center"/>
              <w:rPr>
                <w:rFonts w:eastAsia="Times New Roman" w:cs="Arial"/>
                <w:b/>
                <w:sz w:val="20"/>
                <w:szCs w:val="20"/>
                <w:lang w:eastAsia="cs-CZ"/>
              </w:rPr>
            </w:pPr>
            <w:r w:rsidRPr="006B50B2">
              <w:rPr>
                <w:rFonts w:eastAsia="Times New Roman" w:cs="Arial"/>
                <w:b/>
                <w:sz w:val="20"/>
                <w:szCs w:val="20"/>
                <w:lang w:eastAsia="cs-CZ"/>
              </w:rPr>
              <w:t>23 409</w:t>
            </w:r>
          </w:p>
        </w:tc>
        <w:tc>
          <w:tcPr>
            <w:tcW w:w="904" w:type="dxa"/>
            <w:tcBorders>
              <w:top w:val="double" w:sz="4" w:space="0" w:color="auto"/>
              <w:bottom w:val="double" w:sz="4" w:space="0" w:color="auto"/>
              <w:right w:val="double" w:sz="4" w:space="0" w:color="auto"/>
            </w:tcBorders>
            <w:vAlign w:val="center"/>
          </w:tcPr>
          <w:p w:rsidR="006B50B2" w:rsidRPr="006B50B2" w:rsidRDefault="006B50B2" w:rsidP="00484D3B">
            <w:pPr>
              <w:spacing w:line="240" w:lineRule="auto"/>
              <w:jc w:val="center"/>
              <w:rPr>
                <w:rFonts w:eastAsia="Times New Roman" w:cs="Arial"/>
                <w:b/>
                <w:sz w:val="20"/>
                <w:szCs w:val="20"/>
                <w:lang w:eastAsia="cs-CZ"/>
              </w:rPr>
            </w:pPr>
            <w:r w:rsidRPr="006B50B2">
              <w:rPr>
                <w:rFonts w:eastAsia="Times New Roman" w:cs="Arial"/>
                <w:b/>
                <w:sz w:val="20"/>
                <w:szCs w:val="20"/>
                <w:lang w:eastAsia="cs-CZ"/>
              </w:rPr>
              <w:t>28 556</w:t>
            </w:r>
          </w:p>
        </w:tc>
      </w:tr>
      <w:tr w:rsidR="004C0803" w:rsidTr="00AB0A51">
        <w:trPr>
          <w:trHeight w:val="360"/>
        </w:trPr>
        <w:tc>
          <w:tcPr>
            <w:tcW w:w="4789" w:type="dxa"/>
            <w:gridSpan w:val="2"/>
            <w:tcBorders>
              <w:top w:val="double" w:sz="4" w:space="0" w:color="auto"/>
              <w:left w:val="nil"/>
              <w:bottom w:val="nil"/>
            </w:tcBorders>
            <w:noWrap/>
            <w:vAlign w:val="center"/>
          </w:tcPr>
          <w:p w:rsidR="004C0803" w:rsidRPr="00AB0A51" w:rsidRDefault="004C0803" w:rsidP="00AB0A51">
            <w:pPr>
              <w:spacing w:line="240" w:lineRule="auto"/>
              <w:jc w:val="right"/>
              <w:rPr>
                <w:rFonts w:cs="Arial"/>
                <w:i/>
                <w:sz w:val="20"/>
                <w:szCs w:val="20"/>
              </w:rPr>
            </w:pPr>
          </w:p>
        </w:tc>
        <w:tc>
          <w:tcPr>
            <w:tcW w:w="861" w:type="dxa"/>
            <w:tcBorders>
              <w:top w:val="double" w:sz="4" w:space="0" w:color="auto"/>
            </w:tcBorders>
            <w:vAlign w:val="center"/>
          </w:tcPr>
          <w:p w:rsidR="004C0803" w:rsidRPr="004C0803" w:rsidRDefault="004C0803" w:rsidP="004C0803">
            <w:pPr>
              <w:spacing w:line="240" w:lineRule="auto"/>
              <w:jc w:val="right"/>
              <w:rPr>
                <w:rFonts w:cs="Arial"/>
                <w:i/>
                <w:sz w:val="20"/>
                <w:szCs w:val="20"/>
              </w:rPr>
            </w:pPr>
            <w:r w:rsidRPr="00AB0A51">
              <w:rPr>
                <w:rFonts w:cs="Arial"/>
                <w:i/>
                <w:sz w:val="20"/>
                <w:szCs w:val="20"/>
              </w:rPr>
              <w:t>muži</w:t>
            </w:r>
          </w:p>
        </w:tc>
        <w:tc>
          <w:tcPr>
            <w:tcW w:w="902" w:type="dxa"/>
            <w:tcBorders>
              <w:top w:val="double" w:sz="4" w:space="0" w:color="auto"/>
            </w:tcBorders>
            <w:noWrap/>
            <w:vAlign w:val="center"/>
          </w:tcPr>
          <w:p w:rsidR="004C0803" w:rsidRPr="00AB0A51" w:rsidRDefault="004C0803" w:rsidP="00484D3B">
            <w:pPr>
              <w:spacing w:line="240" w:lineRule="auto"/>
              <w:jc w:val="center"/>
              <w:rPr>
                <w:rFonts w:eastAsia="Times New Roman" w:cs="Arial"/>
                <w:i/>
                <w:sz w:val="20"/>
                <w:szCs w:val="20"/>
                <w:lang w:eastAsia="cs-CZ"/>
              </w:rPr>
            </w:pPr>
            <w:r w:rsidRPr="00AB0A51">
              <w:rPr>
                <w:rFonts w:eastAsia="Times New Roman" w:cs="Arial"/>
                <w:i/>
                <w:sz w:val="20"/>
                <w:szCs w:val="20"/>
                <w:lang w:eastAsia="cs-CZ"/>
              </w:rPr>
              <w:t>25 224</w:t>
            </w:r>
          </w:p>
        </w:tc>
        <w:tc>
          <w:tcPr>
            <w:tcW w:w="904" w:type="dxa"/>
            <w:tcBorders>
              <w:top w:val="double" w:sz="4" w:space="0" w:color="auto"/>
            </w:tcBorders>
            <w:vAlign w:val="center"/>
          </w:tcPr>
          <w:p w:rsidR="004C0803" w:rsidRPr="00AB0A51" w:rsidRDefault="004C0803" w:rsidP="00484D3B">
            <w:pPr>
              <w:spacing w:line="240" w:lineRule="auto"/>
              <w:jc w:val="center"/>
              <w:rPr>
                <w:rFonts w:eastAsia="Times New Roman" w:cs="Arial"/>
                <w:i/>
                <w:sz w:val="20"/>
                <w:szCs w:val="20"/>
                <w:lang w:eastAsia="cs-CZ"/>
              </w:rPr>
            </w:pPr>
            <w:r>
              <w:rPr>
                <w:rFonts w:eastAsia="Times New Roman" w:cs="Arial"/>
                <w:i/>
                <w:sz w:val="20"/>
                <w:szCs w:val="20"/>
                <w:lang w:eastAsia="cs-CZ"/>
              </w:rPr>
              <w:t>30 771</w:t>
            </w:r>
          </w:p>
        </w:tc>
        <w:tc>
          <w:tcPr>
            <w:tcW w:w="903" w:type="dxa"/>
            <w:tcBorders>
              <w:top w:val="double" w:sz="4" w:space="0" w:color="auto"/>
            </w:tcBorders>
            <w:vAlign w:val="center"/>
          </w:tcPr>
          <w:p w:rsidR="004C0803" w:rsidRPr="00AB0A51" w:rsidRDefault="004C0803" w:rsidP="00484D3B">
            <w:pPr>
              <w:spacing w:line="240" w:lineRule="auto"/>
              <w:jc w:val="center"/>
              <w:rPr>
                <w:rFonts w:eastAsia="Times New Roman" w:cs="Arial"/>
                <w:i/>
                <w:sz w:val="20"/>
                <w:szCs w:val="20"/>
                <w:lang w:eastAsia="cs-CZ"/>
              </w:rPr>
            </w:pPr>
            <w:r>
              <w:rPr>
                <w:rFonts w:eastAsia="Times New Roman" w:cs="Arial"/>
                <w:i/>
                <w:sz w:val="20"/>
                <w:szCs w:val="20"/>
                <w:lang w:eastAsia="cs-CZ"/>
              </w:rPr>
              <w:t>25 624</w:t>
            </w:r>
          </w:p>
        </w:tc>
        <w:tc>
          <w:tcPr>
            <w:tcW w:w="904" w:type="dxa"/>
            <w:tcBorders>
              <w:top w:val="double" w:sz="4" w:space="0" w:color="auto"/>
            </w:tcBorders>
            <w:vAlign w:val="center"/>
          </w:tcPr>
          <w:p w:rsidR="004C0803" w:rsidRPr="00AB0A51" w:rsidRDefault="004C0803" w:rsidP="00484D3B">
            <w:pPr>
              <w:spacing w:line="240" w:lineRule="auto"/>
              <w:jc w:val="center"/>
              <w:rPr>
                <w:rFonts w:eastAsia="Times New Roman" w:cs="Arial"/>
                <w:i/>
                <w:sz w:val="20"/>
                <w:szCs w:val="20"/>
                <w:lang w:eastAsia="cs-CZ"/>
              </w:rPr>
            </w:pPr>
            <w:r>
              <w:rPr>
                <w:rFonts w:eastAsia="Times New Roman" w:cs="Arial"/>
                <w:i/>
                <w:sz w:val="20"/>
                <w:szCs w:val="20"/>
                <w:lang w:eastAsia="cs-CZ"/>
              </w:rPr>
              <w:t>31 603</w:t>
            </w:r>
          </w:p>
        </w:tc>
      </w:tr>
      <w:tr w:rsidR="004C0803" w:rsidTr="00AB0A51">
        <w:trPr>
          <w:trHeight w:val="360"/>
        </w:trPr>
        <w:tc>
          <w:tcPr>
            <w:tcW w:w="4789" w:type="dxa"/>
            <w:gridSpan w:val="2"/>
            <w:tcBorders>
              <w:top w:val="nil"/>
              <w:left w:val="nil"/>
              <w:bottom w:val="nil"/>
            </w:tcBorders>
            <w:noWrap/>
            <w:vAlign w:val="center"/>
          </w:tcPr>
          <w:p w:rsidR="004C0803" w:rsidRPr="00AB0A51" w:rsidRDefault="004C0803" w:rsidP="00AB0A51">
            <w:pPr>
              <w:spacing w:line="240" w:lineRule="auto"/>
              <w:jc w:val="right"/>
              <w:rPr>
                <w:rFonts w:cs="Arial"/>
                <w:i/>
                <w:sz w:val="20"/>
                <w:szCs w:val="20"/>
              </w:rPr>
            </w:pPr>
          </w:p>
        </w:tc>
        <w:tc>
          <w:tcPr>
            <w:tcW w:w="861" w:type="dxa"/>
            <w:vAlign w:val="center"/>
          </w:tcPr>
          <w:p w:rsidR="004C0803" w:rsidRPr="004C0803" w:rsidRDefault="004C0803" w:rsidP="004C0803">
            <w:pPr>
              <w:spacing w:line="240" w:lineRule="auto"/>
              <w:jc w:val="right"/>
              <w:rPr>
                <w:rFonts w:cs="Arial"/>
                <w:i/>
                <w:sz w:val="20"/>
                <w:szCs w:val="20"/>
              </w:rPr>
            </w:pPr>
            <w:r w:rsidRPr="00AB0A51">
              <w:rPr>
                <w:rFonts w:cs="Arial"/>
                <w:i/>
                <w:sz w:val="20"/>
                <w:szCs w:val="20"/>
              </w:rPr>
              <w:t>ženy</w:t>
            </w:r>
          </w:p>
        </w:tc>
        <w:tc>
          <w:tcPr>
            <w:tcW w:w="902" w:type="dxa"/>
            <w:noWrap/>
            <w:vAlign w:val="center"/>
          </w:tcPr>
          <w:p w:rsidR="004C0803" w:rsidRPr="00AB0A51" w:rsidRDefault="004C0803" w:rsidP="00484D3B">
            <w:pPr>
              <w:spacing w:line="240" w:lineRule="auto"/>
              <w:jc w:val="center"/>
              <w:rPr>
                <w:rFonts w:eastAsia="Times New Roman" w:cs="Arial"/>
                <w:i/>
                <w:sz w:val="20"/>
                <w:szCs w:val="20"/>
                <w:lang w:eastAsia="cs-CZ"/>
              </w:rPr>
            </w:pPr>
            <w:r>
              <w:rPr>
                <w:rFonts w:eastAsia="Times New Roman" w:cs="Arial"/>
                <w:i/>
                <w:sz w:val="20"/>
                <w:szCs w:val="20"/>
                <w:lang w:eastAsia="cs-CZ"/>
              </w:rPr>
              <w:t>19 852</w:t>
            </w:r>
          </w:p>
        </w:tc>
        <w:tc>
          <w:tcPr>
            <w:tcW w:w="904" w:type="dxa"/>
            <w:vAlign w:val="center"/>
          </w:tcPr>
          <w:p w:rsidR="004C0803" w:rsidRPr="00AB0A51" w:rsidRDefault="004C0803" w:rsidP="00484D3B">
            <w:pPr>
              <w:spacing w:line="240" w:lineRule="auto"/>
              <w:jc w:val="center"/>
              <w:rPr>
                <w:rFonts w:eastAsia="Times New Roman" w:cs="Arial"/>
                <w:i/>
                <w:sz w:val="20"/>
                <w:szCs w:val="20"/>
                <w:lang w:eastAsia="cs-CZ"/>
              </w:rPr>
            </w:pPr>
            <w:r>
              <w:rPr>
                <w:rFonts w:eastAsia="Times New Roman" w:cs="Arial"/>
                <w:i/>
                <w:sz w:val="20"/>
                <w:szCs w:val="20"/>
                <w:lang w:eastAsia="cs-CZ"/>
              </w:rPr>
              <w:t>23 394</w:t>
            </w:r>
          </w:p>
        </w:tc>
        <w:tc>
          <w:tcPr>
            <w:tcW w:w="903" w:type="dxa"/>
            <w:vAlign w:val="center"/>
          </w:tcPr>
          <w:p w:rsidR="004C0803" w:rsidRPr="00AB0A51" w:rsidRDefault="004C0803" w:rsidP="00484D3B">
            <w:pPr>
              <w:spacing w:line="240" w:lineRule="auto"/>
              <w:jc w:val="center"/>
              <w:rPr>
                <w:rFonts w:eastAsia="Times New Roman" w:cs="Arial"/>
                <w:i/>
                <w:sz w:val="20"/>
                <w:szCs w:val="20"/>
                <w:lang w:eastAsia="cs-CZ"/>
              </w:rPr>
            </w:pPr>
            <w:r>
              <w:rPr>
                <w:rFonts w:eastAsia="Times New Roman" w:cs="Arial"/>
                <w:i/>
                <w:sz w:val="20"/>
                <w:szCs w:val="20"/>
                <w:lang w:eastAsia="cs-CZ"/>
              </w:rPr>
              <w:t>20 319</w:t>
            </w:r>
          </w:p>
        </w:tc>
        <w:tc>
          <w:tcPr>
            <w:tcW w:w="904" w:type="dxa"/>
            <w:vAlign w:val="center"/>
          </w:tcPr>
          <w:p w:rsidR="004C0803" w:rsidRPr="00AB0A51" w:rsidRDefault="004C0803" w:rsidP="00484D3B">
            <w:pPr>
              <w:spacing w:line="240" w:lineRule="auto"/>
              <w:jc w:val="center"/>
              <w:rPr>
                <w:rFonts w:eastAsia="Times New Roman" w:cs="Arial"/>
                <w:i/>
                <w:sz w:val="20"/>
                <w:szCs w:val="20"/>
                <w:lang w:eastAsia="cs-CZ"/>
              </w:rPr>
            </w:pPr>
            <w:r w:rsidRPr="00AB0A51">
              <w:rPr>
                <w:rFonts w:eastAsia="Times New Roman" w:cs="Arial"/>
                <w:i/>
                <w:sz w:val="20"/>
                <w:szCs w:val="20"/>
                <w:lang w:eastAsia="cs-CZ"/>
              </w:rPr>
              <w:t>24 079</w:t>
            </w:r>
          </w:p>
        </w:tc>
      </w:tr>
      <w:tr w:rsidR="004C0803" w:rsidTr="004C0803">
        <w:trPr>
          <w:trHeight w:val="360"/>
        </w:trPr>
        <w:tc>
          <w:tcPr>
            <w:tcW w:w="4789" w:type="dxa"/>
            <w:gridSpan w:val="2"/>
            <w:tcBorders>
              <w:top w:val="nil"/>
              <w:left w:val="nil"/>
              <w:bottom w:val="nil"/>
            </w:tcBorders>
            <w:noWrap/>
            <w:vAlign w:val="center"/>
          </w:tcPr>
          <w:p w:rsidR="004C0803" w:rsidRPr="004C0803" w:rsidRDefault="004C0803" w:rsidP="004C0803">
            <w:pPr>
              <w:spacing w:line="240" w:lineRule="auto"/>
              <w:jc w:val="right"/>
              <w:rPr>
                <w:rFonts w:cs="Arial"/>
                <w:i/>
                <w:sz w:val="20"/>
                <w:szCs w:val="20"/>
              </w:rPr>
            </w:pPr>
          </w:p>
        </w:tc>
        <w:tc>
          <w:tcPr>
            <w:tcW w:w="861" w:type="dxa"/>
            <w:vAlign w:val="center"/>
          </w:tcPr>
          <w:p w:rsidR="004C0803" w:rsidRPr="004C0803" w:rsidRDefault="004C0803" w:rsidP="004C0803">
            <w:pPr>
              <w:spacing w:line="240" w:lineRule="auto"/>
              <w:jc w:val="right"/>
              <w:rPr>
                <w:rFonts w:cs="Arial"/>
                <w:i/>
                <w:sz w:val="20"/>
                <w:szCs w:val="20"/>
              </w:rPr>
            </w:pPr>
            <w:r>
              <w:rPr>
                <w:rFonts w:cs="Arial"/>
                <w:i/>
                <w:sz w:val="20"/>
                <w:szCs w:val="20"/>
              </w:rPr>
              <w:t>rozdíl</w:t>
            </w:r>
          </w:p>
        </w:tc>
        <w:tc>
          <w:tcPr>
            <w:tcW w:w="902" w:type="dxa"/>
            <w:noWrap/>
            <w:vAlign w:val="center"/>
          </w:tcPr>
          <w:p w:rsidR="004C0803" w:rsidRDefault="004C0803" w:rsidP="00484D3B">
            <w:pPr>
              <w:spacing w:line="240" w:lineRule="auto"/>
              <w:jc w:val="center"/>
              <w:rPr>
                <w:rFonts w:eastAsia="Times New Roman" w:cs="Arial"/>
                <w:i/>
                <w:sz w:val="20"/>
                <w:szCs w:val="20"/>
                <w:lang w:eastAsia="cs-CZ"/>
              </w:rPr>
            </w:pPr>
            <w:r>
              <w:rPr>
                <w:rFonts w:eastAsia="Times New Roman" w:cs="Arial"/>
                <w:i/>
                <w:sz w:val="20"/>
                <w:szCs w:val="20"/>
                <w:lang w:eastAsia="cs-CZ"/>
              </w:rPr>
              <w:t>5 372</w:t>
            </w:r>
          </w:p>
        </w:tc>
        <w:tc>
          <w:tcPr>
            <w:tcW w:w="904" w:type="dxa"/>
            <w:vAlign w:val="center"/>
          </w:tcPr>
          <w:p w:rsidR="004C0803" w:rsidRDefault="004C0803" w:rsidP="00484D3B">
            <w:pPr>
              <w:spacing w:line="240" w:lineRule="auto"/>
              <w:jc w:val="center"/>
              <w:rPr>
                <w:rFonts w:eastAsia="Times New Roman" w:cs="Arial"/>
                <w:i/>
                <w:sz w:val="20"/>
                <w:szCs w:val="20"/>
                <w:lang w:eastAsia="cs-CZ"/>
              </w:rPr>
            </w:pPr>
            <w:r w:rsidRPr="004C0803">
              <w:rPr>
                <w:rFonts w:eastAsia="Times New Roman" w:cs="Arial"/>
                <w:i/>
                <w:sz w:val="20"/>
                <w:szCs w:val="20"/>
                <w:lang w:eastAsia="cs-CZ"/>
              </w:rPr>
              <w:t>7</w:t>
            </w:r>
            <w:r>
              <w:rPr>
                <w:rFonts w:eastAsia="Times New Roman" w:cs="Arial"/>
                <w:i/>
                <w:sz w:val="20"/>
                <w:szCs w:val="20"/>
                <w:lang w:eastAsia="cs-CZ"/>
              </w:rPr>
              <w:t xml:space="preserve"> </w:t>
            </w:r>
            <w:r w:rsidRPr="004C0803">
              <w:rPr>
                <w:rFonts w:eastAsia="Times New Roman" w:cs="Arial"/>
                <w:i/>
                <w:sz w:val="20"/>
                <w:szCs w:val="20"/>
                <w:lang w:eastAsia="cs-CZ"/>
              </w:rPr>
              <w:t>377</w:t>
            </w:r>
          </w:p>
        </w:tc>
        <w:tc>
          <w:tcPr>
            <w:tcW w:w="903" w:type="dxa"/>
            <w:vAlign w:val="center"/>
          </w:tcPr>
          <w:p w:rsidR="004C0803" w:rsidRDefault="004C0803" w:rsidP="00484D3B">
            <w:pPr>
              <w:spacing w:line="240" w:lineRule="auto"/>
              <w:jc w:val="center"/>
              <w:rPr>
                <w:rFonts w:eastAsia="Times New Roman" w:cs="Arial"/>
                <w:i/>
                <w:sz w:val="20"/>
                <w:szCs w:val="20"/>
                <w:lang w:eastAsia="cs-CZ"/>
              </w:rPr>
            </w:pPr>
            <w:r w:rsidRPr="004C0803">
              <w:rPr>
                <w:rFonts w:eastAsia="Times New Roman" w:cs="Arial"/>
                <w:i/>
                <w:sz w:val="20"/>
                <w:szCs w:val="20"/>
                <w:lang w:eastAsia="cs-CZ"/>
              </w:rPr>
              <w:t>5</w:t>
            </w:r>
            <w:r>
              <w:rPr>
                <w:rFonts w:eastAsia="Times New Roman" w:cs="Arial"/>
                <w:i/>
                <w:sz w:val="20"/>
                <w:szCs w:val="20"/>
                <w:lang w:eastAsia="cs-CZ"/>
              </w:rPr>
              <w:t xml:space="preserve"> </w:t>
            </w:r>
            <w:r w:rsidRPr="004C0803">
              <w:rPr>
                <w:rFonts w:eastAsia="Times New Roman" w:cs="Arial"/>
                <w:i/>
                <w:sz w:val="20"/>
                <w:szCs w:val="20"/>
                <w:lang w:eastAsia="cs-CZ"/>
              </w:rPr>
              <w:t>305</w:t>
            </w:r>
          </w:p>
        </w:tc>
        <w:tc>
          <w:tcPr>
            <w:tcW w:w="904" w:type="dxa"/>
            <w:vAlign w:val="center"/>
          </w:tcPr>
          <w:p w:rsidR="004C0803" w:rsidRPr="004C0803" w:rsidRDefault="004C0803" w:rsidP="00484D3B">
            <w:pPr>
              <w:spacing w:line="240" w:lineRule="auto"/>
              <w:jc w:val="center"/>
              <w:rPr>
                <w:rFonts w:eastAsia="Times New Roman" w:cs="Arial"/>
                <w:i/>
                <w:sz w:val="20"/>
                <w:szCs w:val="20"/>
                <w:lang w:eastAsia="cs-CZ"/>
              </w:rPr>
            </w:pPr>
            <w:r w:rsidRPr="004C0803">
              <w:rPr>
                <w:rFonts w:eastAsia="Times New Roman" w:cs="Arial"/>
                <w:i/>
                <w:sz w:val="20"/>
                <w:szCs w:val="20"/>
                <w:lang w:eastAsia="cs-CZ"/>
              </w:rPr>
              <w:t>7</w:t>
            </w:r>
            <w:r w:rsidR="000A0CD4">
              <w:rPr>
                <w:rFonts w:eastAsia="Times New Roman" w:cs="Arial"/>
                <w:i/>
                <w:sz w:val="20"/>
                <w:szCs w:val="20"/>
                <w:lang w:eastAsia="cs-CZ"/>
              </w:rPr>
              <w:t xml:space="preserve"> </w:t>
            </w:r>
            <w:r w:rsidRPr="004C0803">
              <w:rPr>
                <w:rFonts w:eastAsia="Times New Roman" w:cs="Arial"/>
                <w:i/>
                <w:sz w:val="20"/>
                <w:szCs w:val="20"/>
                <w:lang w:eastAsia="cs-CZ"/>
              </w:rPr>
              <w:t>524</w:t>
            </w:r>
          </w:p>
        </w:tc>
      </w:tr>
    </w:tbl>
    <w:p w:rsidR="001324AF" w:rsidRDefault="00205704" w:rsidP="00AB0A51">
      <w:pPr>
        <w:spacing w:before="120" w:after="120" w:line="240" w:lineRule="auto"/>
      </w:pPr>
      <w:r w:rsidRPr="00205704">
        <w:t>Z</w:t>
      </w:r>
      <w:r>
        <w:t> </w:t>
      </w:r>
      <w:r w:rsidRPr="00205704">
        <w:t>vý</w:t>
      </w:r>
      <w:r>
        <w:t>še uvedené tabulky je patrný nárůst mezd ve všech vybraných skupinách zaměstnání CZ-ISCO, nicméně s výjimkou skupiny 721 (</w:t>
      </w:r>
      <w:r>
        <w:rPr>
          <w:i/>
        </w:rPr>
        <w:t>Slévači</w:t>
      </w:r>
      <w:r>
        <w:t>) a 722 (</w:t>
      </w:r>
      <w:r>
        <w:rPr>
          <w:i/>
        </w:rPr>
        <w:t>Kováři, nástrojáři</w:t>
      </w:r>
      <w:r>
        <w:t>) nedosahují průměrné mzdy ani mediány hodnot průměrných výdělků v ČR.</w:t>
      </w:r>
    </w:p>
    <w:p w:rsidR="005825B5" w:rsidRPr="00C37A04" w:rsidRDefault="005825B5" w:rsidP="00484D3B">
      <w:pPr>
        <w:pStyle w:val="Titulek"/>
        <w:keepNext/>
        <w:rPr>
          <w:vertAlign w:val="superscript"/>
        </w:rPr>
      </w:pPr>
      <w:bookmarkStart w:id="20" w:name="_Toc476556298"/>
      <w:r>
        <w:t xml:space="preserve">Tabulka </w:t>
      </w:r>
      <w:r w:rsidR="00AB7C96">
        <w:fldChar w:fldCharType="begin"/>
      </w:r>
      <w:r w:rsidR="00AB7C96">
        <w:instrText xml:space="preserve"> SEQ Tabulka \* ARABIC </w:instrText>
      </w:r>
      <w:r w:rsidR="00AB7C96">
        <w:fldChar w:fldCharType="separate"/>
      </w:r>
      <w:r w:rsidR="004A5D48">
        <w:rPr>
          <w:noProof/>
        </w:rPr>
        <w:t>4</w:t>
      </w:r>
      <w:r w:rsidR="00AB7C96">
        <w:rPr>
          <w:noProof/>
        </w:rPr>
        <w:fldChar w:fldCharType="end"/>
      </w:r>
      <w:r>
        <w:t xml:space="preserve"> Průměrné výdělky podle státního občanství</w:t>
      </w:r>
      <w:r w:rsidR="000901EA">
        <w:t xml:space="preserve"> (v Kč/měsíc)</w:t>
      </w:r>
      <w:r>
        <w:t xml:space="preserve"> </w:t>
      </w:r>
      <w:r w:rsidR="00920BB4">
        <w:rPr>
          <w:rStyle w:val="Znakapoznpodarou"/>
        </w:rPr>
        <w:footnoteReference w:id="6"/>
      </w:r>
      <w:bookmarkEnd w:id="20"/>
    </w:p>
    <w:tbl>
      <w:tblPr>
        <w:tblW w:w="907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11"/>
        <w:gridCol w:w="1415"/>
        <w:gridCol w:w="1416"/>
        <w:gridCol w:w="1415"/>
        <w:gridCol w:w="1416"/>
      </w:tblGrid>
      <w:tr w:rsidR="009C6EFB" w:rsidTr="00C37A04">
        <w:trPr>
          <w:trHeight w:val="77"/>
        </w:trPr>
        <w:tc>
          <w:tcPr>
            <w:tcW w:w="3411" w:type="dxa"/>
            <w:vMerge w:val="restart"/>
            <w:vAlign w:val="center"/>
            <w:hideMark/>
          </w:tcPr>
          <w:p w:rsidR="009C6EFB" w:rsidRDefault="009C6EFB" w:rsidP="00484D3B">
            <w:pPr>
              <w:spacing w:line="240" w:lineRule="auto"/>
              <w:jc w:val="center"/>
              <w:rPr>
                <w:rFonts w:eastAsia="Times New Roman" w:cs="Arial"/>
                <w:b/>
                <w:bCs/>
                <w:sz w:val="18"/>
                <w:szCs w:val="18"/>
                <w:lang w:eastAsia="cs-CZ"/>
              </w:rPr>
            </w:pPr>
            <w:r>
              <w:rPr>
                <w:rFonts w:eastAsia="Times New Roman" w:cs="Arial"/>
                <w:b/>
                <w:bCs/>
                <w:sz w:val="18"/>
                <w:szCs w:val="18"/>
                <w:lang w:eastAsia="cs-CZ"/>
              </w:rPr>
              <w:t>Státní občanství</w:t>
            </w:r>
          </w:p>
        </w:tc>
        <w:tc>
          <w:tcPr>
            <w:tcW w:w="2831" w:type="dxa"/>
            <w:gridSpan w:val="2"/>
            <w:vAlign w:val="center"/>
          </w:tcPr>
          <w:p w:rsidR="009C6EFB" w:rsidRDefault="009C6EFB" w:rsidP="00484D3B">
            <w:pPr>
              <w:spacing w:line="240" w:lineRule="auto"/>
              <w:jc w:val="center"/>
              <w:rPr>
                <w:rFonts w:eastAsia="Times New Roman" w:cs="Arial"/>
                <w:b/>
                <w:bCs/>
                <w:sz w:val="18"/>
                <w:szCs w:val="18"/>
                <w:lang w:eastAsia="cs-CZ"/>
              </w:rPr>
            </w:pPr>
            <w:r>
              <w:rPr>
                <w:rFonts w:eastAsia="Times New Roman" w:cs="Arial"/>
                <w:b/>
                <w:bCs/>
                <w:sz w:val="18"/>
                <w:szCs w:val="18"/>
                <w:lang w:eastAsia="cs-CZ"/>
              </w:rPr>
              <w:t xml:space="preserve">Mzda </w:t>
            </w:r>
            <w:r w:rsidR="00080469">
              <w:rPr>
                <w:rFonts w:eastAsia="Times New Roman" w:cs="Arial"/>
                <w:b/>
                <w:bCs/>
                <w:sz w:val="18"/>
                <w:szCs w:val="18"/>
                <w:lang w:eastAsia="cs-CZ"/>
              </w:rPr>
              <w:t xml:space="preserve">1. pol. </w:t>
            </w:r>
            <w:r>
              <w:rPr>
                <w:rFonts w:eastAsia="Times New Roman" w:cs="Arial"/>
                <w:b/>
                <w:bCs/>
                <w:sz w:val="18"/>
                <w:szCs w:val="18"/>
                <w:lang w:eastAsia="cs-CZ"/>
              </w:rPr>
              <w:t>2015</w:t>
            </w:r>
          </w:p>
        </w:tc>
        <w:tc>
          <w:tcPr>
            <w:tcW w:w="2831" w:type="dxa"/>
            <w:gridSpan w:val="2"/>
            <w:vAlign w:val="center"/>
          </w:tcPr>
          <w:p w:rsidR="009C6EFB" w:rsidRDefault="009C6EFB" w:rsidP="00484D3B">
            <w:pPr>
              <w:spacing w:line="240" w:lineRule="auto"/>
              <w:jc w:val="center"/>
              <w:rPr>
                <w:rFonts w:eastAsia="Times New Roman" w:cs="Arial"/>
                <w:b/>
                <w:bCs/>
                <w:sz w:val="18"/>
                <w:szCs w:val="18"/>
                <w:lang w:eastAsia="cs-CZ"/>
              </w:rPr>
            </w:pPr>
            <w:r>
              <w:rPr>
                <w:rFonts w:eastAsia="Times New Roman" w:cs="Arial"/>
                <w:b/>
                <w:bCs/>
                <w:sz w:val="18"/>
                <w:szCs w:val="18"/>
                <w:lang w:eastAsia="cs-CZ"/>
              </w:rPr>
              <w:t>Mzda 1. pol. 2016</w:t>
            </w:r>
          </w:p>
        </w:tc>
      </w:tr>
      <w:tr w:rsidR="009C6EFB" w:rsidTr="00C37A04">
        <w:trPr>
          <w:trHeight w:val="89"/>
        </w:trPr>
        <w:tc>
          <w:tcPr>
            <w:tcW w:w="3411" w:type="dxa"/>
            <w:vMerge/>
            <w:noWrap/>
            <w:vAlign w:val="center"/>
          </w:tcPr>
          <w:p w:rsidR="009C6EFB" w:rsidRDefault="009C6EFB" w:rsidP="00484D3B">
            <w:pPr>
              <w:spacing w:line="240" w:lineRule="auto"/>
              <w:rPr>
                <w:rFonts w:cs="Arial"/>
                <w:sz w:val="20"/>
                <w:szCs w:val="20"/>
              </w:rPr>
            </w:pPr>
          </w:p>
        </w:tc>
        <w:tc>
          <w:tcPr>
            <w:tcW w:w="1415" w:type="dxa"/>
            <w:vAlign w:val="center"/>
          </w:tcPr>
          <w:p w:rsidR="009C6EFB" w:rsidRDefault="009C6EFB" w:rsidP="00484D3B">
            <w:pPr>
              <w:spacing w:line="240" w:lineRule="auto"/>
              <w:jc w:val="center"/>
              <w:rPr>
                <w:rFonts w:eastAsia="Times New Roman" w:cs="Arial"/>
                <w:sz w:val="20"/>
                <w:szCs w:val="20"/>
                <w:lang w:eastAsia="cs-CZ"/>
              </w:rPr>
            </w:pPr>
            <w:r>
              <w:rPr>
                <w:rFonts w:eastAsia="Times New Roman" w:cs="Arial"/>
                <w:sz w:val="20"/>
                <w:szCs w:val="20"/>
                <w:lang w:eastAsia="cs-CZ"/>
              </w:rPr>
              <w:t>medián</w:t>
            </w:r>
          </w:p>
        </w:tc>
        <w:tc>
          <w:tcPr>
            <w:tcW w:w="1416" w:type="dxa"/>
            <w:vAlign w:val="center"/>
          </w:tcPr>
          <w:p w:rsidR="009C6EFB" w:rsidRDefault="009C6EFB" w:rsidP="00484D3B">
            <w:pPr>
              <w:spacing w:line="240" w:lineRule="auto"/>
              <w:jc w:val="center"/>
              <w:rPr>
                <w:rFonts w:eastAsia="Times New Roman" w:cs="Arial"/>
                <w:sz w:val="20"/>
                <w:szCs w:val="20"/>
                <w:lang w:eastAsia="cs-CZ"/>
              </w:rPr>
            </w:pPr>
            <w:r>
              <w:rPr>
                <w:rFonts w:eastAsia="Times New Roman" w:cs="Arial"/>
                <w:sz w:val="20"/>
                <w:szCs w:val="20"/>
                <w:lang w:eastAsia="cs-CZ"/>
              </w:rPr>
              <w:t>průměr</w:t>
            </w:r>
          </w:p>
        </w:tc>
        <w:tc>
          <w:tcPr>
            <w:tcW w:w="1415" w:type="dxa"/>
            <w:noWrap/>
            <w:vAlign w:val="center"/>
          </w:tcPr>
          <w:p w:rsidR="009C6EFB" w:rsidRDefault="009C6EFB" w:rsidP="00484D3B">
            <w:pPr>
              <w:spacing w:line="240" w:lineRule="auto"/>
              <w:jc w:val="center"/>
              <w:rPr>
                <w:rFonts w:eastAsia="Times New Roman" w:cs="Arial"/>
                <w:sz w:val="20"/>
                <w:szCs w:val="20"/>
                <w:lang w:eastAsia="cs-CZ"/>
              </w:rPr>
            </w:pPr>
            <w:r>
              <w:rPr>
                <w:rFonts w:eastAsia="Times New Roman" w:cs="Arial"/>
                <w:sz w:val="20"/>
                <w:szCs w:val="20"/>
                <w:lang w:eastAsia="cs-CZ"/>
              </w:rPr>
              <w:t>medián</w:t>
            </w:r>
          </w:p>
        </w:tc>
        <w:tc>
          <w:tcPr>
            <w:tcW w:w="1416" w:type="dxa"/>
            <w:vAlign w:val="center"/>
          </w:tcPr>
          <w:p w:rsidR="009C6EFB" w:rsidRDefault="009C6EFB" w:rsidP="00484D3B">
            <w:pPr>
              <w:spacing w:line="240" w:lineRule="auto"/>
              <w:jc w:val="center"/>
              <w:rPr>
                <w:rFonts w:eastAsia="Times New Roman" w:cs="Arial"/>
                <w:sz w:val="20"/>
                <w:szCs w:val="20"/>
                <w:lang w:eastAsia="cs-CZ"/>
              </w:rPr>
            </w:pPr>
            <w:r>
              <w:rPr>
                <w:rFonts w:eastAsia="Times New Roman" w:cs="Arial"/>
                <w:sz w:val="20"/>
                <w:szCs w:val="20"/>
                <w:lang w:eastAsia="cs-CZ"/>
              </w:rPr>
              <w:t>průměr</w:t>
            </w:r>
          </w:p>
        </w:tc>
      </w:tr>
      <w:tr w:rsidR="009C6EFB" w:rsidTr="00C37A04">
        <w:trPr>
          <w:trHeight w:val="99"/>
        </w:trPr>
        <w:tc>
          <w:tcPr>
            <w:tcW w:w="3411" w:type="dxa"/>
            <w:noWrap/>
            <w:vAlign w:val="center"/>
          </w:tcPr>
          <w:p w:rsidR="009C6EFB" w:rsidRDefault="009C6EFB" w:rsidP="00484D3B">
            <w:pPr>
              <w:spacing w:line="240" w:lineRule="auto"/>
              <w:rPr>
                <w:rFonts w:cs="Arial"/>
                <w:sz w:val="20"/>
                <w:szCs w:val="20"/>
              </w:rPr>
            </w:pPr>
            <w:r>
              <w:rPr>
                <w:rFonts w:cs="Arial"/>
                <w:sz w:val="20"/>
                <w:szCs w:val="20"/>
              </w:rPr>
              <w:t>Česká republika</w:t>
            </w:r>
          </w:p>
        </w:tc>
        <w:tc>
          <w:tcPr>
            <w:tcW w:w="1415" w:type="dxa"/>
            <w:vAlign w:val="center"/>
          </w:tcPr>
          <w:p w:rsidR="009C6EFB" w:rsidRDefault="009C6EFB" w:rsidP="00DA4EE1">
            <w:pPr>
              <w:spacing w:line="240" w:lineRule="auto"/>
              <w:jc w:val="center"/>
              <w:rPr>
                <w:rFonts w:eastAsia="Times New Roman" w:cs="Arial"/>
                <w:sz w:val="20"/>
                <w:szCs w:val="20"/>
                <w:lang w:eastAsia="cs-CZ"/>
              </w:rPr>
            </w:pPr>
            <w:r>
              <w:rPr>
                <w:rFonts w:eastAsia="Times New Roman" w:cs="Arial"/>
                <w:sz w:val="20"/>
                <w:szCs w:val="20"/>
                <w:lang w:eastAsia="cs-CZ"/>
              </w:rPr>
              <w:t xml:space="preserve">22 </w:t>
            </w:r>
            <w:r w:rsidR="00080469">
              <w:rPr>
                <w:rFonts w:eastAsia="Times New Roman" w:cs="Arial"/>
                <w:sz w:val="20"/>
                <w:szCs w:val="20"/>
                <w:lang w:eastAsia="cs-CZ"/>
              </w:rPr>
              <w:t>215</w:t>
            </w:r>
          </w:p>
        </w:tc>
        <w:tc>
          <w:tcPr>
            <w:tcW w:w="1416" w:type="dxa"/>
            <w:vAlign w:val="center"/>
          </w:tcPr>
          <w:p w:rsidR="009C6EFB" w:rsidRDefault="009C6EFB" w:rsidP="00DA4EE1">
            <w:pPr>
              <w:spacing w:line="240" w:lineRule="auto"/>
              <w:jc w:val="center"/>
              <w:rPr>
                <w:rFonts w:eastAsia="Times New Roman" w:cs="Arial"/>
                <w:sz w:val="20"/>
                <w:szCs w:val="20"/>
                <w:lang w:eastAsia="cs-CZ"/>
              </w:rPr>
            </w:pPr>
            <w:r>
              <w:rPr>
                <w:rFonts w:eastAsia="Times New Roman" w:cs="Arial"/>
                <w:sz w:val="20"/>
                <w:szCs w:val="20"/>
                <w:lang w:eastAsia="cs-CZ"/>
              </w:rPr>
              <w:t xml:space="preserve">27 </w:t>
            </w:r>
            <w:r w:rsidR="006D5295">
              <w:rPr>
                <w:rFonts w:eastAsia="Times New Roman" w:cs="Arial"/>
                <w:sz w:val="20"/>
                <w:szCs w:val="20"/>
                <w:lang w:eastAsia="cs-CZ"/>
              </w:rPr>
              <w:t>002</w:t>
            </w:r>
          </w:p>
        </w:tc>
        <w:tc>
          <w:tcPr>
            <w:tcW w:w="1415" w:type="dxa"/>
            <w:noWrap/>
            <w:vAlign w:val="center"/>
          </w:tcPr>
          <w:p w:rsidR="009C6EFB" w:rsidRDefault="009C6EFB" w:rsidP="00484D3B">
            <w:pPr>
              <w:spacing w:line="240" w:lineRule="auto"/>
              <w:jc w:val="center"/>
              <w:rPr>
                <w:rFonts w:eastAsia="Times New Roman" w:cs="Arial"/>
                <w:sz w:val="20"/>
                <w:szCs w:val="20"/>
                <w:lang w:eastAsia="cs-CZ"/>
              </w:rPr>
            </w:pPr>
            <w:r>
              <w:rPr>
                <w:rFonts w:eastAsia="Times New Roman" w:cs="Arial"/>
                <w:sz w:val="20"/>
                <w:szCs w:val="20"/>
                <w:lang w:eastAsia="cs-CZ"/>
              </w:rPr>
              <w:t>23 361</w:t>
            </w:r>
          </w:p>
        </w:tc>
        <w:tc>
          <w:tcPr>
            <w:tcW w:w="1416" w:type="dxa"/>
            <w:vAlign w:val="center"/>
          </w:tcPr>
          <w:p w:rsidR="009C6EFB" w:rsidRDefault="00420C22" w:rsidP="00484D3B">
            <w:pPr>
              <w:spacing w:line="240" w:lineRule="auto"/>
              <w:jc w:val="center"/>
              <w:rPr>
                <w:rFonts w:eastAsia="Times New Roman" w:cs="Arial"/>
                <w:sz w:val="20"/>
                <w:szCs w:val="20"/>
                <w:lang w:eastAsia="cs-CZ"/>
              </w:rPr>
            </w:pPr>
            <w:r>
              <w:rPr>
                <w:rFonts w:eastAsia="Times New Roman" w:cs="Arial"/>
                <w:sz w:val="20"/>
                <w:szCs w:val="20"/>
                <w:lang w:eastAsia="cs-CZ"/>
              </w:rPr>
              <w:t>28 247</w:t>
            </w:r>
          </w:p>
        </w:tc>
      </w:tr>
      <w:tr w:rsidR="009C6EFB" w:rsidTr="00C37A04">
        <w:trPr>
          <w:trHeight w:val="99"/>
        </w:trPr>
        <w:tc>
          <w:tcPr>
            <w:tcW w:w="3411" w:type="dxa"/>
            <w:noWrap/>
            <w:vAlign w:val="center"/>
          </w:tcPr>
          <w:p w:rsidR="009C6EFB" w:rsidRDefault="009C6EFB" w:rsidP="00484D3B">
            <w:pPr>
              <w:spacing w:line="240" w:lineRule="auto"/>
              <w:rPr>
                <w:rFonts w:cs="Arial"/>
                <w:sz w:val="20"/>
                <w:szCs w:val="20"/>
              </w:rPr>
            </w:pPr>
            <w:r>
              <w:rPr>
                <w:rFonts w:cs="Arial"/>
                <w:sz w:val="20"/>
                <w:szCs w:val="20"/>
              </w:rPr>
              <w:t>Slovensko</w:t>
            </w:r>
          </w:p>
        </w:tc>
        <w:tc>
          <w:tcPr>
            <w:tcW w:w="1415" w:type="dxa"/>
            <w:vAlign w:val="center"/>
          </w:tcPr>
          <w:p w:rsidR="009C6EFB" w:rsidRDefault="00080469" w:rsidP="00484D3B">
            <w:pPr>
              <w:spacing w:line="240" w:lineRule="auto"/>
              <w:jc w:val="center"/>
              <w:rPr>
                <w:rFonts w:eastAsia="Times New Roman" w:cs="Arial"/>
                <w:sz w:val="20"/>
                <w:szCs w:val="20"/>
                <w:lang w:eastAsia="cs-CZ"/>
              </w:rPr>
            </w:pPr>
            <w:r>
              <w:rPr>
                <w:rFonts w:eastAsia="Times New Roman" w:cs="Arial"/>
                <w:sz w:val="20"/>
                <w:szCs w:val="20"/>
                <w:lang w:eastAsia="cs-CZ"/>
              </w:rPr>
              <w:t>25 073</w:t>
            </w:r>
          </w:p>
        </w:tc>
        <w:tc>
          <w:tcPr>
            <w:tcW w:w="1416" w:type="dxa"/>
            <w:vAlign w:val="center"/>
          </w:tcPr>
          <w:p w:rsidR="009C6EFB" w:rsidRDefault="006D5295" w:rsidP="00484D3B">
            <w:pPr>
              <w:spacing w:line="240" w:lineRule="auto"/>
              <w:jc w:val="center"/>
              <w:rPr>
                <w:rFonts w:eastAsia="Times New Roman" w:cs="Arial"/>
                <w:sz w:val="20"/>
                <w:szCs w:val="20"/>
                <w:lang w:eastAsia="cs-CZ"/>
              </w:rPr>
            </w:pPr>
            <w:r>
              <w:rPr>
                <w:rFonts w:eastAsia="Times New Roman" w:cs="Arial"/>
                <w:sz w:val="20"/>
                <w:szCs w:val="20"/>
                <w:lang w:eastAsia="cs-CZ"/>
              </w:rPr>
              <w:t>32 824</w:t>
            </w:r>
          </w:p>
        </w:tc>
        <w:tc>
          <w:tcPr>
            <w:tcW w:w="1415" w:type="dxa"/>
            <w:noWrap/>
            <w:vAlign w:val="center"/>
          </w:tcPr>
          <w:p w:rsidR="009C6EFB" w:rsidRDefault="009C6EFB" w:rsidP="00484D3B">
            <w:pPr>
              <w:spacing w:line="240" w:lineRule="auto"/>
              <w:jc w:val="center"/>
              <w:rPr>
                <w:rFonts w:eastAsia="Times New Roman" w:cs="Arial"/>
                <w:sz w:val="20"/>
                <w:szCs w:val="20"/>
                <w:lang w:eastAsia="cs-CZ"/>
              </w:rPr>
            </w:pPr>
            <w:r>
              <w:rPr>
                <w:rFonts w:eastAsia="Times New Roman" w:cs="Arial"/>
                <w:sz w:val="20"/>
                <w:szCs w:val="20"/>
                <w:lang w:eastAsia="cs-CZ"/>
              </w:rPr>
              <w:t>26 478</w:t>
            </w:r>
          </w:p>
        </w:tc>
        <w:tc>
          <w:tcPr>
            <w:tcW w:w="1416" w:type="dxa"/>
            <w:vAlign w:val="center"/>
          </w:tcPr>
          <w:p w:rsidR="009C6EFB" w:rsidRDefault="00420C22" w:rsidP="00484D3B">
            <w:pPr>
              <w:spacing w:line="240" w:lineRule="auto"/>
              <w:jc w:val="center"/>
              <w:rPr>
                <w:rFonts w:eastAsia="Times New Roman" w:cs="Arial"/>
                <w:sz w:val="20"/>
                <w:szCs w:val="20"/>
                <w:lang w:eastAsia="cs-CZ"/>
              </w:rPr>
            </w:pPr>
            <w:r>
              <w:rPr>
                <w:rFonts w:eastAsia="Times New Roman" w:cs="Arial"/>
                <w:sz w:val="20"/>
                <w:szCs w:val="20"/>
                <w:lang w:eastAsia="cs-CZ"/>
              </w:rPr>
              <w:t>34 718</w:t>
            </w:r>
          </w:p>
        </w:tc>
      </w:tr>
      <w:tr w:rsidR="009C6EFB" w:rsidTr="00C37A04">
        <w:trPr>
          <w:trHeight w:val="99"/>
        </w:trPr>
        <w:tc>
          <w:tcPr>
            <w:tcW w:w="3411" w:type="dxa"/>
            <w:noWrap/>
            <w:vAlign w:val="center"/>
          </w:tcPr>
          <w:p w:rsidR="009C6EFB" w:rsidRDefault="009C6EFB" w:rsidP="00484D3B">
            <w:pPr>
              <w:spacing w:line="240" w:lineRule="auto"/>
              <w:rPr>
                <w:rFonts w:cs="Arial"/>
                <w:sz w:val="20"/>
                <w:szCs w:val="20"/>
              </w:rPr>
            </w:pPr>
            <w:r>
              <w:rPr>
                <w:rFonts w:cs="Arial"/>
                <w:sz w:val="20"/>
                <w:szCs w:val="20"/>
              </w:rPr>
              <w:t>Ukrajina</w:t>
            </w:r>
          </w:p>
        </w:tc>
        <w:tc>
          <w:tcPr>
            <w:tcW w:w="1415" w:type="dxa"/>
            <w:vAlign w:val="center"/>
          </w:tcPr>
          <w:p w:rsidR="009C6EFB" w:rsidRDefault="009C6EFB" w:rsidP="00DA4EE1">
            <w:pPr>
              <w:spacing w:line="240" w:lineRule="auto"/>
              <w:jc w:val="center"/>
              <w:rPr>
                <w:rFonts w:eastAsia="Times New Roman" w:cs="Arial"/>
                <w:sz w:val="20"/>
                <w:szCs w:val="20"/>
                <w:lang w:eastAsia="cs-CZ"/>
              </w:rPr>
            </w:pPr>
            <w:r>
              <w:rPr>
                <w:rFonts w:eastAsia="Times New Roman" w:cs="Arial"/>
                <w:sz w:val="20"/>
                <w:szCs w:val="20"/>
                <w:lang w:eastAsia="cs-CZ"/>
              </w:rPr>
              <w:t xml:space="preserve">17 </w:t>
            </w:r>
            <w:r w:rsidR="00080469">
              <w:rPr>
                <w:rFonts w:eastAsia="Times New Roman" w:cs="Arial"/>
                <w:sz w:val="20"/>
                <w:szCs w:val="20"/>
                <w:lang w:eastAsia="cs-CZ"/>
              </w:rPr>
              <w:t>418</w:t>
            </w:r>
          </w:p>
        </w:tc>
        <w:tc>
          <w:tcPr>
            <w:tcW w:w="1416" w:type="dxa"/>
            <w:vAlign w:val="center"/>
          </w:tcPr>
          <w:p w:rsidR="009C6EFB" w:rsidRDefault="006D5295" w:rsidP="00484D3B">
            <w:pPr>
              <w:spacing w:line="240" w:lineRule="auto"/>
              <w:jc w:val="center"/>
              <w:rPr>
                <w:rFonts w:eastAsia="Times New Roman" w:cs="Arial"/>
                <w:sz w:val="20"/>
                <w:szCs w:val="20"/>
                <w:lang w:eastAsia="cs-CZ"/>
              </w:rPr>
            </w:pPr>
            <w:r>
              <w:rPr>
                <w:rFonts w:eastAsia="Times New Roman" w:cs="Arial"/>
                <w:sz w:val="20"/>
                <w:szCs w:val="20"/>
                <w:lang w:eastAsia="cs-CZ"/>
              </w:rPr>
              <w:t>20 597</w:t>
            </w:r>
          </w:p>
        </w:tc>
        <w:tc>
          <w:tcPr>
            <w:tcW w:w="1415" w:type="dxa"/>
            <w:noWrap/>
            <w:vAlign w:val="center"/>
          </w:tcPr>
          <w:p w:rsidR="009C6EFB" w:rsidRDefault="009C6EFB" w:rsidP="00484D3B">
            <w:pPr>
              <w:spacing w:line="240" w:lineRule="auto"/>
              <w:jc w:val="center"/>
              <w:rPr>
                <w:rFonts w:eastAsia="Times New Roman" w:cs="Arial"/>
                <w:sz w:val="20"/>
                <w:szCs w:val="20"/>
                <w:lang w:eastAsia="cs-CZ"/>
              </w:rPr>
            </w:pPr>
            <w:r>
              <w:rPr>
                <w:rFonts w:eastAsia="Times New Roman" w:cs="Arial"/>
                <w:sz w:val="20"/>
                <w:szCs w:val="20"/>
                <w:lang w:eastAsia="cs-CZ"/>
              </w:rPr>
              <w:t>17 994</w:t>
            </w:r>
          </w:p>
        </w:tc>
        <w:tc>
          <w:tcPr>
            <w:tcW w:w="1416" w:type="dxa"/>
            <w:vAlign w:val="center"/>
          </w:tcPr>
          <w:p w:rsidR="009C6EFB" w:rsidRDefault="00420C22" w:rsidP="00484D3B">
            <w:pPr>
              <w:spacing w:line="240" w:lineRule="auto"/>
              <w:jc w:val="center"/>
              <w:rPr>
                <w:rFonts w:eastAsia="Times New Roman" w:cs="Arial"/>
                <w:sz w:val="20"/>
                <w:szCs w:val="20"/>
                <w:lang w:eastAsia="cs-CZ"/>
              </w:rPr>
            </w:pPr>
            <w:r>
              <w:rPr>
                <w:rFonts w:eastAsia="Times New Roman" w:cs="Arial"/>
                <w:sz w:val="20"/>
                <w:szCs w:val="20"/>
                <w:lang w:eastAsia="cs-CZ"/>
              </w:rPr>
              <w:t>21 518</w:t>
            </w:r>
          </w:p>
        </w:tc>
      </w:tr>
      <w:tr w:rsidR="009C6EFB" w:rsidTr="00C37A04">
        <w:trPr>
          <w:trHeight w:val="99"/>
        </w:trPr>
        <w:tc>
          <w:tcPr>
            <w:tcW w:w="3411" w:type="dxa"/>
            <w:noWrap/>
            <w:vAlign w:val="center"/>
          </w:tcPr>
          <w:p w:rsidR="009C6EFB" w:rsidRDefault="009C6EFB" w:rsidP="00484D3B">
            <w:pPr>
              <w:spacing w:line="240" w:lineRule="auto"/>
              <w:rPr>
                <w:rFonts w:cs="Arial"/>
                <w:sz w:val="20"/>
                <w:szCs w:val="20"/>
              </w:rPr>
            </w:pPr>
            <w:r>
              <w:rPr>
                <w:rFonts w:cs="Arial"/>
                <w:sz w:val="20"/>
                <w:szCs w:val="20"/>
              </w:rPr>
              <w:t>Polsko</w:t>
            </w:r>
          </w:p>
        </w:tc>
        <w:tc>
          <w:tcPr>
            <w:tcW w:w="1415" w:type="dxa"/>
            <w:vAlign w:val="center"/>
          </w:tcPr>
          <w:p w:rsidR="009C6EFB" w:rsidRDefault="00080469" w:rsidP="00484D3B">
            <w:pPr>
              <w:spacing w:line="240" w:lineRule="auto"/>
              <w:jc w:val="center"/>
              <w:rPr>
                <w:rFonts w:eastAsia="Times New Roman" w:cs="Arial"/>
                <w:sz w:val="20"/>
                <w:szCs w:val="20"/>
                <w:lang w:eastAsia="cs-CZ"/>
              </w:rPr>
            </w:pPr>
            <w:r>
              <w:rPr>
                <w:rFonts w:eastAsia="Times New Roman" w:cs="Arial"/>
                <w:sz w:val="20"/>
                <w:szCs w:val="20"/>
                <w:lang w:eastAsia="cs-CZ"/>
              </w:rPr>
              <w:t>21 748</w:t>
            </w:r>
          </w:p>
        </w:tc>
        <w:tc>
          <w:tcPr>
            <w:tcW w:w="1416" w:type="dxa"/>
            <w:vAlign w:val="center"/>
          </w:tcPr>
          <w:p w:rsidR="009C6EFB" w:rsidRDefault="006D5295" w:rsidP="00484D3B">
            <w:pPr>
              <w:spacing w:line="240" w:lineRule="auto"/>
              <w:jc w:val="center"/>
              <w:rPr>
                <w:rFonts w:eastAsia="Times New Roman" w:cs="Arial"/>
                <w:sz w:val="20"/>
                <w:szCs w:val="20"/>
                <w:lang w:eastAsia="cs-CZ"/>
              </w:rPr>
            </w:pPr>
            <w:r>
              <w:rPr>
                <w:rFonts w:eastAsia="Times New Roman" w:cs="Arial"/>
                <w:sz w:val="20"/>
                <w:szCs w:val="20"/>
                <w:lang w:eastAsia="cs-CZ"/>
              </w:rPr>
              <w:t>27 863</w:t>
            </w:r>
          </w:p>
        </w:tc>
        <w:tc>
          <w:tcPr>
            <w:tcW w:w="1415" w:type="dxa"/>
            <w:noWrap/>
            <w:vAlign w:val="center"/>
          </w:tcPr>
          <w:p w:rsidR="009C6EFB" w:rsidRDefault="009C6EFB" w:rsidP="00484D3B">
            <w:pPr>
              <w:spacing w:line="240" w:lineRule="auto"/>
              <w:jc w:val="center"/>
              <w:rPr>
                <w:rFonts w:eastAsia="Times New Roman" w:cs="Arial"/>
                <w:sz w:val="20"/>
                <w:szCs w:val="20"/>
                <w:lang w:eastAsia="cs-CZ"/>
              </w:rPr>
            </w:pPr>
            <w:r>
              <w:rPr>
                <w:rFonts w:eastAsia="Times New Roman" w:cs="Arial"/>
                <w:sz w:val="20"/>
                <w:szCs w:val="20"/>
                <w:lang w:eastAsia="cs-CZ"/>
              </w:rPr>
              <w:t>22 769</w:t>
            </w:r>
          </w:p>
        </w:tc>
        <w:tc>
          <w:tcPr>
            <w:tcW w:w="1416" w:type="dxa"/>
            <w:vAlign w:val="center"/>
          </w:tcPr>
          <w:p w:rsidR="009C6EFB" w:rsidRDefault="00420C22" w:rsidP="00484D3B">
            <w:pPr>
              <w:spacing w:line="240" w:lineRule="auto"/>
              <w:jc w:val="center"/>
              <w:rPr>
                <w:rFonts w:eastAsia="Times New Roman" w:cs="Arial"/>
                <w:sz w:val="20"/>
                <w:szCs w:val="20"/>
                <w:lang w:eastAsia="cs-CZ"/>
              </w:rPr>
            </w:pPr>
            <w:r>
              <w:rPr>
                <w:rFonts w:eastAsia="Times New Roman" w:cs="Arial"/>
                <w:sz w:val="20"/>
                <w:szCs w:val="20"/>
                <w:lang w:eastAsia="cs-CZ"/>
              </w:rPr>
              <w:t>28 508</w:t>
            </w:r>
          </w:p>
        </w:tc>
      </w:tr>
      <w:tr w:rsidR="009C6EFB" w:rsidTr="00C37A04">
        <w:trPr>
          <w:trHeight w:val="99"/>
        </w:trPr>
        <w:tc>
          <w:tcPr>
            <w:tcW w:w="3411" w:type="dxa"/>
            <w:tcBorders>
              <w:bottom w:val="single" w:sz="12" w:space="0" w:color="auto"/>
            </w:tcBorders>
            <w:noWrap/>
            <w:vAlign w:val="center"/>
          </w:tcPr>
          <w:p w:rsidR="009C6EFB" w:rsidRDefault="009C6EFB" w:rsidP="00484D3B">
            <w:pPr>
              <w:spacing w:line="240" w:lineRule="auto"/>
              <w:rPr>
                <w:rFonts w:cs="Arial"/>
                <w:sz w:val="20"/>
                <w:szCs w:val="20"/>
              </w:rPr>
            </w:pPr>
            <w:r>
              <w:rPr>
                <w:rFonts w:cs="Arial"/>
                <w:sz w:val="20"/>
                <w:szCs w:val="20"/>
              </w:rPr>
              <w:t>Ostatní</w:t>
            </w:r>
          </w:p>
        </w:tc>
        <w:tc>
          <w:tcPr>
            <w:tcW w:w="1415" w:type="dxa"/>
            <w:tcBorders>
              <w:bottom w:val="single" w:sz="12" w:space="0" w:color="auto"/>
            </w:tcBorders>
            <w:vAlign w:val="center"/>
          </w:tcPr>
          <w:p w:rsidR="009C6EFB" w:rsidRDefault="00080469" w:rsidP="00484D3B">
            <w:pPr>
              <w:spacing w:line="240" w:lineRule="auto"/>
              <w:jc w:val="center"/>
              <w:rPr>
                <w:rFonts w:eastAsia="Times New Roman" w:cs="Arial"/>
                <w:sz w:val="20"/>
                <w:szCs w:val="20"/>
                <w:lang w:eastAsia="cs-CZ"/>
              </w:rPr>
            </w:pPr>
            <w:r>
              <w:rPr>
                <w:rFonts w:eastAsia="Times New Roman" w:cs="Arial"/>
                <w:sz w:val="20"/>
                <w:szCs w:val="20"/>
                <w:lang w:eastAsia="cs-CZ"/>
              </w:rPr>
              <w:t>24 495</w:t>
            </w:r>
          </w:p>
        </w:tc>
        <w:tc>
          <w:tcPr>
            <w:tcW w:w="1416" w:type="dxa"/>
            <w:tcBorders>
              <w:bottom w:val="single" w:sz="12" w:space="0" w:color="auto"/>
            </w:tcBorders>
            <w:vAlign w:val="center"/>
          </w:tcPr>
          <w:p w:rsidR="009C6EFB" w:rsidRDefault="006D5295" w:rsidP="00484D3B">
            <w:pPr>
              <w:spacing w:line="240" w:lineRule="auto"/>
              <w:jc w:val="center"/>
              <w:rPr>
                <w:rFonts w:eastAsia="Times New Roman" w:cs="Arial"/>
                <w:sz w:val="20"/>
                <w:szCs w:val="20"/>
                <w:lang w:eastAsia="cs-CZ"/>
              </w:rPr>
            </w:pPr>
            <w:r>
              <w:rPr>
                <w:rFonts w:eastAsia="Times New Roman" w:cs="Arial"/>
                <w:sz w:val="20"/>
                <w:szCs w:val="20"/>
                <w:lang w:eastAsia="cs-CZ"/>
              </w:rPr>
              <w:t>41 647</w:t>
            </w:r>
          </w:p>
        </w:tc>
        <w:tc>
          <w:tcPr>
            <w:tcW w:w="1415" w:type="dxa"/>
            <w:tcBorders>
              <w:bottom w:val="single" w:sz="12" w:space="0" w:color="auto"/>
            </w:tcBorders>
            <w:noWrap/>
            <w:vAlign w:val="center"/>
          </w:tcPr>
          <w:p w:rsidR="009C6EFB" w:rsidRDefault="009C6EFB" w:rsidP="00DA4EE1">
            <w:pPr>
              <w:spacing w:line="240" w:lineRule="auto"/>
              <w:jc w:val="center"/>
              <w:rPr>
                <w:rFonts w:eastAsia="Times New Roman" w:cs="Arial"/>
                <w:sz w:val="20"/>
                <w:szCs w:val="20"/>
                <w:lang w:eastAsia="cs-CZ"/>
              </w:rPr>
            </w:pPr>
            <w:r>
              <w:rPr>
                <w:rFonts w:eastAsia="Times New Roman" w:cs="Arial"/>
                <w:sz w:val="20"/>
                <w:szCs w:val="20"/>
                <w:lang w:eastAsia="cs-CZ"/>
              </w:rPr>
              <w:t xml:space="preserve">26 </w:t>
            </w:r>
            <w:r w:rsidR="006D5295">
              <w:rPr>
                <w:rFonts w:eastAsia="Times New Roman" w:cs="Arial"/>
                <w:sz w:val="20"/>
                <w:szCs w:val="20"/>
                <w:lang w:eastAsia="cs-CZ"/>
              </w:rPr>
              <w:t>473</w:t>
            </w:r>
          </w:p>
        </w:tc>
        <w:tc>
          <w:tcPr>
            <w:tcW w:w="1416" w:type="dxa"/>
            <w:tcBorders>
              <w:bottom w:val="single" w:sz="12" w:space="0" w:color="auto"/>
            </w:tcBorders>
            <w:vAlign w:val="center"/>
          </w:tcPr>
          <w:p w:rsidR="009C6EFB" w:rsidRDefault="006D5295" w:rsidP="00484D3B">
            <w:pPr>
              <w:spacing w:line="240" w:lineRule="auto"/>
              <w:jc w:val="center"/>
              <w:rPr>
                <w:rFonts w:eastAsia="Times New Roman" w:cs="Arial"/>
                <w:sz w:val="20"/>
                <w:szCs w:val="20"/>
                <w:lang w:eastAsia="cs-CZ"/>
              </w:rPr>
            </w:pPr>
            <w:r>
              <w:rPr>
                <w:rFonts w:eastAsia="Times New Roman" w:cs="Arial"/>
                <w:sz w:val="20"/>
                <w:szCs w:val="20"/>
                <w:lang w:eastAsia="cs-CZ"/>
              </w:rPr>
              <w:t>43 640</w:t>
            </w:r>
          </w:p>
        </w:tc>
      </w:tr>
      <w:tr w:rsidR="009C6EFB" w:rsidTr="00C37A04">
        <w:trPr>
          <w:trHeight w:val="99"/>
        </w:trPr>
        <w:tc>
          <w:tcPr>
            <w:tcW w:w="3411" w:type="dxa"/>
            <w:tcBorders>
              <w:top w:val="single" w:sz="12" w:space="0" w:color="auto"/>
              <w:left w:val="single" w:sz="12" w:space="0" w:color="auto"/>
              <w:bottom w:val="single" w:sz="12" w:space="0" w:color="auto"/>
            </w:tcBorders>
            <w:noWrap/>
            <w:vAlign w:val="center"/>
          </w:tcPr>
          <w:p w:rsidR="009C6EFB" w:rsidRPr="00F2073F" w:rsidRDefault="009C6EFB" w:rsidP="00484D3B">
            <w:pPr>
              <w:spacing w:line="240" w:lineRule="auto"/>
              <w:rPr>
                <w:rFonts w:cs="Arial"/>
                <w:b/>
                <w:sz w:val="20"/>
                <w:szCs w:val="20"/>
              </w:rPr>
            </w:pPr>
            <w:r w:rsidRPr="00F2073F">
              <w:rPr>
                <w:rFonts w:cs="Arial"/>
                <w:b/>
                <w:sz w:val="20"/>
                <w:szCs w:val="20"/>
              </w:rPr>
              <w:t>Průměr ČR</w:t>
            </w:r>
          </w:p>
        </w:tc>
        <w:tc>
          <w:tcPr>
            <w:tcW w:w="1415" w:type="dxa"/>
            <w:tcBorders>
              <w:top w:val="single" w:sz="12" w:space="0" w:color="auto"/>
              <w:bottom w:val="single" w:sz="12" w:space="0" w:color="auto"/>
            </w:tcBorders>
            <w:vAlign w:val="center"/>
          </w:tcPr>
          <w:p w:rsidR="009C6EFB" w:rsidRPr="00F2073F" w:rsidRDefault="009C6EFB" w:rsidP="00484D3B">
            <w:pPr>
              <w:spacing w:line="240" w:lineRule="auto"/>
              <w:jc w:val="center"/>
              <w:rPr>
                <w:rFonts w:eastAsia="Times New Roman" w:cs="Arial"/>
                <w:b/>
                <w:sz w:val="20"/>
                <w:szCs w:val="20"/>
                <w:lang w:eastAsia="cs-CZ"/>
              </w:rPr>
            </w:pPr>
            <w:r w:rsidRPr="00F2073F">
              <w:rPr>
                <w:rFonts w:eastAsia="Times New Roman" w:cs="Arial"/>
                <w:b/>
                <w:sz w:val="20"/>
                <w:szCs w:val="20"/>
                <w:lang w:eastAsia="cs-CZ"/>
              </w:rPr>
              <w:t>22 971</w:t>
            </w:r>
          </w:p>
        </w:tc>
        <w:tc>
          <w:tcPr>
            <w:tcW w:w="1416" w:type="dxa"/>
            <w:tcBorders>
              <w:top w:val="single" w:sz="12" w:space="0" w:color="auto"/>
              <w:bottom w:val="single" w:sz="12" w:space="0" w:color="auto"/>
            </w:tcBorders>
            <w:vAlign w:val="center"/>
          </w:tcPr>
          <w:p w:rsidR="009C6EFB" w:rsidRPr="00F2073F" w:rsidRDefault="009C6EFB" w:rsidP="00484D3B">
            <w:pPr>
              <w:spacing w:line="240" w:lineRule="auto"/>
              <w:jc w:val="center"/>
              <w:rPr>
                <w:rFonts w:eastAsia="Times New Roman" w:cs="Arial"/>
                <w:b/>
                <w:sz w:val="20"/>
                <w:szCs w:val="20"/>
                <w:lang w:eastAsia="cs-CZ"/>
              </w:rPr>
            </w:pPr>
            <w:r w:rsidRPr="00F2073F">
              <w:rPr>
                <w:rFonts w:eastAsia="Times New Roman" w:cs="Arial"/>
                <w:b/>
                <w:sz w:val="20"/>
                <w:szCs w:val="20"/>
                <w:lang w:eastAsia="cs-CZ"/>
              </w:rPr>
              <w:t>27 777</w:t>
            </w:r>
          </w:p>
        </w:tc>
        <w:tc>
          <w:tcPr>
            <w:tcW w:w="1415" w:type="dxa"/>
            <w:tcBorders>
              <w:top w:val="single" w:sz="12" w:space="0" w:color="auto"/>
              <w:bottom w:val="single" w:sz="12" w:space="0" w:color="auto"/>
            </w:tcBorders>
            <w:noWrap/>
            <w:vAlign w:val="center"/>
          </w:tcPr>
          <w:p w:rsidR="009C6EFB" w:rsidRPr="00F2073F" w:rsidRDefault="009C6EFB" w:rsidP="00484D3B">
            <w:pPr>
              <w:spacing w:line="240" w:lineRule="auto"/>
              <w:jc w:val="center"/>
              <w:rPr>
                <w:rFonts w:eastAsia="Times New Roman" w:cs="Arial"/>
                <w:b/>
                <w:sz w:val="20"/>
                <w:szCs w:val="20"/>
                <w:lang w:eastAsia="cs-CZ"/>
              </w:rPr>
            </w:pPr>
            <w:r>
              <w:rPr>
                <w:rFonts w:eastAsia="Times New Roman" w:cs="Arial"/>
                <w:b/>
                <w:sz w:val="20"/>
                <w:szCs w:val="20"/>
                <w:lang w:eastAsia="cs-CZ"/>
              </w:rPr>
              <w:t>22 971</w:t>
            </w:r>
          </w:p>
        </w:tc>
        <w:tc>
          <w:tcPr>
            <w:tcW w:w="1416" w:type="dxa"/>
            <w:tcBorders>
              <w:top w:val="single" w:sz="12" w:space="0" w:color="auto"/>
              <w:bottom w:val="single" w:sz="12" w:space="0" w:color="auto"/>
            </w:tcBorders>
            <w:vAlign w:val="center"/>
          </w:tcPr>
          <w:p w:rsidR="009C6EFB" w:rsidRPr="00F2073F" w:rsidRDefault="00FF29C6" w:rsidP="00484D3B">
            <w:pPr>
              <w:spacing w:line="240" w:lineRule="auto"/>
              <w:jc w:val="center"/>
              <w:rPr>
                <w:rFonts w:eastAsia="Times New Roman" w:cs="Arial"/>
                <w:b/>
                <w:sz w:val="20"/>
                <w:szCs w:val="20"/>
                <w:lang w:eastAsia="cs-CZ"/>
              </w:rPr>
            </w:pPr>
            <w:r>
              <w:rPr>
                <w:rFonts w:eastAsia="Times New Roman" w:cs="Arial"/>
                <w:b/>
                <w:sz w:val="20"/>
                <w:szCs w:val="20"/>
                <w:lang w:eastAsia="cs-CZ"/>
              </w:rPr>
              <w:t>28 556</w:t>
            </w:r>
          </w:p>
        </w:tc>
      </w:tr>
    </w:tbl>
    <w:p w:rsidR="00D2004C" w:rsidRDefault="00D2004C" w:rsidP="00164959">
      <w:pPr>
        <w:spacing w:before="120" w:after="120" w:line="240" w:lineRule="auto"/>
      </w:pPr>
      <w:r w:rsidRPr="00D2004C">
        <w:t>V průměru jsou cizí státní</w:t>
      </w:r>
      <w:r>
        <w:t xml:space="preserve"> příslušníci na českém trhu odměňováni lépe než občané </w:t>
      </w:r>
      <w:r w:rsidR="009C5170">
        <w:t>ČR. Jedná se zejména o slovenské státní příslušníky, jejichž zastoupení na českém trhu práce v posledních letech významně narůstá. Příčinu lze hledat v zastoupení této skupiny cizinců v zaměstnáních s požadavkem na vyšší kvalifikaci. Oproti tomu občané Ukrajiny jsou odměňováni hůře</w:t>
      </w:r>
      <w:r w:rsidR="00920BB4">
        <w:t>,</w:t>
      </w:r>
      <w:r w:rsidR="009C5170">
        <w:t xml:space="preserve"> a to s ohledem na jejich zastoupení v profesích s požadavkem na nižší kvalifikaci.</w:t>
      </w:r>
    </w:p>
    <w:p w:rsidR="001C2CB3" w:rsidRDefault="001C2CB3">
      <w:pPr>
        <w:spacing w:after="200"/>
        <w:jc w:val="left"/>
      </w:pPr>
      <w:r>
        <w:br w:type="page"/>
      </w:r>
    </w:p>
    <w:p w:rsidR="00D2004C" w:rsidRDefault="002920E4" w:rsidP="00AB0A51">
      <w:pPr>
        <w:pStyle w:val="Nadpis2"/>
      </w:pPr>
      <w:bookmarkStart w:id="21" w:name="_Toc476556229"/>
      <w:r>
        <w:t>Přehled nabídky a poptávky</w:t>
      </w:r>
      <w:bookmarkEnd w:id="21"/>
    </w:p>
    <w:p w:rsidR="002920E4" w:rsidRPr="002920E4" w:rsidRDefault="002920E4" w:rsidP="002920E4">
      <w:pPr>
        <w:spacing w:after="120" w:line="240" w:lineRule="auto"/>
      </w:pPr>
      <w:r>
        <w:t>Tabulky níže shrnují podle skupin zaměstnání, dle klasifikace CZ-ISCO</w:t>
      </w:r>
      <w:r w:rsidR="00490681">
        <w:t>,</w:t>
      </w:r>
      <w:r>
        <w:t xml:space="preserve"> nejčastěji na trhu práce poptávaná za</w:t>
      </w:r>
      <w:r w:rsidR="00490681">
        <w:t>městnání a nejčastěji zastoupená</w:t>
      </w:r>
      <w:r>
        <w:t xml:space="preserve"> zaměstnání mezi </w:t>
      </w:r>
      <w:proofErr w:type="spellStart"/>
      <w:r>
        <w:t>UoZ</w:t>
      </w:r>
      <w:proofErr w:type="spellEnd"/>
      <w:r>
        <w:t xml:space="preserve">. Vybráno </w:t>
      </w:r>
      <w:r w:rsidR="000838B5">
        <w:t xml:space="preserve">je </w:t>
      </w:r>
      <w:r>
        <w:t xml:space="preserve">10 nejčetnějších skupin a jejich podskupiny. V případě </w:t>
      </w:r>
      <w:proofErr w:type="spellStart"/>
      <w:r>
        <w:t>UoZ</w:t>
      </w:r>
      <w:proofErr w:type="spellEnd"/>
      <w:r>
        <w:t xml:space="preserve"> zvýrazněny skupiny, kde počet </w:t>
      </w:r>
      <w:proofErr w:type="spellStart"/>
      <w:r>
        <w:t>UoZ</w:t>
      </w:r>
      <w:proofErr w:type="spellEnd"/>
      <w:r>
        <w:t xml:space="preserve"> na VPM je dvojnásobný oproti republikovému průměru, v případě VPM pak ta VPM, kde počet </w:t>
      </w:r>
      <w:proofErr w:type="spellStart"/>
      <w:r>
        <w:t>UoZ</w:t>
      </w:r>
      <w:proofErr w:type="spellEnd"/>
      <w:r>
        <w:t xml:space="preserve"> na VPM je nižší než 1, tj. ty, kde je zřejmý nedostatek pracovní síly ve shodné profesi.</w:t>
      </w:r>
      <w:r w:rsidR="008A501E">
        <w:t xml:space="preserve"> Průměr ČR činí 2,88 </w:t>
      </w:r>
      <w:proofErr w:type="spellStart"/>
      <w:r w:rsidR="008A501E">
        <w:t>UoZ</w:t>
      </w:r>
      <w:proofErr w:type="spellEnd"/>
      <w:r w:rsidR="008A501E">
        <w:t>/VPM.</w:t>
      </w:r>
    </w:p>
    <w:p w:rsidR="002920E4" w:rsidRDefault="002920E4" w:rsidP="002920E4">
      <w:pPr>
        <w:pStyle w:val="Titulek"/>
        <w:keepNext/>
        <w:spacing w:after="120"/>
        <w:ind w:left="-425"/>
      </w:pPr>
      <w:bookmarkStart w:id="22" w:name="_Toc476556299"/>
      <w:r>
        <w:t xml:space="preserve">Tabulka </w:t>
      </w:r>
      <w:r w:rsidR="00AB7C96">
        <w:fldChar w:fldCharType="begin"/>
      </w:r>
      <w:r w:rsidR="00AB7C96">
        <w:instrText xml:space="preserve"> SEQ Tabulka \* ARABIC </w:instrText>
      </w:r>
      <w:r w:rsidR="00AB7C96">
        <w:fldChar w:fldCharType="separate"/>
      </w:r>
      <w:r w:rsidR="004A5D48">
        <w:rPr>
          <w:noProof/>
        </w:rPr>
        <w:t>5</w:t>
      </w:r>
      <w:r w:rsidR="00AB7C96">
        <w:rPr>
          <w:noProof/>
        </w:rPr>
        <w:fldChar w:fldCharType="end"/>
      </w:r>
      <w:r>
        <w:t xml:space="preserve"> Nejčastěji zastoupené skupiny zaměstnání (CZ-ISCO) a jejich podskupiny mezi </w:t>
      </w:r>
      <w:proofErr w:type="spellStart"/>
      <w:r>
        <w:t>UoZ</w:t>
      </w:r>
      <w:proofErr w:type="spellEnd"/>
      <w:r>
        <w:t xml:space="preserve"> k 31. 12. 2016</w:t>
      </w:r>
      <w:bookmarkEnd w:id="22"/>
    </w:p>
    <w:tbl>
      <w:tblPr>
        <w:tblW w:w="9498" w:type="dxa"/>
        <w:tblInd w:w="-72" w:type="dxa"/>
        <w:tblCellMar>
          <w:left w:w="70" w:type="dxa"/>
          <w:right w:w="70" w:type="dxa"/>
        </w:tblCellMar>
        <w:tblLook w:val="04A0" w:firstRow="1" w:lastRow="0" w:firstColumn="1" w:lastColumn="0" w:noHBand="0" w:noVBand="1"/>
      </w:tblPr>
      <w:tblGrid>
        <w:gridCol w:w="709"/>
        <w:gridCol w:w="6237"/>
        <w:gridCol w:w="851"/>
        <w:gridCol w:w="850"/>
        <w:gridCol w:w="851"/>
      </w:tblGrid>
      <w:tr w:rsidR="002920E4" w:rsidRPr="002920E4" w:rsidTr="000909E0">
        <w:trPr>
          <w:trHeight w:val="508"/>
        </w:trPr>
        <w:tc>
          <w:tcPr>
            <w:tcW w:w="6946"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920E4" w:rsidRPr="002920E4" w:rsidRDefault="002920E4" w:rsidP="002920E4">
            <w:pPr>
              <w:spacing w:line="240" w:lineRule="auto"/>
              <w:jc w:val="center"/>
              <w:rPr>
                <w:rFonts w:eastAsia="Times New Roman" w:cs="Arial"/>
                <w:b/>
                <w:bCs/>
                <w:color w:val="000000"/>
                <w:sz w:val="20"/>
                <w:szCs w:val="20"/>
                <w:lang w:eastAsia="cs-CZ"/>
              </w:rPr>
            </w:pPr>
            <w:r w:rsidRPr="002920E4">
              <w:rPr>
                <w:rFonts w:eastAsia="Times New Roman" w:cs="Arial"/>
                <w:b/>
                <w:bCs/>
                <w:color w:val="000000"/>
                <w:sz w:val="20"/>
                <w:szCs w:val="20"/>
                <w:lang w:eastAsia="cs-CZ"/>
              </w:rPr>
              <w:t>CZ-ISCO</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2920E4" w:rsidRPr="002920E4" w:rsidRDefault="002920E4" w:rsidP="002920E4">
            <w:pPr>
              <w:spacing w:line="240" w:lineRule="auto"/>
              <w:jc w:val="center"/>
              <w:rPr>
                <w:rFonts w:eastAsia="Times New Roman" w:cs="Arial"/>
                <w:b/>
                <w:bCs/>
                <w:color w:val="000000"/>
                <w:sz w:val="20"/>
                <w:szCs w:val="20"/>
                <w:lang w:eastAsia="cs-CZ"/>
              </w:rPr>
            </w:pPr>
            <w:proofErr w:type="spellStart"/>
            <w:r w:rsidRPr="002920E4">
              <w:rPr>
                <w:rFonts w:eastAsia="Times New Roman" w:cs="Arial"/>
                <w:b/>
                <w:bCs/>
                <w:color w:val="000000"/>
                <w:sz w:val="20"/>
                <w:szCs w:val="20"/>
                <w:lang w:eastAsia="cs-CZ"/>
              </w:rPr>
              <w:t>UoZ</w:t>
            </w:r>
            <w:proofErr w:type="spellEnd"/>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2920E4" w:rsidRPr="002920E4" w:rsidRDefault="002920E4" w:rsidP="002920E4">
            <w:pPr>
              <w:spacing w:line="240" w:lineRule="auto"/>
              <w:jc w:val="center"/>
              <w:rPr>
                <w:rFonts w:eastAsia="Times New Roman" w:cs="Arial"/>
                <w:b/>
                <w:bCs/>
                <w:color w:val="000000"/>
                <w:sz w:val="20"/>
                <w:szCs w:val="20"/>
                <w:lang w:eastAsia="cs-CZ"/>
              </w:rPr>
            </w:pPr>
            <w:r w:rsidRPr="002920E4">
              <w:rPr>
                <w:rFonts w:eastAsia="Times New Roman" w:cs="Arial"/>
                <w:b/>
                <w:bCs/>
                <w:color w:val="000000"/>
                <w:sz w:val="20"/>
                <w:szCs w:val="20"/>
                <w:lang w:eastAsia="cs-CZ"/>
              </w:rPr>
              <w:t>VPM</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920E4" w:rsidRPr="002920E4" w:rsidRDefault="002920E4" w:rsidP="002920E4">
            <w:pPr>
              <w:spacing w:line="240" w:lineRule="auto"/>
              <w:jc w:val="center"/>
              <w:rPr>
                <w:rFonts w:eastAsia="Times New Roman" w:cs="Arial"/>
                <w:b/>
                <w:bCs/>
                <w:color w:val="000000"/>
                <w:sz w:val="20"/>
                <w:szCs w:val="20"/>
                <w:lang w:eastAsia="cs-CZ"/>
              </w:rPr>
            </w:pPr>
            <w:proofErr w:type="spellStart"/>
            <w:r w:rsidRPr="002920E4">
              <w:rPr>
                <w:rFonts w:eastAsia="Times New Roman" w:cs="Arial"/>
                <w:b/>
                <w:bCs/>
                <w:color w:val="000000"/>
                <w:sz w:val="20"/>
                <w:szCs w:val="20"/>
                <w:lang w:eastAsia="cs-CZ"/>
              </w:rPr>
              <w:t>UoZ</w:t>
            </w:r>
            <w:proofErr w:type="spellEnd"/>
            <w:r w:rsidRPr="002920E4">
              <w:rPr>
                <w:rFonts w:eastAsia="Times New Roman" w:cs="Arial"/>
                <w:b/>
                <w:bCs/>
                <w:color w:val="000000"/>
                <w:sz w:val="20"/>
                <w:szCs w:val="20"/>
                <w:lang w:eastAsia="cs-CZ"/>
              </w:rPr>
              <w:t xml:space="preserve"> na VPM</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932</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Pomocní pracovníci ve výrobě</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36 121</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9 011</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4,01</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9321</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Ruční baliči</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269</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903</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0,30</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9329</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Ostatní pomocní pracovníci ve výrobě</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32 470</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7 745</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4,19</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000000" w:fill="B8CCE4"/>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411</w:t>
            </w:r>
          </w:p>
        </w:tc>
        <w:tc>
          <w:tcPr>
            <w:tcW w:w="6237" w:type="dxa"/>
            <w:tcBorders>
              <w:top w:val="nil"/>
              <w:left w:val="nil"/>
              <w:bottom w:val="single" w:sz="4" w:space="0" w:color="auto"/>
              <w:right w:val="single" w:sz="4" w:space="0" w:color="auto"/>
            </w:tcBorders>
            <w:shd w:val="clear" w:color="000000" w:fill="B8CCE4"/>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Všeobecní administrativní pracovníci</w:t>
            </w:r>
          </w:p>
        </w:tc>
        <w:tc>
          <w:tcPr>
            <w:tcW w:w="851" w:type="dxa"/>
            <w:tcBorders>
              <w:top w:val="nil"/>
              <w:left w:val="nil"/>
              <w:bottom w:val="single" w:sz="4" w:space="0" w:color="auto"/>
              <w:right w:val="single" w:sz="4" w:space="0" w:color="auto"/>
            </w:tcBorders>
            <w:shd w:val="clear" w:color="000000" w:fill="B8CCE4"/>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26 879</w:t>
            </w:r>
          </w:p>
        </w:tc>
        <w:tc>
          <w:tcPr>
            <w:tcW w:w="850" w:type="dxa"/>
            <w:tcBorders>
              <w:top w:val="nil"/>
              <w:left w:val="nil"/>
              <w:bottom w:val="single" w:sz="4" w:space="0" w:color="auto"/>
              <w:right w:val="single" w:sz="4" w:space="0" w:color="auto"/>
            </w:tcBorders>
            <w:shd w:val="clear" w:color="000000" w:fill="B8CCE4"/>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912</w:t>
            </w:r>
          </w:p>
        </w:tc>
        <w:tc>
          <w:tcPr>
            <w:tcW w:w="851" w:type="dxa"/>
            <w:tcBorders>
              <w:top w:val="nil"/>
              <w:left w:val="nil"/>
              <w:bottom w:val="single" w:sz="4" w:space="0" w:color="auto"/>
              <w:right w:val="single" w:sz="8" w:space="0" w:color="auto"/>
            </w:tcBorders>
            <w:shd w:val="clear" w:color="000000" w:fill="B8CCE4"/>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29,47</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4110</w:t>
            </w:r>
          </w:p>
        </w:tc>
        <w:tc>
          <w:tcPr>
            <w:tcW w:w="6237"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Všeobecní administrativní pracovníci</w:t>
            </w:r>
          </w:p>
        </w:tc>
        <w:tc>
          <w:tcPr>
            <w:tcW w:w="851"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20 596</w:t>
            </w:r>
          </w:p>
        </w:tc>
        <w:tc>
          <w:tcPr>
            <w:tcW w:w="850"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876</w:t>
            </w:r>
          </w:p>
        </w:tc>
        <w:tc>
          <w:tcPr>
            <w:tcW w:w="851" w:type="dxa"/>
            <w:tcBorders>
              <w:top w:val="nil"/>
              <w:left w:val="nil"/>
              <w:bottom w:val="single" w:sz="4" w:space="0" w:color="auto"/>
              <w:right w:val="single" w:sz="8"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23,51</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000000" w:fill="B8CCE4"/>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522</w:t>
            </w:r>
          </w:p>
        </w:tc>
        <w:tc>
          <w:tcPr>
            <w:tcW w:w="6237" w:type="dxa"/>
            <w:tcBorders>
              <w:top w:val="nil"/>
              <w:left w:val="nil"/>
              <w:bottom w:val="single" w:sz="4" w:space="0" w:color="auto"/>
              <w:right w:val="single" w:sz="4" w:space="0" w:color="auto"/>
            </w:tcBorders>
            <w:shd w:val="clear" w:color="000000" w:fill="B8CCE4"/>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 xml:space="preserve">Provozovatelé </w:t>
            </w:r>
            <w:proofErr w:type="spellStart"/>
            <w:r w:rsidRPr="002920E4">
              <w:rPr>
                <w:rFonts w:eastAsia="Times New Roman" w:cs="Arial"/>
                <w:b/>
                <w:bCs/>
                <w:color w:val="000000"/>
                <w:sz w:val="20"/>
                <w:szCs w:val="20"/>
                <w:lang w:eastAsia="cs-CZ"/>
              </w:rPr>
              <w:t>malo</w:t>
            </w:r>
            <w:proofErr w:type="spellEnd"/>
            <w:r w:rsidRPr="002920E4">
              <w:rPr>
                <w:rFonts w:eastAsia="Times New Roman" w:cs="Arial"/>
                <w:b/>
                <w:bCs/>
                <w:color w:val="000000"/>
                <w:sz w:val="20"/>
                <w:szCs w:val="20"/>
                <w:lang w:eastAsia="cs-CZ"/>
              </w:rPr>
              <w:t xml:space="preserve">. a velkoobchod. prodejen, prodavači... </w:t>
            </w:r>
          </w:p>
        </w:tc>
        <w:tc>
          <w:tcPr>
            <w:tcW w:w="851" w:type="dxa"/>
            <w:tcBorders>
              <w:top w:val="nil"/>
              <w:left w:val="nil"/>
              <w:bottom w:val="single" w:sz="4" w:space="0" w:color="auto"/>
              <w:right w:val="single" w:sz="4" w:space="0" w:color="auto"/>
            </w:tcBorders>
            <w:shd w:val="clear" w:color="000000" w:fill="B8CCE4"/>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26 840</w:t>
            </w:r>
          </w:p>
        </w:tc>
        <w:tc>
          <w:tcPr>
            <w:tcW w:w="850" w:type="dxa"/>
            <w:tcBorders>
              <w:top w:val="nil"/>
              <w:left w:val="nil"/>
              <w:bottom w:val="single" w:sz="4" w:space="0" w:color="auto"/>
              <w:right w:val="single" w:sz="4" w:space="0" w:color="auto"/>
            </w:tcBorders>
            <w:shd w:val="clear" w:color="000000" w:fill="B8CCE4"/>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2 562</w:t>
            </w:r>
          </w:p>
        </w:tc>
        <w:tc>
          <w:tcPr>
            <w:tcW w:w="851" w:type="dxa"/>
            <w:tcBorders>
              <w:top w:val="nil"/>
              <w:left w:val="nil"/>
              <w:bottom w:val="single" w:sz="4" w:space="0" w:color="auto"/>
              <w:right w:val="single" w:sz="8" w:space="0" w:color="auto"/>
            </w:tcBorders>
            <w:shd w:val="clear" w:color="000000" w:fill="B8CCE4"/>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10,48</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5221</w:t>
            </w:r>
          </w:p>
        </w:tc>
        <w:tc>
          <w:tcPr>
            <w:tcW w:w="6237"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Provozovatelé maloobchodních a velkoobchodních prodejen</w:t>
            </w:r>
          </w:p>
        </w:tc>
        <w:tc>
          <w:tcPr>
            <w:tcW w:w="851"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111</w:t>
            </w:r>
          </w:p>
        </w:tc>
        <w:tc>
          <w:tcPr>
            <w:tcW w:w="850"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16</w:t>
            </w:r>
          </w:p>
        </w:tc>
        <w:tc>
          <w:tcPr>
            <w:tcW w:w="851" w:type="dxa"/>
            <w:tcBorders>
              <w:top w:val="nil"/>
              <w:left w:val="nil"/>
              <w:bottom w:val="single" w:sz="4" w:space="0" w:color="auto"/>
              <w:right w:val="single" w:sz="8"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6,94</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5222</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Vedoucí pracovních týmů v prodejnách</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660</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227</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2,91</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5223</w:t>
            </w:r>
          </w:p>
        </w:tc>
        <w:tc>
          <w:tcPr>
            <w:tcW w:w="6237"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Prodavači v prodejnách</w:t>
            </w:r>
          </w:p>
        </w:tc>
        <w:tc>
          <w:tcPr>
            <w:tcW w:w="851"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25 888</w:t>
            </w:r>
          </w:p>
        </w:tc>
        <w:tc>
          <w:tcPr>
            <w:tcW w:w="850"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2 311</w:t>
            </w:r>
          </w:p>
        </w:tc>
        <w:tc>
          <w:tcPr>
            <w:tcW w:w="851" w:type="dxa"/>
            <w:tcBorders>
              <w:top w:val="nil"/>
              <w:left w:val="nil"/>
              <w:bottom w:val="single" w:sz="4" w:space="0" w:color="auto"/>
              <w:right w:val="single" w:sz="8"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11,20</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911</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proofErr w:type="spellStart"/>
            <w:r w:rsidRPr="002920E4">
              <w:rPr>
                <w:rFonts w:eastAsia="Times New Roman" w:cs="Arial"/>
                <w:b/>
                <w:bCs/>
                <w:color w:val="000000"/>
                <w:sz w:val="20"/>
                <w:szCs w:val="20"/>
                <w:lang w:eastAsia="cs-CZ"/>
              </w:rPr>
              <w:t>Uklíz</w:t>
            </w:r>
            <w:proofErr w:type="spellEnd"/>
            <w:r w:rsidRPr="002920E4">
              <w:rPr>
                <w:rFonts w:eastAsia="Times New Roman" w:cs="Arial"/>
                <w:b/>
                <w:bCs/>
                <w:color w:val="000000"/>
                <w:sz w:val="20"/>
                <w:szCs w:val="20"/>
                <w:lang w:eastAsia="cs-CZ"/>
              </w:rPr>
              <w:t xml:space="preserve">. a pomoc. v dom., hotel., </w:t>
            </w:r>
            <w:proofErr w:type="spellStart"/>
            <w:r w:rsidRPr="002920E4">
              <w:rPr>
                <w:rFonts w:eastAsia="Times New Roman" w:cs="Arial"/>
                <w:b/>
                <w:bCs/>
                <w:color w:val="000000"/>
                <w:sz w:val="20"/>
                <w:szCs w:val="20"/>
                <w:lang w:eastAsia="cs-CZ"/>
              </w:rPr>
              <w:t>admin</w:t>
            </w:r>
            <w:proofErr w:type="spellEnd"/>
            <w:r w:rsidRPr="002920E4">
              <w:rPr>
                <w:rFonts w:eastAsia="Times New Roman" w:cs="Arial"/>
                <w:b/>
                <w:bCs/>
                <w:color w:val="000000"/>
                <w:sz w:val="20"/>
                <w:szCs w:val="20"/>
                <w:lang w:eastAsia="cs-CZ"/>
              </w:rPr>
              <w:t xml:space="preserve">., </w:t>
            </w:r>
            <w:proofErr w:type="spellStart"/>
            <w:r w:rsidRPr="002920E4">
              <w:rPr>
                <w:rFonts w:eastAsia="Times New Roman" w:cs="Arial"/>
                <w:b/>
                <w:bCs/>
                <w:color w:val="000000"/>
                <w:sz w:val="20"/>
                <w:szCs w:val="20"/>
                <w:lang w:eastAsia="cs-CZ"/>
              </w:rPr>
              <w:t>prům</w:t>
            </w:r>
            <w:proofErr w:type="spellEnd"/>
            <w:r w:rsidRPr="002920E4">
              <w:rPr>
                <w:rFonts w:eastAsia="Times New Roman" w:cs="Arial"/>
                <w:b/>
                <w:bCs/>
                <w:color w:val="000000"/>
                <w:sz w:val="20"/>
                <w:szCs w:val="20"/>
                <w:lang w:eastAsia="cs-CZ"/>
              </w:rPr>
              <w:t>. a jiných objektech</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19 330</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3 829</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5,05</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9111</w:t>
            </w:r>
          </w:p>
        </w:tc>
        <w:tc>
          <w:tcPr>
            <w:tcW w:w="6237"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Uklízeči a pomocníci v domácnostech (kromě hospodyní)</w:t>
            </w:r>
          </w:p>
        </w:tc>
        <w:tc>
          <w:tcPr>
            <w:tcW w:w="851"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581</w:t>
            </w:r>
          </w:p>
        </w:tc>
        <w:tc>
          <w:tcPr>
            <w:tcW w:w="850"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58</w:t>
            </w:r>
          </w:p>
        </w:tc>
        <w:tc>
          <w:tcPr>
            <w:tcW w:w="851" w:type="dxa"/>
            <w:tcBorders>
              <w:top w:val="nil"/>
              <w:left w:val="nil"/>
              <w:bottom w:val="single" w:sz="4" w:space="0" w:color="auto"/>
              <w:right w:val="single" w:sz="8"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10,02</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9112</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proofErr w:type="spellStart"/>
            <w:r w:rsidRPr="002920E4">
              <w:rPr>
                <w:rFonts w:eastAsia="Times New Roman" w:cs="Arial"/>
                <w:color w:val="000000"/>
                <w:sz w:val="20"/>
                <w:szCs w:val="20"/>
                <w:lang w:eastAsia="cs-CZ"/>
              </w:rPr>
              <w:t>Uklíz</w:t>
            </w:r>
            <w:proofErr w:type="spellEnd"/>
            <w:r w:rsidRPr="002920E4">
              <w:rPr>
                <w:rFonts w:eastAsia="Times New Roman" w:cs="Arial"/>
                <w:color w:val="000000"/>
                <w:sz w:val="20"/>
                <w:szCs w:val="20"/>
                <w:lang w:eastAsia="cs-CZ"/>
              </w:rPr>
              <w:t xml:space="preserve">. a pomoc. v hotelích, </w:t>
            </w:r>
            <w:proofErr w:type="spellStart"/>
            <w:r w:rsidRPr="002920E4">
              <w:rPr>
                <w:rFonts w:eastAsia="Times New Roman" w:cs="Arial"/>
                <w:color w:val="000000"/>
                <w:sz w:val="20"/>
                <w:szCs w:val="20"/>
                <w:lang w:eastAsia="cs-CZ"/>
              </w:rPr>
              <w:t>admin</w:t>
            </w:r>
            <w:proofErr w:type="spellEnd"/>
            <w:r w:rsidRPr="002920E4">
              <w:rPr>
                <w:rFonts w:eastAsia="Times New Roman" w:cs="Arial"/>
                <w:color w:val="000000"/>
                <w:sz w:val="20"/>
                <w:szCs w:val="20"/>
                <w:lang w:eastAsia="cs-CZ"/>
              </w:rPr>
              <w:t xml:space="preserve">., </w:t>
            </w:r>
            <w:proofErr w:type="spellStart"/>
            <w:r w:rsidRPr="002920E4">
              <w:rPr>
                <w:rFonts w:eastAsia="Times New Roman" w:cs="Arial"/>
                <w:color w:val="000000"/>
                <w:sz w:val="20"/>
                <w:szCs w:val="20"/>
                <w:lang w:eastAsia="cs-CZ"/>
              </w:rPr>
              <w:t>prům</w:t>
            </w:r>
            <w:proofErr w:type="spellEnd"/>
            <w:r w:rsidRPr="002920E4">
              <w:rPr>
                <w:rFonts w:eastAsia="Times New Roman" w:cs="Arial"/>
                <w:color w:val="000000"/>
                <w:sz w:val="20"/>
                <w:szCs w:val="20"/>
                <w:lang w:eastAsia="cs-CZ"/>
              </w:rPr>
              <w:t>. a jiných objektech</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15 529</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3 639</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4,27</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711</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Řemeslníci a kvalifikovaní pracovníci hlavní stavební výroby</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17 357</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3 487</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4,98</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7111</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Pracovníci montovaných staveb</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73</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49</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1,49</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7112</w:t>
            </w:r>
          </w:p>
        </w:tc>
        <w:tc>
          <w:tcPr>
            <w:tcW w:w="6237"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Zedníci, kamnáři, dlaždiči a montéři suchých staveb</w:t>
            </w:r>
          </w:p>
        </w:tc>
        <w:tc>
          <w:tcPr>
            <w:tcW w:w="851"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12 402</w:t>
            </w:r>
          </w:p>
        </w:tc>
        <w:tc>
          <w:tcPr>
            <w:tcW w:w="850"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2 131</w:t>
            </w:r>
          </w:p>
        </w:tc>
        <w:tc>
          <w:tcPr>
            <w:tcW w:w="851" w:type="dxa"/>
            <w:tcBorders>
              <w:top w:val="nil"/>
              <w:left w:val="nil"/>
              <w:bottom w:val="single" w:sz="4" w:space="0" w:color="auto"/>
              <w:right w:val="single" w:sz="8"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5,82</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7113</w:t>
            </w:r>
          </w:p>
        </w:tc>
        <w:tc>
          <w:tcPr>
            <w:tcW w:w="6237"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Kameníci, řezači a brusiči kamene</w:t>
            </w:r>
          </w:p>
        </w:tc>
        <w:tc>
          <w:tcPr>
            <w:tcW w:w="851"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568</w:t>
            </w:r>
          </w:p>
        </w:tc>
        <w:tc>
          <w:tcPr>
            <w:tcW w:w="850"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89</w:t>
            </w:r>
          </w:p>
        </w:tc>
        <w:tc>
          <w:tcPr>
            <w:tcW w:w="851" w:type="dxa"/>
            <w:tcBorders>
              <w:top w:val="nil"/>
              <w:left w:val="nil"/>
              <w:bottom w:val="single" w:sz="4" w:space="0" w:color="auto"/>
              <w:right w:val="single" w:sz="8"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6,38</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7114</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Betonáři, železobetonáři a příbuzní pracovníci</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101</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149</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0,68</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7115</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Tesaři a stavební truhláři</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2 079</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440</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4,73</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7119</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Ostatní řemeslníci a kvalifikovaní pracovníci hl. stavební výroby</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1 914</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597</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3,21</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541</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Pracovníci v oblasti ochrany a ostrahy</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14 834</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4 705</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3,15</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5411</w:t>
            </w:r>
          </w:p>
        </w:tc>
        <w:tc>
          <w:tcPr>
            <w:tcW w:w="6237"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Příslušníci HZS ČR a hasiči ostatních jednotek požární ochrany</w:t>
            </w:r>
          </w:p>
        </w:tc>
        <w:tc>
          <w:tcPr>
            <w:tcW w:w="851"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132</w:t>
            </w:r>
          </w:p>
        </w:tc>
        <w:tc>
          <w:tcPr>
            <w:tcW w:w="850"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11</w:t>
            </w:r>
          </w:p>
        </w:tc>
        <w:tc>
          <w:tcPr>
            <w:tcW w:w="851" w:type="dxa"/>
            <w:tcBorders>
              <w:top w:val="nil"/>
              <w:left w:val="nil"/>
              <w:bottom w:val="single" w:sz="4" w:space="0" w:color="auto"/>
              <w:right w:val="single" w:sz="8"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12,00</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5412</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Policisté</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545</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477</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1,14</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5413</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Pracovníci vězeňské služby</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23</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114</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0,20</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5414</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Pracovníci ostrahy a bezpečnostních agentur</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13 424</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3 901</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3,44</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5419</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Pracovníci v oblasti ochrany a ostrahy jinde neuvedení</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533</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144</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3,70</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000000" w:fill="B8CCE4"/>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832</w:t>
            </w:r>
          </w:p>
        </w:tc>
        <w:tc>
          <w:tcPr>
            <w:tcW w:w="6237" w:type="dxa"/>
            <w:tcBorders>
              <w:top w:val="nil"/>
              <w:left w:val="nil"/>
              <w:bottom w:val="single" w:sz="4" w:space="0" w:color="auto"/>
              <w:right w:val="single" w:sz="4" w:space="0" w:color="auto"/>
            </w:tcBorders>
            <w:shd w:val="clear" w:color="000000" w:fill="B8CCE4"/>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Řidiči motocyklů a automobilů (kromě nákladních)</w:t>
            </w:r>
          </w:p>
        </w:tc>
        <w:tc>
          <w:tcPr>
            <w:tcW w:w="851" w:type="dxa"/>
            <w:tcBorders>
              <w:top w:val="nil"/>
              <w:left w:val="nil"/>
              <w:bottom w:val="single" w:sz="4" w:space="0" w:color="auto"/>
              <w:right w:val="single" w:sz="4" w:space="0" w:color="auto"/>
            </w:tcBorders>
            <w:shd w:val="clear" w:color="000000" w:fill="B8CCE4"/>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12 297</w:t>
            </w:r>
          </w:p>
        </w:tc>
        <w:tc>
          <w:tcPr>
            <w:tcW w:w="850" w:type="dxa"/>
            <w:tcBorders>
              <w:top w:val="nil"/>
              <w:left w:val="nil"/>
              <w:bottom w:val="single" w:sz="4" w:space="0" w:color="auto"/>
              <w:right w:val="single" w:sz="4" w:space="0" w:color="auto"/>
            </w:tcBorders>
            <w:shd w:val="clear" w:color="000000" w:fill="B8CCE4"/>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822</w:t>
            </w:r>
          </w:p>
        </w:tc>
        <w:tc>
          <w:tcPr>
            <w:tcW w:w="851" w:type="dxa"/>
            <w:tcBorders>
              <w:top w:val="nil"/>
              <w:left w:val="nil"/>
              <w:bottom w:val="single" w:sz="4" w:space="0" w:color="auto"/>
              <w:right w:val="single" w:sz="8" w:space="0" w:color="auto"/>
            </w:tcBorders>
            <w:shd w:val="clear" w:color="000000" w:fill="B8CCE4"/>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14,96</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8322</w:t>
            </w:r>
          </w:p>
        </w:tc>
        <w:tc>
          <w:tcPr>
            <w:tcW w:w="6237"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Řidiči osobních a malých dodávkových automobilů, taxikáři</w:t>
            </w:r>
          </w:p>
        </w:tc>
        <w:tc>
          <w:tcPr>
            <w:tcW w:w="851"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11 914</w:t>
            </w:r>
          </w:p>
        </w:tc>
        <w:tc>
          <w:tcPr>
            <w:tcW w:w="850" w:type="dxa"/>
            <w:tcBorders>
              <w:top w:val="nil"/>
              <w:left w:val="nil"/>
              <w:bottom w:val="single" w:sz="4"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819</w:t>
            </w:r>
          </w:p>
        </w:tc>
        <w:tc>
          <w:tcPr>
            <w:tcW w:w="851" w:type="dxa"/>
            <w:tcBorders>
              <w:top w:val="nil"/>
              <w:left w:val="nil"/>
              <w:bottom w:val="single" w:sz="4" w:space="0" w:color="auto"/>
              <w:right w:val="single" w:sz="8"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14,55</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513</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Číšníci, servírky a barmani</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9 058</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2 556</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3,54</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5131</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Číšníci a servírky</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7 019</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2 230</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3,15</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5132</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Barmani</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863</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237</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3,64</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512</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Kuchaři (kromě šéfkuchařů), pomocní kuchaři</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8 575</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4 070</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2,11</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5120</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Kuchaři (kromě šéfkuchařů), pomocní kuchaři</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7 050</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3 983</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1,77</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933</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b/>
                <w:bCs/>
                <w:color w:val="000000"/>
                <w:sz w:val="20"/>
                <w:szCs w:val="20"/>
                <w:lang w:eastAsia="cs-CZ"/>
              </w:rPr>
            </w:pPr>
            <w:r w:rsidRPr="002920E4">
              <w:rPr>
                <w:rFonts w:eastAsia="Times New Roman" w:cs="Arial"/>
                <w:b/>
                <w:bCs/>
                <w:color w:val="000000"/>
                <w:sz w:val="20"/>
                <w:szCs w:val="20"/>
                <w:lang w:eastAsia="cs-CZ"/>
              </w:rPr>
              <w:t>Pomocní pracovníci v dopravě a skladování</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7 626</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2 188</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b/>
                <w:bCs/>
                <w:color w:val="000000"/>
                <w:sz w:val="20"/>
                <w:szCs w:val="20"/>
                <w:lang w:eastAsia="cs-CZ"/>
              </w:rPr>
            </w:pPr>
            <w:r w:rsidRPr="002920E4">
              <w:rPr>
                <w:rFonts w:eastAsia="Times New Roman" w:cs="Arial"/>
                <w:b/>
                <w:bCs/>
                <w:color w:val="000000"/>
                <w:sz w:val="20"/>
                <w:szCs w:val="20"/>
                <w:lang w:eastAsia="cs-CZ"/>
              </w:rPr>
              <w:t>3,49</w:t>
            </w:r>
          </w:p>
        </w:tc>
      </w:tr>
      <w:tr w:rsidR="002920E4" w:rsidRPr="002920E4" w:rsidTr="000909E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9333</w:t>
            </w:r>
          </w:p>
        </w:tc>
        <w:tc>
          <w:tcPr>
            <w:tcW w:w="6237"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Pomocní manipulační pracovníci (kromě výroby)</w:t>
            </w:r>
          </w:p>
        </w:tc>
        <w:tc>
          <w:tcPr>
            <w:tcW w:w="851"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6 929</w:t>
            </w:r>
          </w:p>
        </w:tc>
        <w:tc>
          <w:tcPr>
            <w:tcW w:w="850" w:type="dxa"/>
            <w:tcBorders>
              <w:top w:val="nil"/>
              <w:left w:val="nil"/>
              <w:bottom w:val="single" w:sz="4" w:space="0" w:color="auto"/>
              <w:right w:val="single" w:sz="4"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2 122</w:t>
            </w:r>
          </w:p>
        </w:tc>
        <w:tc>
          <w:tcPr>
            <w:tcW w:w="851" w:type="dxa"/>
            <w:tcBorders>
              <w:top w:val="nil"/>
              <w:left w:val="nil"/>
              <w:bottom w:val="single" w:sz="4" w:space="0" w:color="auto"/>
              <w:right w:val="single" w:sz="8" w:space="0" w:color="auto"/>
            </w:tcBorders>
            <w:shd w:val="clear" w:color="auto" w:fill="auto"/>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3,27</w:t>
            </w:r>
          </w:p>
        </w:tc>
      </w:tr>
      <w:tr w:rsidR="002920E4" w:rsidRPr="002920E4" w:rsidTr="000909E0">
        <w:trPr>
          <w:trHeight w:val="315"/>
        </w:trPr>
        <w:tc>
          <w:tcPr>
            <w:tcW w:w="709" w:type="dxa"/>
            <w:tcBorders>
              <w:top w:val="nil"/>
              <w:left w:val="single" w:sz="8" w:space="0" w:color="auto"/>
              <w:bottom w:val="single" w:sz="8"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9334</w:t>
            </w:r>
          </w:p>
        </w:tc>
        <w:tc>
          <w:tcPr>
            <w:tcW w:w="6237" w:type="dxa"/>
            <w:tcBorders>
              <w:top w:val="nil"/>
              <w:left w:val="nil"/>
              <w:bottom w:val="single" w:sz="8" w:space="0" w:color="auto"/>
              <w:right w:val="single" w:sz="4" w:space="0" w:color="auto"/>
            </w:tcBorders>
            <w:shd w:val="clear" w:color="000000" w:fill="DCE6F1"/>
            <w:noWrap/>
            <w:vAlign w:val="bottom"/>
            <w:hideMark/>
          </w:tcPr>
          <w:p w:rsidR="002920E4" w:rsidRPr="002920E4" w:rsidRDefault="002920E4" w:rsidP="002920E4">
            <w:pPr>
              <w:spacing w:line="240" w:lineRule="auto"/>
              <w:jc w:val="left"/>
              <w:rPr>
                <w:rFonts w:eastAsia="Times New Roman" w:cs="Arial"/>
                <w:color w:val="000000"/>
                <w:sz w:val="20"/>
                <w:szCs w:val="20"/>
                <w:lang w:eastAsia="cs-CZ"/>
              </w:rPr>
            </w:pPr>
            <w:r w:rsidRPr="002920E4">
              <w:rPr>
                <w:rFonts w:eastAsia="Times New Roman" w:cs="Arial"/>
                <w:color w:val="000000"/>
                <w:sz w:val="20"/>
                <w:szCs w:val="20"/>
                <w:lang w:eastAsia="cs-CZ"/>
              </w:rPr>
              <w:t>Doplňovači zboží</w:t>
            </w:r>
          </w:p>
        </w:tc>
        <w:tc>
          <w:tcPr>
            <w:tcW w:w="851" w:type="dxa"/>
            <w:tcBorders>
              <w:top w:val="nil"/>
              <w:left w:val="nil"/>
              <w:bottom w:val="single" w:sz="8"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446</w:t>
            </w:r>
          </w:p>
        </w:tc>
        <w:tc>
          <w:tcPr>
            <w:tcW w:w="850" w:type="dxa"/>
            <w:tcBorders>
              <w:top w:val="nil"/>
              <w:left w:val="nil"/>
              <w:bottom w:val="single" w:sz="8" w:space="0" w:color="auto"/>
              <w:right w:val="single" w:sz="4"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27</w:t>
            </w:r>
          </w:p>
        </w:tc>
        <w:tc>
          <w:tcPr>
            <w:tcW w:w="851" w:type="dxa"/>
            <w:tcBorders>
              <w:top w:val="nil"/>
              <w:left w:val="nil"/>
              <w:bottom w:val="single" w:sz="8" w:space="0" w:color="auto"/>
              <w:right w:val="single" w:sz="8" w:space="0" w:color="auto"/>
            </w:tcBorders>
            <w:shd w:val="clear" w:color="000000" w:fill="DCE6F1"/>
            <w:noWrap/>
            <w:vAlign w:val="bottom"/>
            <w:hideMark/>
          </w:tcPr>
          <w:p w:rsidR="002920E4" w:rsidRPr="002920E4" w:rsidRDefault="002920E4" w:rsidP="002920E4">
            <w:pPr>
              <w:spacing w:line="240" w:lineRule="auto"/>
              <w:jc w:val="right"/>
              <w:rPr>
                <w:rFonts w:eastAsia="Times New Roman" w:cs="Arial"/>
                <w:color w:val="000000"/>
                <w:sz w:val="20"/>
                <w:szCs w:val="20"/>
                <w:lang w:eastAsia="cs-CZ"/>
              </w:rPr>
            </w:pPr>
            <w:r w:rsidRPr="002920E4">
              <w:rPr>
                <w:rFonts w:eastAsia="Times New Roman" w:cs="Arial"/>
                <w:color w:val="000000"/>
                <w:sz w:val="20"/>
                <w:szCs w:val="20"/>
                <w:lang w:eastAsia="cs-CZ"/>
              </w:rPr>
              <w:t>16,52</w:t>
            </w:r>
          </w:p>
        </w:tc>
      </w:tr>
    </w:tbl>
    <w:p w:rsidR="00C85206" w:rsidRDefault="00C85206" w:rsidP="002920E4">
      <w:pPr>
        <w:pStyle w:val="Titulek"/>
        <w:keepNext/>
        <w:ind w:left="-284"/>
      </w:pPr>
      <w:bookmarkStart w:id="23" w:name="_Toc476556300"/>
      <w:r>
        <w:t xml:space="preserve">Tabulka </w:t>
      </w:r>
      <w:r w:rsidR="00AB7C96">
        <w:fldChar w:fldCharType="begin"/>
      </w:r>
      <w:r w:rsidR="00AB7C96">
        <w:instrText xml:space="preserve"> SEQ Tabulka \* ARABIC </w:instrText>
      </w:r>
      <w:r w:rsidR="00AB7C96">
        <w:fldChar w:fldCharType="separate"/>
      </w:r>
      <w:r w:rsidR="004A5D48">
        <w:rPr>
          <w:noProof/>
        </w:rPr>
        <w:t>6</w:t>
      </w:r>
      <w:r w:rsidR="00AB7C96">
        <w:rPr>
          <w:noProof/>
        </w:rPr>
        <w:fldChar w:fldCharType="end"/>
      </w:r>
      <w:r>
        <w:t xml:space="preserve"> Nejčastěji poptávané skupiny zaměstnání (CZ-ISCO) a jejich podskupiny k 31. 12. 2016</w:t>
      </w:r>
      <w:bookmarkEnd w:id="23"/>
    </w:p>
    <w:tbl>
      <w:tblPr>
        <w:tblW w:w="9892" w:type="dxa"/>
        <w:tblInd w:w="-214" w:type="dxa"/>
        <w:tblCellMar>
          <w:left w:w="70" w:type="dxa"/>
          <w:right w:w="70" w:type="dxa"/>
        </w:tblCellMar>
        <w:tblLook w:val="04A0" w:firstRow="1" w:lastRow="0" w:firstColumn="1" w:lastColumn="0" w:noHBand="0" w:noVBand="1"/>
      </w:tblPr>
      <w:tblGrid>
        <w:gridCol w:w="854"/>
        <w:gridCol w:w="6158"/>
        <w:gridCol w:w="960"/>
        <w:gridCol w:w="959"/>
        <w:gridCol w:w="961"/>
      </w:tblGrid>
      <w:tr w:rsidR="00C85206" w:rsidRPr="00C85206" w:rsidTr="00C85206">
        <w:trPr>
          <w:trHeight w:val="421"/>
        </w:trPr>
        <w:tc>
          <w:tcPr>
            <w:tcW w:w="701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C85206" w:rsidRPr="00C85206" w:rsidRDefault="00C85206" w:rsidP="00C85206">
            <w:pPr>
              <w:spacing w:line="240" w:lineRule="auto"/>
              <w:jc w:val="center"/>
              <w:rPr>
                <w:rFonts w:eastAsia="Times New Roman" w:cs="Arial"/>
                <w:b/>
                <w:bCs/>
                <w:color w:val="000000"/>
                <w:sz w:val="20"/>
                <w:szCs w:val="20"/>
                <w:lang w:eastAsia="cs-CZ"/>
              </w:rPr>
            </w:pPr>
            <w:r w:rsidRPr="00C85206">
              <w:rPr>
                <w:rFonts w:eastAsia="Times New Roman" w:cs="Arial"/>
                <w:b/>
                <w:bCs/>
                <w:color w:val="000000"/>
                <w:sz w:val="20"/>
                <w:szCs w:val="20"/>
                <w:lang w:eastAsia="cs-CZ"/>
              </w:rPr>
              <w:t>CZ-ISCO</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C85206" w:rsidRPr="00C85206" w:rsidRDefault="00C85206" w:rsidP="00C85206">
            <w:pPr>
              <w:spacing w:line="240" w:lineRule="auto"/>
              <w:jc w:val="center"/>
              <w:rPr>
                <w:rFonts w:eastAsia="Times New Roman" w:cs="Arial"/>
                <w:b/>
                <w:bCs/>
                <w:color w:val="000000"/>
                <w:sz w:val="20"/>
                <w:szCs w:val="20"/>
                <w:lang w:eastAsia="cs-CZ"/>
              </w:rPr>
            </w:pPr>
            <w:r w:rsidRPr="00C85206">
              <w:rPr>
                <w:rFonts w:eastAsia="Times New Roman" w:cs="Arial"/>
                <w:b/>
                <w:bCs/>
                <w:color w:val="000000"/>
                <w:sz w:val="20"/>
                <w:szCs w:val="20"/>
                <w:lang w:eastAsia="cs-CZ"/>
              </w:rPr>
              <w:t>VPM</w:t>
            </w:r>
          </w:p>
        </w:tc>
        <w:tc>
          <w:tcPr>
            <w:tcW w:w="959" w:type="dxa"/>
            <w:tcBorders>
              <w:top w:val="single" w:sz="8" w:space="0" w:color="auto"/>
              <w:left w:val="nil"/>
              <w:bottom w:val="single" w:sz="8" w:space="0" w:color="auto"/>
              <w:right w:val="single" w:sz="4" w:space="0" w:color="auto"/>
            </w:tcBorders>
            <w:shd w:val="clear" w:color="auto" w:fill="auto"/>
            <w:vAlign w:val="center"/>
            <w:hideMark/>
          </w:tcPr>
          <w:p w:rsidR="00C85206" w:rsidRPr="00C85206" w:rsidRDefault="00C85206" w:rsidP="00C85206">
            <w:pPr>
              <w:spacing w:line="240" w:lineRule="auto"/>
              <w:jc w:val="center"/>
              <w:rPr>
                <w:rFonts w:eastAsia="Times New Roman" w:cs="Arial"/>
                <w:b/>
                <w:bCs/>
                <w:color w:val="000000"/>
                <w:sz w:val="20"/>
                <w:szCs w:val="20"/>
                <w:lang w:eastAsia="cs-CZ"/>
              </w:rPr>
            </w:pPr>
            <w:proofErr w:type="spellStart"/>
            <w:r w:rsidRPr="00C85206">
              <w:rPr>
                <w:rFonts w:eastAsia="Times New Roman" w:cs="Arial"/>
                <w:b/>
                <w:bCs/>
                <w:color w:val="000000"/>
                <w:sz w:val="20"/>
                <w:szCs w:val="20"/>
                <w:lang w:eastAsia="cs-CZ"/>
              </w:rPr>
              <w:t>UoZ</w:t>
            </w:r>
            <w:proofErr w:type="spellEnd"/>
          </w:p>
        </w:tc>
        <w:tc>
          <w:tcPr>
            <w:tcW w:w="961" w:type="dxa"/>
            <w:tcBorders>
              <w:top w:val="single" w:sz="8" w:space="0" w:color="auto"/>
              <w:left w:val="nil"/>
              <w:bottom w:val="single" w:sz="8" w:space="0" w:color="auto"/>
              <w:right w:val="single" w:sz="8" w:space="0" w:color="auto"/>
            </w:tcBorders>
            <w:shd w:val="clear" w:color="auto" w:fill="auto"/>
            <w:vAlign w:val="center"/>
            <w:hideMark/>
          </w:tcPr>
          <w:p w:rsidR="00C85206" w:rsidRPr="00C85206" w:rsidRDefault="00C85206" w:rsidP="00C85206">
            <w:pPr>
              <w:spacing w:line="240" w:lineRule="auto"/>
              <w:jc w:val="center"/>
              <w:rPr>
                <w:rFonts w:eastAsia="Times New Roman" w:cs="Arial"/>
                <w:b/>
                <w:bCs/>
                <w:color w:val="000000"/>
                <w:sz w:val="20"/>
                <w:szCs w:val="20"/>
                <w:lang w:eastAsia="cs-CZ"/>
              </w:rPr>
            </w:pPr>
            <w:proofErr w:type="spellStart"/>
            <w:r w:rsidRPr="00C85206">
              <w:rPr>
                <w:rFonts w:eastAsia="Times New Roman" w:cs="Arial"/>
                <w:b/>
                <w:bCs/>
                <w:color w:val="000000"/>
                <w:sz w:val="20"/>
                <w:szCs w:val="20"/>
                <w:lang w:eastAsia="cs-CZ"/>
              </w:rPr>
              <w:t>UoZ</w:t>
            </w:r>
            <w:proofErr w:type="spellEnd"/>
            <w:r w:rsidRPr="00C85206">
              <w:rPr>
                <w:rFonts w:eastAsia="Times New Roman" w:cs="Arial"/>
                <w:b/>
                <w:bCs/>
                <w:color w:val="000000"/>
                <w:sz w:val="20"/>
                <w:szCs w:val="20"/>
                <w:lang w:eastAsia="cs-CZ"/>
              </w:rPr>
              <w:t xml:space="preserve"> na VPM</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E6B8B7"/>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821</w:t>
            </w:r>
          </w:p>
        </w:tc>
        <w:tc>
          <w:tcPr>
            <w:tcW w:w="6158" w:type="dxa"/>
            <w:tcBorders>
              <w:top w:val="nil"/>
              <w:left w:val="nil"/>
              <w:bottom w:val="single" w:sz="4" w:space="0" w:color="auto"/>
              <w:right w:val="single" w:sz="4" w:space="0" w:color="auto"/>
            </w:tcBorders>
            <w:shd w:val="clear" w:color="000000" w:fill="E6B8B7"/>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Montážní dělníci výrobků a zařízení</w:t>
            </w:r>
          </w:p>
        </w:tc>
        <w:tc>
          <w:tcPr>
            <w:tcW w:w="960" w:type="dxa"/>
            <w:tcBorders>
              <w:top w:val="nil"/>
              <w:left w:val="nil"/>
              <w:bottom w:val="single" w:sz="4" w:space="0" w:color="auto"/>
              <w:right w:val="single" w:sz="4" w:space="0" w:color="auto"/>
            </w:tcBorders>
            <w:shd w:val="clear" w:color="000000" w:fill="E6B8B7"/>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9 716</w:t>
            </w:r>
          </w:p>
        </w:tc>
        <w:tc>
          <w:tcPr>
            <w:tcW w:w="959" w:type="dxa"/>
            <w:tcBorders>
              <w:top w:val="nil"/>
              <w:left w:val="nil"/>
              <w:bottom w:val="single" w:sz="4" w:space="0" w:color="auto"/>
              <w:right w:val="single" w:sz="4" w:space="0" w:color="auto"/>
            </w:tcBorders>
            <w:shd w:val="clear" w:color="000000" w:fill="E6B8B7"/>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5 456</w:t>
            </w:r>
          </w:p>
        </w:tc>
        <w:tc>
          <w:tcPr>
            <w:tcW w:w="961" w:type="dxa"/>
            <w:tcBorders>
              <w:top w:val="nil"/>
              <w:left w:val="nil"/>
              <w:bottom w:val="single" w:sz="4" w:space="0" w:color="auto"/>
              <w:right w:val="single" w:sz="8" w:space="0" w:color="auto"/>
            </w:tcBorders>
            <w:shd w:val="clear" w:color="000000" w:fill="E6B8B7"/>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0,56</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8211</w:t>
            </w:r>
          </w:p>
        </w:tc>
        <w:tc>
          <w:tcPr>
            <w:tcW w:w="6158"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proofErr w:type="spellStart"/>
            <w:r w:rsidRPr="00C85206">
              <w:rPr>
                <w:rFonts w:eastAsia="Times New Roman" w:cs="Arial"/>
                <w:color w:val="000000"/>
                <w:sz w:val="20"/>
                <w:szCs w:val="20"/>
                <w:lang w:eastAsia="cs-CZ"/>
              </w:rPr>
              <w:t>Mont</w:t>
            </w:r>
            <w:proofErr w:type="spellEnd"/>
            <w:r w:rsidRPr="00C85206">
              <w:rPr>
                <w:rFonts w:eastAsia="Times New Roman" w:cs="Arial"/>
                <w:color w:val="000000"/>
                <w:sz w:val="20"/>
                <w:szCs w:val="20"/>
                <w:lang w:eastAsia="cs-CZ"/>
              </w:rPr>
              <w:t>. dělníci mechanických zařízení</w:t>
            </w:r>
          </w:p>
        </w:tc>
        <w:tc>
          <w:tcPr>
            <w:tcW w:w="960"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2 178</w:t>
            </w:r>
          </w:p>
        </w:tc>
        <w:tc>
          <w:tcPr>
            <w:tcW w:w="959"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1 026</w:t>
            </w:r>
          </w:p>
        </w:tc>
        <w:tc>
          <w:tcPr>
            <w:tcW w:w="961" w:type="dxa"/>
            <w:tcBorders>
              <w:top w:val="nil"/>
              <w:left w:val="nil"/>
              <w:bottom w:val="single" w:sz="4" w:space="0" w:color="auto"/>
              <w:right w:val="single" w:sz="8"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0,47</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8212</w:t>
            </w:r>
          </w:p>
        </w:tc>
        <w:tc>
          <w:tcPr>
            <w:tcW w:w="6158"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proofErr w:type="spellStart"/>
            <w:r w:rsidRPr="00C85206">
              <w:rPr>
                <w:rFonts w:eastAsia="Times New Roman" w:cs="Arial"/>
                <w:color w:val="000000"/>
                <w:sz w:val="20"/>
                <w:szCs w:val="20"/>
                <w:lang w:eastAsia="cs-CZ"/>
              </w:rPr>
              <w:t>Mont</w:t>
            </w:r>
            <w:proofErr w:type="spellEnd"/>
            <w:r w:rsidRPr="00C85206">
              <w:rPr>
                <w:rFonts w:eastAsia="Times New Roman" w:cs="Arial"/>
                <w:color w:val="000000"/>
                <w:sz w:val="20"/>
                <w:szCs w:val="20"/>
                <w:lang w:eastAsia="cs-CZ"/>
              </w:rPr>
              <w:t xml:space="preserve">. Dělníci </w:t>
            </w:r>
            <w:proofErr w:type="spellStart"/>
            <w:r w:rsidRPr="00C85206">
              <w:rPr>
                <w:rFonts w:eastAsia="Times New Roman" w:cs="Arial"/>
                <w:color w:val="000000"/>
                <w:sz w:val="20"/>
                <w:szCs w:val="20"/>
                <w:lang w:eastAsia="cs-CZ"/>
              </w:rPr>
              <w:t>elektr</w:t>
            </w:r>
            <w:proofErr w:type="spellEnd"/>
            <w:r w:rsidRPr="00C85206">
              <w:rPr>
                <w:rFonts w:eastAsia="Times New Roman" w:cs="Arial"/>
                <w:color w:val="000000"/>
                <w:sz w:val="20"/>
                <w:szCs w:val="20"/>
                <w:lang w:eastAsia="cs-CZ"/>
              </w:rPr>
              <w:t xml:space="preserve">., </w:t>
            </w:r>
            <w:proofErr w:type="spellStart"/>
            <w:r w:rsidRPr="00C85206">
              <w:rPr>
                <w:rFonts w:eastAsia="Times New Roman" w:cs="Arial"/>
                <w:color w:val="000000"/>
                <w:sz w:val="20"/>
                <w:szCs w:val="20"/>
                <w:lang w:eastAsia="cs-CZ"/>
              </w:rPr>
              <w:t>energ</w:t>
            </w:r>
            <w:proofErr w:type="spellEnd"/>
            <w:r w:rsidRPr="00C85206">
              <w:rPr>
                <w:rFonts w:eastAsia="Times New Roman" w:cs="Arial"/>
                <w:color w:val="000000"/>
                <w:sz w:val="20"/>
                <w:szCs w:val="20"/>
                <w:lang w:eastAsia="cs-CZ"/>
              </w:rPr>
              <w:t>. a elektron zařízení</w:t>
            </w:r>
          </w:p>
        </w:tc>
        <w:tc>
          <w:tcPr>
            <w:tcW w:w="960"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3 010</w:t>
            </w:r>
          </w:p>
        </w:tc>
        <w:tc>
          <w:tcPr>
            <w:tcW w:w="959"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324</w:t>
            </w:r>
          </w:p>
        </w:tc>
        <w:tc>
          <w:tcPr>
            <w:tcW w:w="961" w:type="dxa"/>
            <w:tcBorders>
              <w:top w:val="nil"/>
              <w:left w:val="nil"/>
              <w:bottom w:val="single" w:sz="4" w:space="0" w:color="auto"/>
              <w:right w:val="single" w:sz="8"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0,11</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8219</w:t>
            </w:r>
          </w:p>
        </w:tc>
        <w:tc>
          <w:tcPr>
            <w:tcW w:w="6158"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proofErr w:type="spellStart"/>
            <w:r w:rsidRPr="00C85206">
              <w:rPr>
                <w:rFonts w:eastAsia="Times New Roman" w:cs="Arial"/>
                <w:color w:val="000000"/>
                <w:sz w:val="20"/>
                <w:szCs w:val="20"/>
                <w:lang w:eastAsia="cs-CZ"/>
              </w:rPr>
              <w:t>Mont</w:t>
            </w:r>
            <w:proofErr w:type="spellEnd"/>
            <w:r w:rsidRPr="00C85206">
              <w:rPr>
                <w:rFonts w:eastAsia="Times New Roman" w:cs="Arial"/>
                <w:color w:val="000000"/>
                <w:sz w:val="20"/>
                <w:szCs w:val="20"/>
                <w:lang w:eastAsia="cs-CZ"/>
              </w:rPr>
              <w:t>. dělníci ostatních výrobků</w:t>
            </w:r>
          </w:p>
        </w:tc>
        <w:tc>
          <w:tcPr>
            <w:tcW w:w="960"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3 854</w:t>
            </w:r>
          </w:p>
        </w:tc>
        <w:tc>
          <w:tcPr>
            <w:tcW w:w="959"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2 351</w:t>
            </w:r>
          </w:p>
        </w:tc>
        <w:tc>
          <w:tcPr>
            <w:tcW w:w="961" w:type="dxa"/>
            <w:tcBorders>
              <w:top w:val="nil"/>
              <w:left w:val="nil"/>
              <w:bottom w:val="single" w:sz="4" w:space="0" w:color="auto"/>
              <w:right w:val="single" w:sz="8"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0,61</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932</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Pomocní pracovníci ve výrobě</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9 011</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36 121</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4,01</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9321</w:t>
            </w:r>
          </w:p>
        </w:tc>
        <w:tc>
          <w:tcPr>
            <w:tcW w:w="6158"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Ruční baliči</w:t>
            </w:r>
          </w:p>
        </w:tc>
        <w:tc>
          <w:tcPr>
            <w:tcW w:w="960"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903</w:t>
            </w:r>
          </w:p>
        </w:tc>
        <w:tc>
          <w:tcPr>
            <w:tcW w:w="959"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269</w:t>
            </w:r>
          </w:p>
        </w:tc>
        <w:tc>
          <w:tcPr>
            <w:tcW w:w="961" w:type="dxa"/>
            <w:tcBorders>
              <w:top w:val="nil"/>
              <w:left w:val="nil"/>
              <w:bottom w:val="single" w:sz="4" w:space="0" w:color="auto"/>
              <w:right w:val="single" w:sz="8"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0,30</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9329</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Ostatní pomocní pracovníci ve výrobě</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7 745</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32 470</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4,19</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E6B8B7"/>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722</w:t>
            </w:r>
          </w:p>
        </w:tc>
        <w:tc>
          <w:tcPr>
            <w:tcW w:w="6158" w:type="dxa"/>
            <w:tcBorders>
              <w:top w:val="nil"/>
              <w:left w:val="nil"/>
              <w:bottom w:val="single" w:sz="4" w:space="0" w:color="auto"/>
              <w:right w:val="single" w:sz="4" w:space="0" w:color="auto"/>
            </w:tcBorders>
            <w:shd w:val="clear" w:color="000000" w:fill="E6B8B7"/>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Kováři, nástrojaři a příbuzní pracovníci</w:t>
            </w:r>
          </w:p>
        </w:tc>
        <w:tc>
          <w:tcPr>
            <w:tcW w:w="960" w:type="dxa"/>
            <w:tcBorders>
              <w:top w:val="nil"/>
              <w:left w:val="nil"/>
              <w:bottom w:val="single" w:sz="4" w:space="0" w:color="auto"/>
              <w:right w:val="single" w:sz="4" w:space="0" w:color="auto"/>
            </w:tcBorders>
            <w:shd w:val="clear" w:color="000000" w:fill="E6B8B7"/>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7 319</w:t>
            </w:r>
          </w:p>
        </w:tc>
        <w:tc>
          <w:tcPr>
            <w:tcW w:w="959" w:type="dxa"/>
            <w:tcBorders>
              <w:top w:val="nil"/>
              <w:left w:val="nil"/>
              <w:bottom w:val="single" w:sz="4" w:space="0" w:color="auto"/>
              <w:right w:val="single" w:sz="4" w:space="0" w:color="auto"/>
            </w:tcBorders>
            <w:shd w:val="clear" w:color="000000" w:fill="E6B8B7"/>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7 060</w:t>
            </w:r>
          </w:p>
        </w:tc>
        <w:tc>
          <w:tcPr>
            <w:tcW w:w="961" w:type="dxa"/>
            <w:tcBorders>
              <w:top w:val="nil"/>
              <w:left w:val="nil"/>
              <w:bottom w:val="single" w:sz="4" w:space="0" w:color="auto"/>
              <w:right w:val="single" w:sz="8" w:space="0" w:color="auto"/>
            </w:tcBorders>
            <w:shd w:val="clear" w:color="000000" w:fill="E6B8B7"/>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0,96</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7221</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Kováři</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87</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116</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1,33</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7222</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Nástrojaři a příbuzní pracovníci</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3 210</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5 423</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1,69</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7223</w:t>
            </w:r>
          </w:p>
        </w:tc>
        <w:tc>
          <w:tcPr>
            <w:tcW w:w="6158"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Seřizovači a obsluha obr strojů (kromě dřevoobráběcích)</w:t>
            </w:r>
          </w:p>
        </w:tc>
        <w:tc>
          <w:tcPr>
            <w:tcW w:w="960"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3 153</w:t>
            </w:r>
          </w:p>
        </w:tc>
        <w:tc>
          <w:tcPr>
            <w:tcW w:w="959"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1 283</w:t>
            </w:r>
          </w:p>
        </w:tc>
        <w:tc>
          <w:tcPr>
            <w:tcW w:w="961" w:type="dxa"/>
            <w:tcBorders>
              <w:top w:val="nil"/>
              <w:left w:val="nil"/>
              <w:bottom w:val="single" w:sz="4" w:space="0" w:color="auto"/>
              <w:right w:val="single" w:sz="8"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0,41</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7224</w:t>
            </w:r>
          </w:p>
        </w:tc>
        <w:tc>
          <w:tcPr>
            <w:tcW w:w="6158"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Brusiči, leštiči a ostřiči nástrojů a kovů</w:t>
            </w:r>
          </w:p>
        </w:tc>
        <w:tc>
          <w:tcPr>
            <w:tcW w:w="960"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856</w:t>
            </w:r>
          </w:p>
        </w:tc>
        <w:tc>
          <w:tcPr>
            <w:tcW w:w="959"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196</w:t>
            </w:r>
          </w:p>
        </w:tc>
        <w:tc>
          <w:tcPr>
            <w:tcW w:w="961" w:type="dxa"/>
            <w:tcBorders>
              <w:top w:val="nil"/>
              <w:left w:val="nil"/>
              <w:bottom w:val="single" w:sz="4" w:space="0" w:color="auto"/>
              <w:right w:val="single" w:sz="8"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0,23</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E6B8B7"/>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833</w:t>
            </w:r>
          </w:p>
        </w:tc>
        <w:tc>
          <w:tcPr>
            <w:tcW w:w="6158" w:type="dxa"/>
            <w:tcBorders>
              <w:top w:val="nil"/>
              <w:left w:val="nil"/>
              <w:bottom w:val="single" w:sz="4" w:space="0" w:color="auto"/>
              <w:right w:val="single" w:sz="4" w:space="0" w:color="auto"/>
            </w:tcBorders>
            <w:shd w:val="clear" w:color="000000" w:fill="E6B8B7"/>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Řidiči nákladních automobilů, autobusů a tramvají</w:t>
            </w:r>
          </w:p>
        </w:tc>
        <w:tc>
          <w:tcPr>
            <w:tcW w:w="960" w:type="dxa"/>
            <w:tcBorders>
              <w:top w:val="nil"/>
              <w:left w:val="nil"/>
              <w:bottom w:val="single" w:sz="4" w:space="0" w:color="auto"/>
              <w:right w:val="single" w:sz="4" w:space="0" w:color="auto"/>
            </w:tcBorders>
            <w:shd w:val="clear" w:color="000000" w:fill="E6B8B7"/>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6 931</w:t>
            </w:r>
          </w:p>
        </w:tc>
        <w:tc>
          <w:tcPr>
            <w:tcW w:w="959" w:type="dxa"/>
            <w:tcBorders>
              <w:top w:val="nil"/>
              <w:left w:val="nil"/>
              <w:bottom w:val="single" w:sz="4" w:space="0" w:color="auto"/>
              <w:right w:val="single" w:sz="4" w:space="0" w:color="auto"/>
            </w:tcBorders>
            <w:shd w:val="clear" w:color="000000" w:fill="E6B8B7"/>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4 394</w:t>
            </w:r>
          </w:p>
        </w:tc>
        <w:tc>
          <w:tcPr>
            <w:tcW w:w="961" w:type="dxa"/>
            <w:tcBorders>
              <w:top w:val="nil"/>
              <w:left w:val="nil"/>
              <w:bottom w:val="single" w:sz="4" w:space="0" w:color="auto"/>
              <w:right w:val="single" w:sz="8" w:space="0" w:color="auto"/>
            </w:tcBorders>
            <w:shd w:val="clear" w:color="000000" w:fill="E6B8B7"/>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0,63</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8331</w:t>
            </w:r>
          </w:p>
        </w:tc>
        <w:tc>
          <w:tcPr>
            <w:tcW w:w="6158"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Řidiči autobusů, trolejbusů a tramvají</w:t>
            </w:r>
          </w:p>
        </w:tc>
        <w:tc>
          <w:tcPr>
            <w:tcW w:w="960"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1 139</w:t>
            </w:r>
          </w:p>
        </w:tc>
        <w:tc>
          <w:tcPr>
            <w:tcW w:w="959"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217</w:t>
            </w:r>
          </w:p>
        </w:tc>
        <w:tc>
          <w:tcPr>
            <w:tcW w:w="961" w:type="dxa"/>
            <w:tcBorders>
              <w:top w:val="nil"/>
              <w:left w:val="nil"/>
              <w:bottom w:val="single" w:sz="4" w:space="0" w:color="auto"/>
              <w:right w:val="single" w:sz="8"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0,19</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8332</w:t>
            </w:r>
          </w:p>
        </w:tc>
        <w:tc>
          <w:tcPr>
            <w:tcW w:w="6158"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Řidiči nákl. Aut., tahačů a speciálních vozidel</w:t>
            </w:r>
          </w:p>
        </w:tc>
        <w:tc>
          <w:tcPr>
            <w:tcW w:w="960"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5 731</w:t>
            </w:r>
          </w:p>
        </w:tc>
        <w:tc>
          <w:tcPr>
            <w:tcW w:w="959"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3 666</w:t>
            </w:r>
          </w:p>
        </w:tc>
        <w:tc>
          <w:tcPr>
            <w:tcW w:w="961" w:type="dxa"/>
            <w:tcBorders>
              <w:top w:val="nil"/>
              <w:left w:val="nil"/>
              <w:bottom w:val="single" w:sz="4" w:space="0" w:color="auto"/>
              <w:right w:val="single" w:sz="8"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0,64</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931</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Pomocní pracovníci v oblasti těžby a stavebnictví</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5 412</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5 636</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1,04</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9311</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Pomocní pracovníci v oblasti těžby</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19</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158</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8,32</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9312</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Figuranti, děl. výkop. prací a děl. výstavby inženýrských děl</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157</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588</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3,75</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9313</w:t>
            </w:r>
          </w:p>
        </w:tc>
        <w:tc>
          <w:tcPr>
            <w:tcW w:w="6158"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Dělníci v oblasti výstavby budov</w:t>
            </w:r>
          </w:p>
        </w:tc>
        <w:tc>
          <w:tcPr>
            <w:tcW w:w="960"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5 131</w:t>
            </w:r>
          </w:p>
        </w:tc>
        <w:tc>
          <w:tcPr>
            <w:tcW w:w="959"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3 781</w:t>
            </w:r>
          </w:p>
        </w:tc>
        <w:tc>
          <w:tcPr>
            <w:tcW w:w="961" w:type="dxa"/>
            <w:tcBorders>
              <w:top w:val="nil"/>
              <w:left w:val="nil"/>
              <w:bottom w:val="single" w:sz="4" w:space="0" w:color="auto"/>
              <w:right w:val="single" w:sz="8"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0,74</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541</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Pracovníci v oblasti ochrany a ostrahy</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4 705</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14 834</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3,15</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5411</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Příslušníci HZS ČR a hasiči ostatních jednotek požární ochrany</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11</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132</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12,00</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5412</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Policisté</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477</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545</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1,14</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5413</w:t>
            </w:r>
          </w:p>
        </w:tc>
        <w:tc>
          <w:tcPr>
            <w:tcW w:w="6158"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Pracovníci vězeňské služby</w:t>
            </w:r>
          </w:p>
        </w:tc>
        <w:tc>
          <w:tcPr>
            <w:tcW w:w="960"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114</w:t>
            </w:r>
          </w:p>
        </w:tc>
        <w:tc>
          <w:tcPr>
            <w:tcW w:w="959"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23</w:t>
            </w:r>
          </w:p>
        </w:tc>
        <w:tc>
          <w:tcPr>
            <w:tcW w:w="961" w:type="dxa"/>
            <w:tcBorders>
              <w:top w:val="nil"/>
              <w:left w:val="nil"/>
              <w:bottom w:val="single" w:sz="4" w:space="0" w:color="auto"/>
              <w:right w:val="single" w:sz="8"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0,20</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5414</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Pracovníci ostrahy a bezpečnostních agentur</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3 901</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13 424</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3,44</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5419</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Pracovníci v oblasti ochrany a ostrahy jinde neuvedení</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144</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533</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3,70</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E6B8B7"/>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721</w:t>
            </w:r>
          </w:p>
        </w:tc>
        <w:tc>
          <w:tcPr>
            <w:tcW w:w="6158" w:type="dxa"/>
            <w:tcBorders>
              <w:top w:val="nil"/>
              <w:left w:val="nil"/>
              <w:bottom w:val="single" w:sz="4" w:space="0" w:color="auto"/>
              <w:right w:val="single" w:sz="4" w:space="0" w:color="auto"/>
            </w:tcBorders>
            <w:shd w:val="clear" w:color="000000" w:fill="E6B8B7"/>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Slévači, svářeči a příbuzní pracovníci</w:t>
            </w:r>
          </w:p>
        </w:tc>
        <w:tc>
          <w:tcPr>
            <w:tcW w:w="960" w:type="dxa"/>
            <w:tcBorders>
              <w:top w:val="nil"/>
              <w:left w:val="nil"/>
              <w:bottom w:val="single" w:sz="4" w:space="0" w:color="auto"/>
              <w:right w:val="single" w:sz="4" w:space="0" w:color="auto"/>
            </w:tcBorders>
            <w:shd w:val="clear" w:color="000000" w:fill="E6B8B7"/>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4 484</w:t>
            </w:r>
          </w:p>
        </w:tc>
        <w:tc>
          <w:tcPr>
            <w:tcW w:w="959" w:type="dxa"/>
            <w:tcBorders>
              <w:top w:val="nil"/>
              <w:left w:val="nil"/>
              <w:bottom w:val="single" w:sz="4" w:space="0" w:color="auto"/>
              <w:right w:val="single" w:sz="4" w:space="0" w:color="auto"/>
            </w:tcBorders>
            <w:shd w:val="clear" w:color="000000" w:fill="E6B8B7"/>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2 081</w:t>
            </w:r>
          </w:p>
        </w:tc>
        <w:tc>
          <w:tcPr>
            <w:tcW w:w="961" w:type="dxa"/>
            <w:tcBorders>
              <w:top w:val="nil"/>
              <w:left w:val="nil"/>
              <w:bottom w:val="single" w:sz="4" w:space="0" w:color="auto"/>
              <w:right w:val="single" w:sz="8" w:space="0" w:color="auto"/>
            </w:tcBorders>
            <w:shd w:val="clear" w:color="000000" w:fill="E6B8B7"/>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0,46</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7211</w:t>
            </w:r>
          </w:p>
        </w:tc>
        <w:tc>
          <w:tcPr>
            <w:tcW w:w="6158"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Modeláři, formíři, jádraři a slévači ve slévárnách</w:t>
            </w:r>
          </w:p>
        </w:tc>
        <w:tc>
          <w:tcPr>
            <w:tcW w:w="960"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264</w:t>
            </w:r>
          </w:p>
        </w:tc>
        <w:tc>
          <w:tcPr>
            <w:tcW w:w="959"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78</w:t>
            </w:r>
          </w:p>
        </w:tc>
        <w:tc>
          <w:tcPr>
            <w:tcW w:w="961" w:type="dxa"/>
            <w:tcBorders>
              <w:top w:val="nil"/>
              <w:left w:val="nil"/>
              <w:bottom w:val="single" w:sz="4" w:space="0" w:color="auto"/>
              <w:right w:val="single" w:sz="8"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0,30</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7212</w:t>
            </w:r>
          </w:p>
        </w:tc>
        <w:tc>
          <w:tcPr>
            <w:tcW w:w="6158"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Svářeči, řezači plamenem a páječi</w:t>
            </w:r>
          </w:p>
        </w:tc>
        <w:tc>
          <w:tcPr>
            <w:tcW w:w="960"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3 580</w:t>
            </w:r>
          </w:p>
        </w:tc>
        <w:tc>
          <w:tcPr>
            <w:tcW w:w="959"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1 322</w:t>
            </w:r>
          </w:p>
        </w:tc>
        <w:tc>
          <w:tcPr>
            <w:tcW w:w="961" w:type="dxa"/>
            <w:tcBorders>
              <w:top w:val="nil"/>
              <w:left w:val="nil"/>
              <w:bottom w:val="single" w:sz="4" w:space="0" w:color="auto"/>
              <w:right w:val="single" w:sz="8"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0,37</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7213</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Pracovníci na zpracování plechu</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305</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529</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1,73</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7214</w:t>
            </w:r>
          </w:p>
        </w:tc>
        <w:tc>
          <w:tcPr>
            <w:tcW w:w="6158"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Montéři kovových konstrukcí</w:t>
            </w:r>
          </w:p>
        </w:tc>
        <w:tc>
          <w:tcPr>
            <w:tcW w:w="960"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261</w:t>
            </w:r>
          </w:p>
        </w:tc>
        <w:tc>
          <w:tcPr>
            <w:tcW w:w="959"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108</w:t>
            </w:r>
          </w:p>
        </w:tc>
        <w:tc>
          <w:tcPr>
            <w:tcW w:w="961" w:type="dxa"/>
            <w:tcBorders>
              <w:top w:val="nil"/>
              <w:left w:val="nil"/>
              <w:bottom w:val="single" w:sz="4" w:space="0" w:color="auto"/>
              <w:right w:val="single" w:sz="8"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0,41</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7215</w:t>
            </w:r>
          </w:p>
        </w:tc>
        <w:tc>
          <w:tcPr>
            <w:tcW w:w="6158"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Montéři lan a zdvihacích zařízení</w:t>
            </w:r>
          </w:p>
        </w:tc>
        <w:tc>
          <w:tcPr>
            <w:tcW w:w="960"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49</w:t>
            </w:r>
          </w:p>
        </w:tc>
        <w:tc>
          <w:tcPr>
            <w:tcW w:w="959"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10</w:t>
            </w:r>
          </w:p>
        </w:tc>
        <w:tc>
          <w:tcPr>
            <w:tcW w:w="961" w:type="dxa"/>
            <w:tcBorders>
              <w:top w:val="nil"/>
              <w:left w:val="nil"/>
              <w:bottom w:val="single" w:sz="4" w:space="0" w:color="auto"/>
              <w:right w:val="single" w:sz="8"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0,20</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834</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Obsluha pojízdných zařízení</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4 093</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6 487</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1,58</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8341</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Řidiči a obsluha zemědělských a lesnických strojů</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242</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943</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3,90</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8342</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Obsluha železničních, zemních a příbuzných strojů a zařízení</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292</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474</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1,62</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8343</w:t>
            </w:r>
          </w:p>
        </w:tc>
        <w:tc>
          <w:tcPr>
            <w:tcW w:w="6158"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 xml:space="preserve">Obsluha jeřábů, zdvihacích a podobných manipulačních </w:t>
            </w:r>
            <w:proofErr w:type="spellStart"/>
            <w:r w:rsidRPr="00C85206">
              <w:rPr>
                <w:rFonts w:eastAsia="Times New Roman" w:cs="Arial"/>
                <w:color w:val="000000"/>
                <w:sz w:val="20"/>
                <w:szCs w:val="20"/>
                <w:lang w:eastAsia="cs-CZ"/>
              </w:rPr>
              <w:t>zaříz</w:t>
            </w:r>
            <w:proofErr w:type="spellEnd"/>
            <w:r w:rsidRPr="00C85206">
              <w:rPr>
                <w:rFonts w:eastAsia="Times New Roman" w:cs="Arial"/>
                <w:color w:val="000000"/>
                <w:sz w:val="20"/>
                <w:szCs w:val="20"/>
                <w:lang w:eastAsia="cs-CZ"/>
              </w:rPr>
              <w:t>.</w:t>
            </w:r>
          </w:p>
        </w:tc>
        <w:tc>
          <w:tcPr>
            <w:tcW w:w="960"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274</w:t>
            </w:r>
          </w:p>
        </w:tc>
        <w:tc>
          <w:tcPr>
            <w:tcW w:w="959" w:type="dxa"/>
            <w:tcBorders>
              <w:top w:val="nil"/>
              <w:left w:val="nil"/>
              <w:bottom w:val="single" w:sz="4" w:space="0" w:color="auto"/>
              <w:right w:val="single" w:sz="4"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264</w:t>
            </w:r>
          </w:p>
        </w:tc>
        <w:tc>
          <w:tcPr>
            <w:tcW w:w="961" w:type="dxa"/>
            <w:tcBorders>
              <w:top w:val="nil"/>
              <w:left w:val="nil"/>
              <w:bottom w:val="single" w:sz="4" w:space="0" w:color="auto"/>
              <w:right w:val="single" w:sz="8" w:space="0" w:color="auto"/>
            </w:tcBorders>
            <w:shd w:val="clear" w:color="000000" w:fill="F2DCDB"/>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0,96</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8344</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Obsluha vysokozdvižných a jiných vozíků a skladníci</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3 274</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4 783</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1,46</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512</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Kuchaři (kromě šéfkuchařů), pomocní kuchaři</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4 070</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8 575</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2,11</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5120</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Kuchaři (kromě šéfkuchařů), pomocní kuchaři</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3 983</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7 050</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1,77</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r w:rsidRPr="00C85206">
              <w:rPr>
                <w:rFonts w:eastAsia="Times New Roman" w:cs="Arial"/>
                <w:b/>
                <w:bCs/>
                <w:color w:val="000000"/>
                <w:sz w:val="20"/>
                <w:szCs w:val="20"/>
                <w:lang w:eastAsia="cs-CZ"/>
              </w:rPr>
              <w:t>911</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b/>
                <w:bCs/>
                <w:color w:val="000000"/>
                <w:sz w:val="20"/>
                <w:szCs w:val="20"/>
                <w:lang w:eastAsia="cs-CZ"/>
              </w:rPr>
            </w:pPr>
            <w:proofErr w:type="spellStart"/>
            <w:r w:rsidRPr="00C85206">
              <w:rPr>
                <w:rFonts w:eastAsia="Times New Roman" w:cs="Arial"/>
                <w:b/>
                <w:bCs/>
                <w:color w:val="000000"/>
                <w:sz w:val="20"/>
                <w:szCs w:val="20"/>
                <w:lang w:eastAsia="cs-CZ"/>
              </w:rPr>
              <w:t>Uklíz</w:t>
            </w:r>
            <w:proofErr w:type="spellEnd"/>
            <w:r w:rsidRPr="00C85206">
              <w:rPr>
                <w:rFonts w:eastAsia="Times New Roman" w:cs="Arial"/>
                <w:b/>
                <w:bCs/>
                <w:color w:val="000000"/>
                <w:sz w:val="20"/>
                <w:szCs w:val="20"/>
                <w:lang w:eastAsia="cs-CZ"/>
              </w:rPr>
              <w:t xml:space="preserve">. a pomoc. v dom., hotel., </w:t>
            </w:r>
            <w:proofErr w:type="spellStart"/>
            <w:r w:rsidRPr="00C85206">
              <w:rPr>
                <w:rFonts w:eastAsia="Times New Roman" w:cs="Arial"/>
                <w:b/>
                <w:bCs/>
                <w:color w:val="000000"/>
                <w:sz w:val="20"/>
                <w:szCs w:val="20"/>
                <w:lang w:eastAsia="cs-CZ"/>
              </w:rPr>
              <w:t>admin</w:t>
            </w:r>
            <w:proofErr w:type="spellEnd"/>
            <w:r w:rsidRPr="00C85206">
              <w:rPr>
                <w:rFonts w:eastAsia="Times New Roman" w:cs="Arial"/>
                <w:b/>
                <w:bCs/>
                <w:color w:val="000000"/>
                <w:sz w:val="20"/>
                <w:szCs w:val="20"/>
                <w:lang w:eastAsia="cs-CZ"/>
              </w:rPr>
              <w:t xml:space="preserve">., </w:t>
            </w:r>
            <w:proofErr w:type="spellStart"/>
            <w:r w:rsidRPr="00C85206">
              <w:rPr>
                <w:rFonts w:eastAsia="Times New Roman" w:cs="Arial"/>
                <w:b/>
                <w:bCs/>
                <w:color w:val="000000"/>
                <w:sz w:val="20"/>
                <w:szCs w:val="20"/>
                <w:lang w:eastAsia="cs-CZ"/>
              </w:rPr>
              <w:t>prům</w:t>
            </w:r>
            <w:proofErr w:type="spellEnd"/>
            <w:r w:rsidRPr="00C85206">
              <w:rPr>
                <w:rFonts w:eastAsia="Times New Roman" w:cs="Arial"/>
                <w:b/>
                <w:bCs/>
                <w:color w:val="000000"/>
                <w:sz w:val="20"/>
                <w:szCs w:val="20"/>
                <w:lang w:eastAsia="cs-CZ"/>
              </w:rPr>
              <w:t>. a jiných objektech</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3 829</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19 330</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b/>
                <w:bCs/>
                <w:color w:val="000000"/>
                <w:sz w:val="20"/>
                <w:szCs w:val="20"/>
                <w:lang w:eastAsia="cs-CZ"/>
              </w:rPr>
            </w:pPr>
            <w:r w:rsidRPr="00C85206">
              <w:rPr>
                <w:rFonts w:eastAsia="Times New Roman" w:cs="Arial"/>
                <w:b/>
                <w:bCs/>
                <w:color w:val="000000"/>
                <w:sz w:val="20"/>
                <w:szCs w:val="20"/>
                <w:lang w:eastAsia="cs-CZ"/>
              </w:rPr>
              <w:t>5,05</w:t>
            </w:r>
          </w:p>
        </w:tc>
      </w:tr>
      <w:tr w:rsidR="00C85206" w:rsidRPr="00C85206" w:rsidTr="00C85206">
        <w:trPr>
          <w:trHeight w:val="300"/>
        </w:trPr>
        <w:tc>
          <w:tcPr>
            <w:tcW w:w="854" w:type="dxa"/>
            <w:tcBorders>
              <w:top w:val="nil"/>
              <w:left w:val="single" w:sz="8" w:space="0" w:color="auto"/>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9111</w:t>
            </w:r>
          </w:p>
        </w:tc>
        <w:tc>
          <w:tcPr>
            <w:tcW w:w="6158"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r w:rsidRPr="00C85206">
              <w:rPr>
                <w:rFonts w:eastAsia="Times New Roman" w:cs="Arial"/>
                <w:color w:val="000000"/>
                <w:sz w:val="20"/>
                <w:szCs w:val="20"/>
                <w:lang w:eastAsia="cs-CZ"/>
              </w:rPr>
              <w:t>Uklízeči a pomocníci v domácnostech (kromě hospodyní)</w:t>
            </w:r>
          </w:p>
        </w:tc>
        <w:tc>
          <w:tcPr>
            <w:tcW w:w="960"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58</w:t>
            </w:r>
          </w:p>
        </w:tc>
        <w:tc>
          <w:tcPr>
            <w:tcW w:w="959" w:type="dxa"/>
            <w:tcBorders>
              <w:top w:val="nil"/>
              <w:left w:val="nil"/>
              <w:bottom w:val="single" w:sz="4"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581</w:t>
            </w:r>
          </w:p>
        </w:tc>
        <w:tc>
          <w:tcPr>
            <w:tcW w:w="961" w:type="dxa"/>
            <w:tcBorders>
              <w:top w:val="nil"/>
              <w:left w:val="nil"/>
              <w:bottom w:val="single" w:sz="4"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10,02</w:t>
            </w:r>
          </w:p>
        </w:tc>
      </w:tr>
      <w:tr w:rsidR="00C85206" w:rsidRPr="00C85206" w:rsidTr="00C85206">
        <w:trPr>
          <w:trHeight w:val="315"/>
        </w:trPr>
        <w:tc>
          <w:tcPr>
            <w:tcW w:w="854" w:type="dxa"/>
            <w:tcBorders>
              <w:top w:val="nil"/>
              <w:left w:val="single" w:sz="8" w:space="0" w:color="auto"/>
              <w:bottom w:val="single" w:sz="8"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9112</w:t>
            </w:r>
          </w:p>
        </w:tc>
        <w:tc>
          <w:tcPr>
            <w:tcW w:w="6158" w:type="dxa"/>
            <w:tcBorders>
              <w:top w:val="nil"/>
              <w:left w:val="nil"/>
              <w:bottom w:val="single" w:sz="8" w:space="0" w:color="auto"/>
              <w:right w:val="single" w:sz="4" w:space="0" w:color="auto"/>
            </w:tcBorders>
            <w:shd w:val="clear" w:color="auto" w:fill="auto"/>
            <w:noWrap/>
            <w:vAlign w:val="bottom"/>
            <w:hideMark/>
          </w:tcPr>
          <w:p w:rsidR="00C85206" w:rsidRPr="00C85206" w:rsidRDefault="00C85206" w:rsidP="00C85206">
            <w:pPr>
              <w:spacing w:line="240" w:lineRule="auto"/>
              <w:jc w:val="left"/>
              <w:rPr>
                <w:rFonts w:eastAsia="Times New Roman" w:cs="Arial"/>
                <w:color w:val="000000"/>
                <w:sz w:val="20"/>
                <w:szCs w:val="20"/>
                <w:lang w:eastAsia="cs-CZ"/>
              </w:rPr>
            </w:pPr>
            <w:proofErr w:type="spellStart"/>
            <w:r w:rsidRPr="00C85206">
              <w:rPr>
                <w:rFonts w:eastAsia="Times New Roman" w:cs="Arial"/>
                <w:color w:val="000000"/>
                <w:sz w:val="20"/>
                <w:szCs w:val="20"/>
                <w:lang w:eastAsia="cs-CZ"/>
              </w:rPr>
              <w:t>Uklíz</w:t>
            </w:r>
            <w:proofErr w:type="spellEnd"/>
            <w:r w:rsidRPr="00C85206">
              <w:rPr>
                <w:rFonts w:eastAsia="Times New Roman" w:cs="Arial"/>
                <w:color w:val="000000"/>
                <w:sz w:val="20"/>
                <w:szCs w:val="20"/>
                <w:lang w:eastAsia="cs-CZ"/>
              </w:rPr>
              <w:t xml:space="preserve">. a pomoc. v hotelích, </w:t>
            </w:r>
            <w:proofErr w:type="spellStart"/>
            <w:r w:rsidRPr="00C85206">
              <w:rPr>
                <w:rFonts w:eastAsia="Times New Roman" w:cs="Arial"/>
                <w:color w:val="000000"/>
                <w:sz w:val="20"/>
                <w:szCs w:val="20"/>
                <w:lang w:eastAsia="cs-CZ"/>
              </w:rPr>
              <w:t>admin</w:t>
            </w:r>
            <w:proofErr w:type="spellEnd"/>
            <w:r w:rsidRPr="00C85206">
              <w:rPr>
                <w:rFonts w:eastAsia="Times New Roman" w:cs="Arial"/>
                <w:color w:val="000000"/>
                <w:sz w:val="20"/>
                <w:szCs w:val="20"/>
                <w:lang w:eastAsia="cs-CZ"/>
              </w:rPr>
              <w:t xml:space="preserve">., </w:t>
            </w:r>
            <w:proofErr w:type="spellStart"/>
            <w:r w:rsidRPr="00C85206">
              <w:rPr>
                <w:rFonts w:eastAsia="Times New Roman" w:cs="Arial"/>
                <w:color w:val="000000"/>
                <w:sz w:val="20"/>
                <w:szCs w:val="20"/>
                <w:lang w:eastAsia="cs-CZ"/>
              </w:rPr>
              <w:t>prům</w:t>
            </w:r>
            <w:proofErr w:type="spellEnd"/>
            <w:r w:rsidRPr="00C85206">
              <w:rPr>
                <w:rFonts w:eastAsia="Times New Roman" w:cs="Arial"/>
                <w:color w:val="000000"/>
                <w:sz w:val="20"/>
                <w:szCs w:val="20"/>
                <w:lang w:eastAsia="cs-CZ"/>
              </w:rPr>
              <w:t>. a jiných objektech</w:t>
            </w:r>
          </w:p>
        </w:tc>
        <w:tc>
          <w:tcPr>
            <w:tcW w:w="960" w:type="dxa"/>
            <w:tcBorders>
              <w:top w:val="nil"/>
              <w:left w:val="nil"/>
              <w:bottom w:val="single" w:sz="8"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3 639</w:t>
            </w:r>
          </w:p>
        </w:tc>
        <w:tc>
          <w:tcPr>
            <w:tcW w:w="959" w:type="dxa"/>
            <w:tcBorders>
              <w:top w:val="nil"/>
              <w:left w:val="nil"/>
              <w:bottom w:val="single" w:sz="8" w:space="0" w:color="auto"/>
              <w:right w:val="single" w:sz="4"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15 529</w:t>
            </w:r>
          </w:p>
        </w:tc>
        <w:tc>
          <w:tcPr>
            <w:tcW w:w="961" w:type="dxa"/>
            <w:tcBorders>
              <w:top w:val="nil"/>
              <w:left w:val="nil"/>
              <w:bottom w:val="single" w:sz="8" w:space="0" w:color="auto"/>
              <w:right w:val="single" w:sz="8" w:space="0" w:color="auto"/>
            </w:tcBorders>
            <w:shd w:val="clear" w:color="auto" w:fill="auto"/>
            <w:noWrap/>
            <w:vAlign w:val="bottom"/>
            <w:hideMark/>
          </w:tcPr>
          <w:p w:rsidR="00C85206" w:rsidRPr="00C85206" w:rsidRDefault="00C85206" w:rsidP="00C85206">
            <w:pPr>
              <w:spacing w:line="240" w:lineRule="auto"/>
              <w:jc w:val="right"/>
              <w:rPr>
                <w:rFonts w:eastAsia="Times New Roman" w:cs="Arial"/>
                <w:color w:val="000000"/>
                <w:sz w:val="20"/>
                <w:szCs w:val="20"/>
                <w:lang w:eastAsia="cs-CZ"/>
              </w:rPr>
            </w:pPr>
            <w:r w:rsidRPr="00C85206">
              <w:rPr>
                <w:rFonts w:eastAsia="Times New Roman" w:cs="Arial"/>
                <w:color w:val="000000"/>
                <w:sz w:val="20"/>
                <w:szCs w:val="20"/>
                <w:lang w:eastAsia="cs-CZ"/>
              </w:rPr>
              <w:t>4,27</w:t>
            </w:r>
          </w:p>
        </w:tc>
      </w:tr>
    </w:tbl>
    <w:p w:rsidR="00F07193" w:rsidRDefault="00D4152A" w:rsidP="00AB0A51">
      <w:pPr>
        <w:spacing w:line="240" w:lineRule="auto"/>
      </w:pPr>
      <w:r>
        <w:t xml:space="preserve">V případě změny struktury nabízených VPM hlášených ÚP ČR nedošlo oproti září 2016 k výraznější proměně. Ke znatelnější změně došlo u skupiny zaměstnání </w:t>
      </w:r>
      <w:r>
        <w:rPr>
          <w:i/>
        </w:rPr>
        <w:t>Pomocní pracovníci ve výrobě,</w:t>
      </w:r>
      <w:r>
        <w:t xml:space="preserve"> a to v podobě poklesu počtu hlášených VPM </w:t>
      </w:r>
      <w:r w:rsidR="00F07193">
        <w:t>o </w:t>
      </w:r>
      <w:r>
        <w:t>zhruba tisíc míst</w:t>
      </w:r>
      <w:r w:rsidR="00F07193">
        <w:t xml:space="preserve"> se souběžným nárůstem počtu </w:t>
      </w:r>
      <w:proofErr w:type="spellStart"/>
      <w:r w:rsidR="00F07193">
        <w:t>UoZ</w:t>
      </w:r>
      <w:proofErr w:type="spellEnd"/>
      <w:r w:rsidR="00F07193">
        <w:t xml:space="preserve"> ve stejné skupině. V případě profesní struktury </w:t>
      </w:r>
      <w:proofErr w:type="spellStart"/>
      <w:r w:rsidR="00F07193">
        <w:t>UoZ</w:t>
      </w:r>
      <w:proofErr w:type="spellEnd"/>
      <w:r w:rsidR="00F07193">
        <w:t xml:space="preserve"> došlo ve srovnávaných období</w:t>
      </w:r>
      <w:r w:rsidR="00277811">
        <w:t>ch</w:t>
      </w:r>
      <w:r w:rsidR="00F07193">
        <w:t xml:space="preserve"> s ohledem na sezónní charakter některých činností k nárůstu </w:t>
      </w:r>
      <w:proofErr w:type="spellStart"/>
      <w:r w:rsidR="00F07193">
        <w:t>UoZ</w:t>
      </w:r>
      <w:proofErr w:type="spellEnd"/>
      <w:r w:rsidR="00F07193">
        <w:t xml:space="preserve"> ve skupině </w:t>
      </w:r>
      <w:r w:rsidR="00F07193">
        <w:rPr>
          <w:i/>
        </w:rPr>
        <w:t>Řemeslníků a kvalifikovaných pracovníků hl. stavební výroby</w:t>
      </w:r>
      <w:r w:rsidR="00FC0F0D">
        <w:t>,</w:t>
      </w:r>
      <w:r w:rsidR="00F07193">
        <w:t xml:space="preserve"> a to o téměř 7 tisíc osob, zejména tedy v případě zednických profesí. Naopak mírně ubylo (o cca 2 tisíce osob) </w:t>
      </w:r>
      <w:proofErr w:type="spellStart"/>
      <w:r w:rsidR="00F07193">
        <w:t>UoZ</w:t>
      </w:r>
      <w:proofErr w:type="spellEnd"/>
      <w:r w:rsidR="00F07193">
        <w:t xml:space="preserve"> z řad prodavačů a administrativních pracovníků.</w:t>
      </w:r>
    </w:p>
    <w:p w:rsidR="00F07193" w:rsidRDefault="00F07193" w:rsidP="00D4152A"/>
    <w:p w:rsidR="00F07193" w:rsidRDefault="00F07193">
      <w:pPr>
        <w:spacing w:after="200"/>
        <w:jc w:val="left"/>
      </w:pPr>
      <w:r>
        <w:br w:type="page"/>
      </w:r>
    </w:p>
    <w:p w:rsidR="00D1791F" w:rsidRDefault="00F00F0F" w:rsidP="00484D3B">
      <w:pPr>
        <w:pStyle w:val="Nadpis2"/>
        <w:spacing w:line="240" w:lineRule="auto"/>
      </w:pPr>
      <w:bookmarkStart w:id="24" w:name="_Toc476556230"/>
      <w:r>
        <w:t>Struktura uchazečů o zaměstnání</w:t>
      </w:r>
      <w:bookmarkEnd w:id="24"/>
    </w:p>
    <w:p w:rsidR="00AE6880" w:rsidRDefault="00F00F0F" w:rsidP="00484D3B">
      <w:pPr>
        <w:spacing w:after="200" w:line="240" w:lineRule="auto"/>
      </w:pPr>
      <w:r>
        <w:t>Vyjma poptávkové strany trhu práce jsou pro zajištění adekvátního souladu na trhu práce limitující rovněž charakteristiky nabídkové s</w:t>
      </w:r>
      <w:r w:rsidR="00E17CFD">
        <w:t>trany, tj. struktura uchazečů o </w:t>
      </w:r>
      <w:r>
        <w:t>zaměstnání. Významnou roli hraje zejména kvalifikační struktura, ale rovněž další individuální charakteristiky nezaměstnaných, zejména takové, které je limitují v rovném přístupu na trh práce.</w:t>
      </w:r>
      <w:r w:rsidR="00BF5B98">
        <w:t xml:space="preserve"> </w:t>
      </w:r>
    </w:p>
    <w:p w:rsidR="00286F14" w:rsidRDefault="00286F14" w:rsidP="00484D3B">
      <w:pPr>
        <w:pStyle w:val="Nadpis3"/>
      </w:pPr>
      <w:bookmarkStart w:id="25" w:name="_Toc476556231"/>
      <w:r>
        <w:t>Zastoupení rizikových skupin</w:t>
      </w:r>
      <w:bookmarkEnd w:id="25"/>
    </w:p>
    <w:p w:rsidR="003015EB" w:rsidRDefault="00BF5B98" w:rsidP="003015EB">
      <w:pPr>
        <w:spacing w:after="200" w:line="240" w:lineRule="auto"/>
      </w:pPr>
      <w:r>
        <w:t>Rozhodné je zejména zastoupení tzv. rizikových skupin, tj. osob, které mají horší uplatnění na trhu práce v důsledku svého zdravotního stavu, nedostatečné kvalifikace, věku či z jiných závažných důvodů</w:t>
      </w:r>
      <w:r w:rsidR="00AB7468">
        <w:t>,</w:t>
      </w:r>
      <w:r>
        <w:t xml:space="preserve"> jakými jsou péče o dítě, sociální vyloučení a další obtížně sledovatelné a měřitelné charakteristiky. Obtíže při vstupu na trh práce, resp. získání zaměstnání, se nejmarkantněji projevují v délc</w:t>
      </w:r>
      <w:r w:rsidR="00AB7468">
        <w:t>e nezaměstnanosti dotyčné osoby</w:t>
      </w:r>
      <w:r>
        <w:t xml:space="preserve"> vyjádřené délkou jejího vedení v evidenci uchazečů o zaměstnání.</w:t>
      </w:r>
      <w:r w:rsidR="003015EB">
        <w:t xml:space="preserve"> S pozitivním vývojem trhu práce lze však obecně konstatovat, že podíl znevýhodněných osob na celkovém počtu uchazečů o zaměstnání spíše narůstá</w:t>
      </w:r>
      <w:r w:rsidR="00920BB4">
        <w:t>,</w:t>
      </w:r>
      <w:r w:rsidR="003015EB">
        <w:t xml:space="preserve"> a</w:t>
      </w:r>
      <w:r w:rsidR="00920BB4">
        <w:t> </w:t>
      </w:r>
      <w:r w:rsidR="003015EB">
        <w:t xml:space="preserve">to zejména v regionech s relativně dobrou kondicí trhu práce, resp. v regionech s vysokou poptávkou po pracovní síle. Jedná se zejména o </w:t>
      </w:r>
      <w:r w:rsidR="00273A07">
        <w:t>h</w:t>
      </w:r>
      <w:r w:rsidR="003015EB">
        <w:t xml:space="preserve">l. m. Prahu a Královehradecký kraj. </w:t>
      </w:r>
      <w:r w:rsidR="003015EB" w:rsidRPr="005E4A7D">
        <w:t>Nadprůměrné hodnoty z</w:t>
      </w:r>
      <w:r w:rsidR="003015EB">
        <w:t>astoupení znevýhodněných osob v </w:t>
      </w:r>
      <w:r w:rsidR="003015EB" w:rsidRPr="005E4A7D">
        <w:t>evidenci uchazečů o zaměstnání vykazují strukturálně postižené regiony – Karlovarský kraj a Ústecký kraj, přičemž v obou regionech je markantní zejména významný podíl osob s nejvýše dosaženým zá</w:t>
      </w:r>
      <w:r w:rsidR="003015EB">
        <w:t>kladním vzděláním (viz dále). V </w:t>
      </w:r>
      <w:r w:rsidR="003015EB" w:rsidRPr="005E4A7D">
        <w:t>případě dalšího strukturálně postiženého regionu</w:t>
      </w:r>
      <w:r w:rsidR="00AB7468">
        <w:t xml:space="preserve">, </w:t>
      </w:r>
      <w:r w:rsidR="003015EB" w:rsidRPr="005E4A7D">
        <w:t xml:space="preserve">Moravskoslezského kraje, je markantním problémem dlouhodobá nezaměstnanost (nejvyšší podíl </w:t>
      </w:r>
      <w:proofErr w:type="spellStart"/>
      <w:r w:rsidR="003015EB" w:rsidRPr="005E4A7D">
        <w:t>UoZ</w:t>
      </w:r>
      <w:proofErr w:type="spellEnd"/>
      <w:r w:rsidR="003015EB" w:rsidRPr="005E4A7D">
        <w:t xml:space="preserve"> nad 12 měsíců nezaměstnanosti v celé ČR).</w:t>
      </w:r>
    </w:p>
    <w:p w:rsidR="00EF10D5" w:rsidRDefault="00EF10D5" w:rsidP="00484D3B">
      <w:pPr>
        <w:pStyle w:val="Titulek"/>
        <w:keepNext/>
      </w:pPr>
      <w:bookmarkStart w:id="26" w:name="_Toc476556301"/>
      <w:r>
        <w:t xml:space="preserve">Tabulka </w:t>
      </w:r>
      <w:r w:rsidR="00AB7C96">
        <w:fldChar w:fldCharType="begin"/>
      </w:r>
      <w:r w:rsidR="00AB7C96">
        <w:instrText xml:space="preserve"> SEQ Tabulka \* ARABIC </w:instrText>
      </w:r>
      <w:r w:rsidR="00AB7C96">
        <w:fldChar w:fldCharType="separate"/>
      </w:r>
      <w:r w:rsidR="004A5D48">
        <w:rPr>
          <w:noProof/>
        </w:rPr>
        <w:t>7</w:t>
      </w:r>
      <w:r w:rsidR="00AB7C96">
        <w:rPr>
          <w:noProof/>
        </w:rPr>
        <w:fldChar w:fldCharType="end"/>
      </w:r>
      <w:r>
        <w:t xml:space="preserve"> Počty znevýhodněných </w:t>
      </w:r>
      <w:proofErr w:type="spellStart"/>
      <w:r>
        <w:t>UoZ</w:t>
      </w:r>
      <w:proofErr w:type="spellEnd"/>
      <w:r>
        <w:t xml:space="preserve"> k 31. 12. 2016</w:t>
      </w:r>
      <w:bookmarkEnd w:id="26"/>
    </w:p>
    <w:tbl>
      <w:tblPr>
        <w:tblW w:w="9649" w:type="dxa"/>
        <w:tblInd w:w="60" w:type="dxa"/>
        <w:tblLayout w:type="fixed"/>
        <w:tblCellMar>
          <w:left w:w="70" w:type="dxa"/>
          <w:right w:w="70" w:type="dxa"/>
        </w:tblCellMar>
        <w:tblLook w:val="04A0" w:firstRow="1" w:lastRow="0" w:firstColumn="1" w:lastColumn="0" w:noHBand="0" w:noVBand="1"/>
      </w:tblPr>
      <w:tblGrid>
        <w:gridCol w:w="577"/>
        <w:gridCol w:w="993"/>
        <w:gridCol w:w="850"/>
        <w:gridCol w:w="851"/>
        <w:gridCol w:w="850"/>
        <w:gridCol w:w="851"/>
        <w:gridCol w:w="992"/>
        <w:gridCol w:w="992"/>
        <w:gridCol w:w="992"/>
        <w:gridCol w:w="851"/>
        <w:gridCol w:w="850"/>
      </w:tblGrid>
      <w:tr w:rsidR="00837CDC" w:rsidRPr="000A2CB2" w:rsidTr="00EF10D5">
        <w:trPr>
          <w:trHeight w:val="293"/>
        </w:trPr>
        <w:tc>
          <w:tcPr>
            <w:tcW w:w="5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37CDC" w:rsidRPr="000A2CB2" w:rsidRDefault="00837CDC" w:rsidP="00484D3B">
            <w:pPr>
              <w:spacing w:line="240" w:lineRule="auto"/>
              <w:jc w:val="center"/>
              <w:rPr>
                <w:rFonts w:eastAsia="Times New Roman" w:cs="Arial"/>
                <w:b/>
                <w:bCs/>
                <w:color w:val="000000"/>
                <w:sz w:val="20"/>
                <w:szCs w:val="20"/>
                <w:lang w:eastAsia="cs-CZ"/>
              </w:rPr>
            </w:pPr>
            <w:r w:rsidRPr="000A2CB2">
              <w:rPr>
                <w:rFonts w:eastAsia="Times New Roman" w:cs="Arial"/>
                <w:b/>
                <w:bCs/>
                <w:color w:val="000000"/>
                <w:sz w:val="20"/>
                <w:szCs w:val="20"/>
                <w:lang w:eastAsia="cs-CZ"/>
              </w:rPr>
              <w:t>kraj</w:t>
            </w:r>
          </w:p>
        </w:tc>
        <w:tc>
          <w:tcPr>
            <w:tcW w:w="99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837CDC" w:rsidRPr="000A2CB2" w:rsidRDefault="00837CDC" w:rsidP="00484D3B">
            <w:pPr>
              <w:spacing w:line="240" w:lineRule="auto"/>
              <w:jc w:val="center"/>
              <w:rPr>
                <w:rFonts w:eastAsia="Times New Roman" w:cs="Arial"/>
                <w:b/>
                <w:bCs/>
                <w:color w:val="000000"/>
                <w:sz w:val="20"/>
                <w:szCs w:val="20"/>
                <w:lang w:eastAsia="cs-CZ"/>
              </w:rPr>
            </w:pPr>
            <w:r w:rsidRPr="000A2CB2">
              <w:rPr>
                <w:rFonts w:eastAsia="Times New Roman" w:cs="Arial"/>
                <w:b/>
                <w:bCs/>
                <w:color w:val="000000"/>
                <w:sz w:val="20"/>
                <w:szCs w:val="20"/>
                <w:lang w:eastAsia="cs-CZ"/>
              </w:rPr>
              <w:t xml:space="preserve">celkem </w:t>
            </w:r>
            <w:proofErr w:type="spellStart"/>
            <w:r w:rsidRPr="000A2CB2">
              <w:rPr>
                <w:rFonts w:eastAsia="Times New Roman" w:cs="Arial"/>
                <w:b/>
                <w:bCs/>
                <w:color w:val="000000"/>
                <w:sz w:val="20"/>
                <w:szCs w:val="20"/>
                <w:lang w:eastAsia="cs-CZ"/>
              </w:rPr>
              <w:t>UoZ</w:t>
            </w:r>
            <w:proofErr w:type="spellEnd"/>
          </w:p>
        </w:tc>
        <w:tc>
          <w:tcPr>
            <w:tcW w:w="850" w:type="dxa"/>
            <w:vMerge w:val="restart"/>
            <w:tcBorders>
              <w:top w:val="single" w:sz="8" w:space="0" w:color="auto"/>
              <w:left w:val="nil"/>
              <w:bottom w:val="single" w:sz="4" w:space="0" w:color="auto"/>
              <w:right w:val="single" w:sz="4" w:space="0" w:color="auto"/>
            </w:tcBorders>
            <w:shd w:val="clear" w:color="auto" w:fill="auto"/>
            <w:vAlign w:val="center"/>
            <w:hideMark/>
          </w:tcPr>
          <w:p w:rsidR="00837CDC" w:rsidRPr="000A2CB2" w:rsidRDefault="00837CDC" w:rsidP="00484D3B">
            <w:pPr>
              <w:spacing w:line="240" w:lineRule="auto"/>
              <w:jc w:val="center"/>
              <w:rPr>
                <w:rFonts w:eastAsia="Times New Roman" w:cs="Arial"/>
                <w:color w:val="000000"/>
                <w:sz w:val="20"/>
                <w:szCs w:val="20"/>
                <w:lang w:eastAsia="cs-CZ"/>
              </w:rPr>
            </w:pPr>
            <w:r w:rsidRPr="000A2CB2">
              <w:rPr>
                <w:rFonts w:eastAsia="Times New Roman" w:cs="Arial"/>
                <w:color w:val="000000"/>
                <w:sz w:val="20"/>
                <w:szCs w:val="20"/>
                <w:lang w:eastAsia="cs-CZ"/>
              </w:rPr>
              <w:t>OZP</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7CDC" w:rsidRPr="000A2CB2" w:rsidRDefault="00837CDC" w:rsidP="00484D3B">
            <w:pPr>
              <w:spacing w:line="240" w:lineRule="auto"/>
              <w:jc w:val="center"/>
              <w:rPr>
                <w:rFonts w:eastAsia="Times New Roman" w:cs="Arial"/>
                <w:color w:val="000000"/>
                <w:sz w:val="20"/>
                <w:szCs w:val="20"/>
                <w:lang w:eastAsia="cs-CZ"/>
              </w:rPr>
            </w:pPr>
            <w:r w:rsidRPr="000A2CB2">
              <w:rPr>
                <w:rFonts w:eastAsia="Times New Roman" w:cs="Arial"/>
                <w:color w:val="000000"/>
                <w:sz w:val="20"/>
                <w:szCs w:val="20"/>
                <w:lang w:eastAsia="cs-CZ"/>
              </w:rPr>
              <w:t>pečující o děti do 15 let</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7CDC" w:rsidRPr="000A2CB2" w:rsidRDefault="00837CDC" w:rsidP="00484D3B">
            <w:pPr>
              <w:spacing w:line="240" w:lineRule="auto"/>
              <w:jc w:val="center"/>
              <w:rPr>
                <w:rFonts w:eastAsia="Times New Roman" w:cs="Arial"/>
                <w:color w:val="000000"/>
                <w:sz w:val="20"/>
                <w:szCs w:val="20"/>
                <w:lang w:eastAsia="cs-CZ"/>
              </w:rPr>
            </w:pPr>
            <w:r w:rsidRPr="000A2CB2">
              <w:rPr>
                <w:rFonts w:eastAsia="Times New Roman" w:cs="Arial"/>
                <w:color w:val="000000"/>
                <w:sz w:val="20"/>
                <w:szCs w:val="20"/>
                <w:lang w:eastAsia="cs-CZ"/>
              </w:rPr>
              <w:t>těhotné kojící, do 9m po porodu</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7CDC" w:rsidRPr="000A2CB2" w:rsidRDefault="00837CDC" w:rsidP="00484D3B">
            <w:pPr>
              <w:spacing w:line="240" w:lineRule="auto"/>
              <w:jc w:val="center"/>
              <w:rPr>
                <w:rFonts w:eastAsia="Times New Roman" w:cs="Arial"/>
                <w:color w:val="000000"/>
                <w:sz w:val="20"/>
                <w:szCs w:val="20"/>
                <w:lang w:eastAsia="cs-CZ"/>
              </w:rPr>
            </w:pPr>
            <w:r w:rsidRPr="000A2CB2">
              <w:rPr>
                <w:rFonts w:eastAsia="Times New Roman" w:cs="Arial"/>
                <w:color w:val="000000"/>
                <w:sz w:val="20"/>
                <w:szCs w:val="20"/>
                <w:lang w:eastAsia="cs-CZ"/>
              </w:rPr>
              <w:t>do 25 let</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7CDC" w:rsidRPr="000A2CB2" w:rsidRDefault="00837CDC" w:rsidP="00484D3B">
            <w:pPr>
              <w:spacing w:line="240" w:lineRule="auto"/>
              <w:jc w:val="center"/>
              <w:rPr>
                <w:rFonts w:eastAsia="Times New Roman" w:cs="Arial"/>
                <w:color w:val="000000"/>
                <w:sz w:val="20"/>
                <w:szCs w:val="20"/>
                <w:lang w:eastAsia="cs-CZ"/>
              </w:rPr>
            </w:pPr>
            <w:r w:rsidRPr="000A2CB2">
              <w:rPr>
                <w:rFonts w:eastAsia="Times New Roman" w:cs="Arial"/>
                <w:color w:val="000000"/>
                <w:sz w:val="20"/>
                <w:szCs w:val="20"/>
                <w:lang w:eastAsia="cs-CZ"/>
              </w:rPr>
              <w:t>nad 50 let</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7CDC" w:rsidRPr="000A2CB2" w:rsidRDefault="00837CDC" w:rsidP="00484D3B">
            <w:pPr>
              <w:spacing w:line="240" w:lineRule="auto"/>
              <w:jc w:val="center"/>
              <w:rPr>
                <w:rFonts w:eastAsia="Times New Roman" w:cs="Arial"/>
                <w:color w:val="000000"/>
                <w:sz w:val="20"/>
                <w:szCs w:val="20"/>
                <w:lang w:eastAsia="cs-CZ"/>
              </w:rPr>
            </w:pPr>
            <w:r w:rsidRPr="000A2CB2">
              <w:rPr>
                <w:rFonts w:eastAsia="Times New Roman" w:cs="Arial"/>
                <w:color w:val="000000"/>
                <w:sz w:val="20"/>
                <w:szCs w:val="20"/>
                <w:lang w:eastAsia="cs-CZ"/>
              </w:rPr>
              <w:t xml:space="preserve">bez </w:t>
            </w:r>
            <w:proofErr w:type="spellStart"/>
            <w:r w:rsidRPr="000A2CB2">
              <w:rPr>
                <w:rFonts w:eastAsia="Times New Roman" w:cs="Arial"/>
                <w:color w:val="000000"/>
                <w:sz w:val="20"/>
                <w:szCs w:val="20"/>
                <w:lang w:eastAsia="cs-CZ"/>
              </w:rPr>
              <w:t>vzděl</w:t>
            </w:r>
            <w:proofErr w:type="spellEnd"/>
            <w:r w:rsidRPr="000A2CB2">
              <w:rPr>
                <w:rFonts w:eastAsia="Times New Roman" w:cs="Arial"/>
                <w:color w:val="000000"/>
                <w:sz w:val="20"/>
                <w:szCs w:val="20"/>
                <w:lang w:eastAsia="cs-CZ"/>
              </w:rPr>
              <w:t>. nebo se ZŠ</w:t>
            </w:r>
          </w:p>
        </w:tc>
        <w:tc>
          <w:tcPr>
            <w:tcW w:w="2693"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837CDC" w:rsidRPr="000A2CB2" w:rsidRDefault="00837CDC" w:rsidP="00484D3B">
            <w:pPr>
              <w:spacing w:line="240" w:lineRule="auto"/>
              <w:jc w:val="center"/>
              <w:rPr>
                <w:rFonts w:eastAsia="Times New Roman" w:cs="Arial"/>
                <w:color w:val="000000"/>
                <w:sz w:val="20"/>
                <w:szCs w:val="20"/>
                <w:lang w:eastAsia="cs-CZ"/>
              </w:rPr>
            </w:pPr>
            <w:r w:rsidRPr="000A2CB2">
              <w:rPr>
                <w:rFonts w:eastAsia="Times New Roman" w:cs="Arial"/>
                <w:color w:val="000000"/>
                <w:sz w:val="20"/>
                <w:szCs w:val="20"/>
                <w:lang w:eastAsia="cs-CZ"/>
              </w:rPr>
              <w:t xml:space="preserve">evidence </w:t>
            </w:r>
          </w:p>
        </w:tc>
      </w:tr>
      <w:tr w:rsidR="000A2CB2" w:rsidRPr="000A2CB2" w:rsidTr="00EF10D5">
        <w:trPr>
          <w:trHeight w:val="690"/>
        </w:trPr>
        <w:tc>
          <w:tcPr>
            <w:tcW w:w="577" w:type="dxa"/>
            <w:vMerge/>
            <w:tcBorders>
              <w:top w:val="nil"/>
              <w:left w:val="single" w:sz="8" w:space="0" w:color="auto"/>
              <w:bottom w:val="double" w:sz="6" w:space="0" w:color="auto"/>
              <w:right w:val="single" w:sz="4" w:space="0" w:color="auto"/>
            </w:tcBorders>
            <w:vAlign w:val="center"/>
            <w:hideMark/>
          </w:tcPr>
          <w:p w:rsidR="00837CDC" w:rsidRPr="000A2CB2" w:rsidRDefault="00837CDC" w:rsidP="00484D3B">
            <w:pPr>
              <w:spacing w:line="240" w:lineRule="auto"/>
              <w:jc w:val="left"/>
              <w:rPr>
                <w:rFonts w:eastAsia="Times New Roman" w:cs="Arial"/>
                <w:b/>
                <w:bCs/>
                <w:color w:val="000000"/>
                <w:sz w:val="20"/>
                <w:szCs w:val="20"/>
                <w:lang w:eastAsia="cs-CZ"/>
              </w:rPr>
            </w:pPr>
          </w:p>
        </w:tc>
        <w:tc>
          <w:tcPr>
            <w:tcW w:w="993" w:type="dxa"/>
            <w:vMerge/>
            <w:tcBorders>
              <w:top w:val="single" w:sz="8" w:space="0" w:color="auto"/>
              <w:left w:val="single" w:sz="4" w:space="0" w:color="auto"/>
              <w:bottom w:val="double" w:sz="6" w:space="0" w:color="auto"/>
              <w:right w:val="single" w:sz="8" w:space="0" w:color="auto"/>
            </w:tcBorders>
            <w:vAlign w:val="center"/>
            <w:hideMark/>
          </w:tcPr>
          <w:p w:rsidR="00837CDC" w:rsidRPr="000A2CB2" w:rsidRDefault="00837CDC" w:rsidP="00484D3B">
            <w:pPr>
              <w:spacing w:line="240" w:lineRule="auto"/>
              <w:jc w:val="left"/>
              <w:rPr>
                <w:rFonts w:eastAsia="Times New Roman" w:cs="Arial"/>
                <w:b/>
                <w:bCs/>
                <w:color w:val="000000"/>
                <w:sz w:val="20"/>
                <w:szCs w:val="20"/>
                <w:lang w:eastAsia="cs-CZ"/>
              </w:rPr>
            </w:pPr>
          </w:p>
        </w:tc>
        <w:tc>
          <w:tcPr>
            <w:tcW w:w="850" w:type="dxa"/>
            <w:vMerge/>
            <w:tcBorders>
              <w:top w:val="nil"/>
              <w:left w:val="nil"/>
              <w:bottom w:val="double" w:sz="6" w:space="0" w:color="auto"/>
              <w:right w:val="single" w:sz="4" w:space="0" w:color="auto"/>
            </w:tcBorders>
            <w:vAlign w:val="center"/>
            <w:hideMark/>
          </w:tcPr>
          <w:p w:rsidR="00837CDC" w:rsidRPr="000A2CB2" w:rsidRDefault="00837CDC" w:rsidP="00484D3B">
            <w:pPr>
              <w:spacing w:line="240" w:lineRule="auto"/>
              <w:jc w:val="left"/>
              <w:rPr>
                <w:rFonts w:eastAsia="Times New Roman" w:cs="Arial"/>
                <w:color w:val="000000"/>
                <w:sz w:val="20"/>
                <w:szCs w:val="20"/>
                <w:lang w:eastAsia="cs-CZ"/>
              </w:rPr>
            </w:pPr>
          </w:p>
        </w:tc>
        <w:tc>
          <w:tcPr>
            <w:tcW w:w="851" w:type="dxa"/>
            <w:vMerge/>
            <w:tcBorders>
              <w:top w:val="nil"/>
              <w:left w:val="single" w:sz="4" w:space="0" w:color="auto"/>
              <w:bottom w:val="double" w:sz="6" w:space="0" w:color="auto"/>
              <w:right w:val="single" w:sz="4" w:space="0" w:color="auto"/>
            </w:tcBorders>
            <w:vAlign w:val="center"/>
            <w:hideMark/>
          </w:tcPr>
          <w:p w:rsidR="00837CDC" w:rsidRPr="000A2CB2" w:rsidRDefault="00837CDC" w:rsidP="00484D3B">
            <w:pPr>
              <w:spacing w:line="240" w:lineRule="auto"/>
              <w:jc w:val="left"/>
              <w:rPr>
                <w:rFonts w:eastAsia="Times New Roman" w:cs="Arial"/>
                <w:color w:val="000000"/>
                <w:sz w:val="20"/>
                <w:szCs w:val="20"/>
                <w:lang w:eastAsia="cs-CZ"/>
              </w:rPr>
            </w:pPr>
          </w:p>
        </w:tc>
        <w:tc>
          <w:tcPr>
            <w:tcW w:w="850" w:type="dxa"/>
            <w:vMerge/>
            <w:tcBorders>
              <w:top w:val="nil"/>
              <w:left w:val="single" w:sz="4" w:space="0" w:color="auto"/>
              <w:bottom w:val="double" w:sz="6" w:space="0" w:color="auto"/>
              <w:right w:val="single" w:sz="4" w:space="0" w:color="auto"/>
            </w:tcBorders>
            <w:vAlign w:val="center"/>
            <w:hideMark/>
          </w:tcPr>
          <w:p w:rsidR="00837CDC" w:rsidRPr="000A2CB2" w:rsidRDefault="00837CDC" w:rsidP="00484D3B">
            <w:pPr>
              <w:spacing w:line="240" w:lineRule="auto"/>
              <w:jc w:val="left"/>
              <w:rPr>
                <w:rFonts w:eastAsia="Times New Roman" w:cs="Arial"/>
                <w:color w:val="000000"/>
                <w:sz w:val="20"/>
                <w:szCs w:val="20"/>
                <w:lang w:eastAsia="cs-CZ"/>
              </w:rPr>
            </w:pPr>
          </w:p>
        </w:tc>
        <w:tc>
          <w:tcPr>
            <w:tcW w:w="851" w:type="dxa"/>
            <w:vMerge/>
            <w:tcBorders>
              <w:top w:val="nil"/>
              <w:left w:val="single" w:sz="4" w:space="0" w:color="auto"/>
              <w:bottom w:val="double" w:sz="6" w:space="0" w:color="auto"/>
              <w:right w:val="single" w:sz="4" w:space="0" w:color="auto"/>
            </w:tcBorders>
            <w:vAlign w:val="center"/>
            <w:hideMark/>
          </w:tcPr>
          <w:p w:rsidR="00837CDC" w:rsidRPr="000A2CB2" w:rsidRDefault="00837CDC" w:rsidP="00484D3B">
            <w:pPr>
              <w:spacing w:line="240" w:lineRule="auto"/>
              <w:jc w:val="left"/>
              <w:rPr>
                <w:rFonts w:eastAsia="Times New Roman" w:cs="Arial"/>
                <w:color w:val="000000"/>
                <w:sz w:val="20"/>
                <w:szCs w:val="20"/>
                <w:lang w:eastAsia="cs-CZ"/>
              </w:rPr>
            </w:pPr>
          </w:p>
        </w:tc>
        <w:tc>
          <w:tcPr>
            <w:tcW w:w="992" w:type="dxa"/>
            <w:vMerge/>
            <w:tcBorders>
              <w:top w:val="nil"/>
              <w:left w:val="single" w:sz="4" w:space="0" w:color="auto"/>
              <w:bottom w:val="double" w:sz="6" w:space="0" w:color="auto"/>
              <w:right w:val="single" w:sz="4" w:space="0" w:color="auto"/>
            </w:tcBorders>
            <w:vAlign w:val="center"/>
            <w:hideMark/>
          </w:tcPr>
          <w:p w:rsidR="00837CDC" w:rsidRPr="000A2CB2" w:rsidRDefault="00837CDC" w:rsidP="00484D3B">
            <w:pPr>
              <w:spacing w:line="240" w:lineRule="auto"/>
              <w:jc w:val="left"/>
              <w:rPr>
                <w:rFonts w:eastAsia="Times New Roman" w:cs="Arial"/>
                <w:color w:val="000000"/>
                <w:sz w:val="20"/>
                <w:szCs w:val="20"/>
                <w:lang w:eastAsia="cs-CZ"/>
              </w:rPr>
            </w:pPr>
          </w:p>
        </w:tc>
        <w:tc>
          <w:tcPr>
            <w:tcW w:w="992" w:type="dxa"/>
            <w:vMerge/>
            <w:tcBorders>
              <w:top w:val="nil"/>
              <w:left w:val="single" w:sz="4" w:space="0" w:color="auto"/>
              <w:bottom w:val="double" w:sz="6" w:space="0" w:color="auto"/>
              <w:right w:val="single" w:sz="4" w:space="0" w:color="auto"/>
            </w:tcBorders>
            <w:vAlign w:val="center"/>
            <w:hideMark/>
          </w:tcPr>
          <w:p w:rsidR="00837CDC" w:rsidRPr="000A2CB2" w:rsidRDefault="00837CDC" w:rsidP="00484D3B">
            <w:pPr>
              <w:spacing w:line="240" w:lineRule="auto"/>
              <w:jc w:val="left"/>
              <w:rPr>
                <w:rFonts w:eastAsia="Times New Roman" w:cs="Arial"/>
                <w:color w:val="000000"/>
                <w:sz w:val="20"/>
                <w:szCs w:val="20"/>
                <w:lang w:eastAsia="cs-CZ"/>
              </w:rPr>
            </w:pPr>
          </w:p>
        </w:tc>
        <w:tc>
          <w:tcPr>
            <w:tcW w:w="992" w:type="dxa"/>
            <w:tcBorders>
              <w:top w:val="nil"/>
              <w:left w:val="nil"/>
              <w:bottom w:val="double" w:sz="6" w:space="0" w:color="auto"/>
              <w:right w:val="single" w:sz="4" w:space="0" w:color="auto"/>
            </w:tcBorders>
            <w:shd w:val="clear" w:color="auto" w:fill="auto"/>
            <w:vAlign w:val="center"/>
            <w:hideMark/>
          </w:tcPr>
          <w:p w:rsidR="00837CDC" w:rsidRPr="000A2CB2" w:rsidRDefault="00837CDC" w:rsidP="00484D3B">
            <w:pPr>
              <w:spacing w:line="240" w:lineRule="auto"/>
              <w:jc w:val="center"/>
              <w:rPr>
                <w:rFonts w:eastAsia="Times New Roman" w:cs="Arial"/>
                <w:color w:val="000000"/>
                <w:sz w:val="20"/>
                <w:szCs w:val="20"/>
                <w:lang w:eastAsia="cs-CZ"/>
              </w:rPr>
            </w:pPr>
            <w:r w:rsidRPr="000A2CB2">
              <w:rPr>
                <w:rFonts w:eastAsia="Times New Roman" w:cs="Arial"/>
                <w:color w:val="000000"/>
                <w:sz w:val="20"/>
                <w:szCs w:val="20"/>
                <w:lang w:eastAsia="cs-CZ"/>
              </w:rPr>
              <w:t>nad 12M</w:t>
            </w:r>
          </w:p>
        </w:tc>
        <w:tc>
          <w:tcPr>
            <w:tcW w:w="851" w:type="dxa"/>
            <w:tcBorders>
              <w:top w:val="nil"/>
              <w:left w:val="nil"/>
              <w:bottom w:val="nil"/>
              <w:right w:val="single" w:sz="4" w:space="0" w:color="auto"/>
            </w:tcBorders>
            <w:shd w:val="clear" w:color="auto" w:fill="auto"/>
            <w:vAlign w:val="center"/>
            <w:hideMark/>
          </w:tcPr>
          <w:p w:rsidR="00837CDC" w:rsidRPr="000A2CB2" w:rsidRDefault="00837CDC" w:rsidP="00484D3B">
            <w:pPr>
              <w:spacing w:line="240" w:lineRule="auto"/>
              <w:jc w:val="left"/>
              <w:rPr>
                <w:rFonts w:eastAsia="Times New Roman" w:cs="Arial"/>
                <w:color w:val="000000"/>
                <w:sz w:val="20"/>
                <w:szCs w:val="20"/>
                <w:lang w:eastAsia="cs-CZ"/>
              </w:rPr>
            </w:pPr>
            <w:r w:rsidRPr="000A2CB2">
              <w:rPr>
                <w:rFonts w:eastAsia="Times New Roman" w:cs="Arial"/>
                <w:color w:val="000000"/>
                <w:sz w:val="20"/>
                <w:szCs w:val="20"/>
                <w:lang w:eastAsia="cs-CZ"/>
              </w:rPr>
              <w:t>12M-24M</w:t>
            </w:r>
          </w:p>
        </w:tc>
        <w:tc>
          <w:tcPr>
            <w:tcW w:w="850" w:type="dxa"/>
            <w:tcBorders>
              <w:top w:val="nil"/>
              <w:left w:val="nil"/>
              <w:bottom w:val="nil"/>
              <w:right w:val="single" w:sz="8" w:space="0" w:color="auto"/>
            </w:tcBorders>
            <w:shd w:val="clear" w:color="auto" w:fill="auto"/>
            <w:vAlign w:val="center"/>
            <w:hideMark/>
          </w:tcPr>
          <w:p w:rsidR="00837CDC" w:rsidRPr="000A2CB2" w:rsidRDefault="00837CDC" w:rsidP="00484D3B">
            <w:pPr>
              <w:spacing w:line="240" w:lineRule="auto"/>
              <w:jc w:val="left"/>
              <w:rPr>
                <w:rFonts w:eastAsia="Times New Roman" w:cs="Arial"/>
                <w:color w:val="000000"/>
                <w:sz w:val="20"/>
                <w:szCs w:val="20"/>
                <w:lang w:eastAsia="cs-CZ"/>
              </w:rPr>
            </w:pPr>
            <w:r w:rsidRPr="000A2CB2">
              <w:rPr>
                <w:rFonts w:eastAsia="Times New Roman" w:cs="Arial"/>
                <w:color w:val="000000"/>
                <w:sz w:val="20"/>
                <w:szCs w:val="20"/>
                <w:lang w:eastAsia="cs-CZ"/>
              </w:rPr>
              <w:t>nad 24M</w:t>
            </w:r>
          </w:p>
        </w:tc>
      </w:tr>
      <w:tr w:rsidR="000A2CB2" w:rsidRPr="000A2CB2" w:rsidTr="00EF10D5">
        <w:trPr>
          <w:trHeight w:val="323"/>
        </w:trPr>
        <w:tc>
          <w:tcPr>
            <w:tcW w:w="577"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837CDC" w:rsidRPr="000A2CB2" w:rsidRDefault="00837CDC" w:rsidP="00484D3B">
            <w:pPr>
              <w:spacing w:line="240" w:lineRule="auto"/>
              <w:jc w:val="left"/>
              <w:rPr>
                <w:rFonts w:eastAsia="Times New Roman" w:cs="Arial"/>
                <w:b/>
                <w:bCs/>
                <w:color w:val="000000"/>
                <w:sz w:val="20"/>
                <w:szCs w:val="20"/>
                <w:lang w:eastAsia="cs-CZ"/>
              </w:rPr>
            </w:pPr>
            <w:r w:rsidRPr="000A2CB2">
              <w:rPr>
                <w:rFonts w:eastAsia="Times New Roman" w:cs="Arial"/>
                <w:b/>
                <w:bCs/>
                <w:color w:val="000000"/>
                <w:sz w:val="20"/>
                <w:szCs w:val="20"/>
                <w:lang w:eastAsia="cs-CZ"/>
              </w:rPr>
              <w:t xml:space="preserve"> ČR</w:t>
            </w:r>
          </w:p>
        </w:tc>
        <w:tc>
          <w:tcPr>
            <w:tcW w:w="993"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b/>
                <w:bCs/>
                <w:color w:val="000000"/>
                <w:sz w:val="20"/>
                <w:szCs w:val="20"/>
                <w:lang w:eastAsia="cs-CZ"/>
              </w:rPr>
            </w:pPr>
            <w:r w:rsidRPr="000A2CB2">
              <w:rPr>
                <w:rFonts w:eastAsia="Times New Roman" w:cs="Arial"/>
                <w:b/>
                <w:bCs/>
                <w:color w:val="000000"/>
                <w:sz w:val="20"/>
                <w:szCs w:val="20"/>
                <w:lang w:eastAsia="cs-CZ"/>
              </w:rPr>
              <w:t>381 373</w:t>
            </w:r>
          </w:p>
        </w:tc>
        <w:tc>
          <w:tcPr>
            <w:tcW w:w="850"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b/>
                <w:bCs/>
                <w:color w:val="000000"/>
                <w:sz w:val="20"/>
                <w:szCs w:val="20"/>
                <w:lang w:eastAsia="cs-CZ"/>
              </w:rPr>
            </w:pPr>
            <w:r w:rsidRPr="000A2CB2">
              <w:rPr>
                <w:rFonts w:eastAsia="Times New Roman" w:cs="Arial"/>
                <w:b/>
                <w:bCs/>
                <w:color w:val="000000"/>
                <w:sz w:val="20"/>
                <w:szCs w:val="20"/>
                <w:lang w:eastAsia="cs-CZ"/>
              </w:rPr>
              <w:t>54 555</w:t>
            </w:r>
          </w:p>
        </w:tc>
        <w:tc>
          <w:tcPr>
            <w:tcW w:w="851"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b/>
                <w:bCs/>
                <w:color w:val="000000"/>
                <w:sz w:val="20"/>
                <w:szCs w:val="20"/>
                <w:lang w:eastAsia="cs-CZ"/>
              </w:rPr>
            </w:pPr>
            <w:r w:rsidRPr="000A2CB2">
              <w:rPr>
                <w:rFonts w:eastAsia="Times New Roman" w:cs="Arial"/>
                <w:b/>
                <w:bCs/>
                <w:color w:val="000000"/>
                <w:sz w:val="20"/>
                <w:szCs w:val="20"/>
                <w:lang w:eastAsia="cs-CZ"/>
              </w:rPr>
              <w:t>63 700</w:t>
            </w:r>
          </w:p>
        </w:tc>
        <w:tc>
          <w:tcPr>
            <w:tcW w:w="850"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b/>
                <w:bCs/>
                <w:color w:val="000000"/>
                <w:sz w:val="20"/>
                <w:szCs w:val="20"/>
                <w:lang w:eastAsia="cs-CZ"/>
              </w:rPr>
            </w:pPr>
            <w:r w:rsidRPr="000A2CB2">
              <w:rPr>
                <w:rFonts w:eastAsia="Times New Roman" w:cs="Arial"/>
                <w:b/>
                <w:bCs/>
                <w:color w:val="000000"/>
                <w:sz w:val="20"/>
                <w:szCs w:val="20"/>
                <w:lang w:eastAsia="cs-CZ"/>
              </w:rPr>
              <w:t>4 713</w:t>
            </w:r>
          </w:p>
        </w:tc>
        <w:tc>
          <w:tcPr>
            <w:tcW w:w="851"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b/>
                <w:bCs/>
                <w:color w:val="000000"/>
                <w:sz w:val="20"/>
                <w:szCs w:val="20"/>
                <w:lang w:eastAsia="cs-CZ"/>
              </w:rPr>
            </w:pPr>
            <w:r w:rsidRPr="000A2CB2">
              <w:rPr>
                <w:rFonts w:eastAsia="Times New Roman" w:cs="Arial"/>
                <w:b/>
                <w:bCs/>
                <w:color w:val="000000"/>
                <w:sz w:val="20"/>
                <w:szCs w:val="20"/>
                <w:lang w:eastAsia="cs-CZ"/>
              </w:rPr>
              <w:t>46 819</w:t>
            </w:r>
          </w:p>
        </w:tc>
        <w:tc>
          <w:tcPr>
            <w:tcW w:w="992"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b/>
                <w:bCs/>
                <w:color w:val="000000"/>
                <w:sz w:val="20"/>
                <w:szCs w:val="20"/>
                <w:lang w:eastAsia="cs-CZ"/>
              </w:rPr>
            </w:pPr>
            <w:r w:rsidRPr="000A2CB2">
              <w:rPr>
                <w:rFonts w:eastAsia="Times New Roman" w:cs="Arial"/>
                <w:b/>
                <w:bCs/>
                <w:color w:val="000000"/>
                <w:sz w:val="20"/>
                <w:szCs w:val="20"/>
                <w:lang w:eastAsia="cs-CZ"/>
              </w:rPr>
              <w:t>127 347</w:t>
            </w:r>
          </w:p>
        </w:tc>
        <w:tc>
          <w:tcPr>
            <w:tcW w:w="992"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b/>
                <w:bCs/>
                <w:color w:val="000000"/>
                <w:sz w:val="20"/>
                <w:szCs w:val="20"/>
                <w:lang w:eastAsia="cs-CZ"/>
              </w:rPr>
            </w:pPr>
            <w:r w:rsidRPr="000A2CB2">
              <w:rPr>
                <w:rFonts w:eastAsia="Times New Roman" w:cs="Arial"/>
                <w:b/>
                <w:bCs/>
                <w:color w:val="000000"/>
                <w:sz w:val="20"/>
                <w:szCs w:val="20"/>
                <w:lang w:eastAsia="cs-CZ"/>
              </w:rPr>
              <w:t>114 346</w:t>
            </w:r>
          </w:p>
        </w:tc>
        <w:tc>
          <w:tcPr>
            <w:tcW w:w="992"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b/>
                <w:bCs/>
                <w:color w:val="000000"/>
                <w:sz w:val="20"/>
                <w:szCs w:val="20"/>
                <w:lang w:eastAsia="cs-CZ"/>
              </w:rPr>
            </w:pPr>
            <w:r w:rsidRPr="000A2CB2">
              <w:rPr>
                <w:rFonts w:eastAsia="Times New Roman" w:cs="Arial"/>
                <w:b/>
                <w:bCs/>
                <w:color w:val="000000"/>
                <w:sz w:val="20"/>
                <w:szCs w:val="20"/>
                <w:lang w:eastAsia="cs-CZ"/>
              </w:rPr>
              <w:t>144 163</w:t>
            </w:r>
          </w:p>
        </w:tc>
        <w:tc>
          <w:tcPr>
            <w:tcW w:w="851"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b/>
                <w:bCs/>
                <w:color w:val="000000"/>
                <w:sz w:val="20"/>
                <w:szCs w:val="20"/>
                <w:lang w:eastAsia="cs-CZ"/>
              </w:rPr>
            </w:pPr>
            <w:r w:rsidRPr="000A2CB2">
              <w:rPr>
                <w:rFonts w:eastAsia="Times New Roman" w:cs="Arial"/>
                <w:b/>
                <w:bCs/>
                <w:color w:val="000000"/>
                <w:sz w:val="20"/>
                <w:szCs w:val="20"/>
                <w:lang w:eastAsia="cs-CZ"/>
              </w:rPr>
              <w:t>45 253</w:t>
            </w:r>
          </w:p>
        </w:tc>
        <w:tc>
          <w:tcPr>
            <w:tcW w:w="850"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b/>
                <w:bCs/>
                <w:color w:val="000000"/>
                <w:sz w:val="20"/>
                <w:szCs w:val="20"/>
                <w:lang w:eastAsia="cs-CZ"/>
              </w:rPr>
            </w:pPr>
            <w:r w:rsidRPr="000A2CB2">
              <w:rPr>
                <w:rFonts w:eastAsia="Times New Roman" w:cs="Arial"/>
                <w:b/>
                <w:bCs/>
                <w:color w:val="000000"/>
                <w:sz w:val="20"/>
                <w:szCs w:val="20"/>
                <w:lang w:eastAsia="cs-CZ"/>
              </w:rPr>
              <w:t>98 910</w:t>
            </w:r>
          </w:p>
        </w:tc>
      </w:tr>
      <w:tr w:rsidR="000A2CB2" w:rsidRPr="000A2CB2" w:rsidTr="000A2CB2">
        <w:trPr>
          <w:trHeight w:val="308"/>
        </w:trPr>
        <w:tc>
          <w:tcPr>
            <w:tcW w:w="577" w:type="dxa"/>
            <w:tcBorders>
              <w:top w:val="nil"/>
              <w:left w:val="single" w:sz="8" w:space="0" w:color="auto"/>
              <w:bottom w:val="single" w:sz="4" w:space="0" w:color="auto"/>
              <w:right w:val="single" w:sz="4" w:space="0" w:color="auto"/>
            </w:tcBorders>
            <w:shd w:val="clear" w:color="auto" w:fill="auto"/>
            <w:noWrap/>
            <w:vAlign w:val="bottom"/>
          </w:tcPr>
          <w:p w:rsidR="00837CDC" w:rsidRPr="000A2CB2" w:rsidRDefault="000A2CB2"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PRA</w:t>
            </w:r>
          </w:p>
        </w:tc>
        <w:tc>
          <w:tcPr>
            <w:tcW w:w="993"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30 179</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2 749</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3 053</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207</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2 941</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9 140</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6 303</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10 840</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4 432</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6 408</w:t>
            </w:r>
          </w:p>
        </w:tc>
      </w:tr>
      <w:tr w:rsidR="000A2CB2" w:rsidRPr="000A2CB2" w:rsidTr="000A2CB2">
        <w:trPr>
          <w:trHeight w:val="293"/>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SČK</w:t>
            </w:r>
          </w:p>
        </w:tc>
        <w:tc>
          <w:tcPr>
            <w:tcW w:w="993"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38 966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5 151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7 128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498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4 904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12 929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11 075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13 607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4 426</w:t>
            </w:r>
          </w:p>
        </w:tc>
        <w:tc>
          <w:tcPr>
            <w:tcW w:w="850"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9 181</w:t>
            </w:r>
          </w:p>
        </w:tc>
      </w:tr>
      <w:tr w:rsidR="000A2CB2" w:rsidRPr="000A2CB2" w:rsidTr="000A2CB2">
        <w:trPr>
          <w:trHeight w:val="293"/>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JČK</w:t>
            </w:r>
          </w:p>
        </w:tc>
        <w:tc>
          <w:tcPr>
            <w:tcW w:w="993"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19 385</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3 266</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2 997</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277</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2 416</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6 808</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5 004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4 923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1 795</w:t>
            </w:r>
          </w:p>
        </w:tc>
        <w:tc>
          <w:tcPr>
            <w:tcW w:w="850"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3 128</w:t>
            </w:r>
          </w:p>
        </w:tc>
      </w:tr>
      <w:tr w:rsidR="000A2CB2" w:rsidRPr="000A2CB2" w:rsidTr="000A2CB2">
        <w:trPr>
          <w:trHeight w:val="293"/>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PLK</w:t>
            </w:r>
          </w:p>
        </w:tc>
        <w:tc>
          <w:tcPr>
            <w:tcW w:w="993"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14 655</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2 825</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2 657</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252</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1 731</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5 220</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4 420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4 748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1 494</w:t>
            </w:r>
          </w:p>
        </w:tc>
        <w:tc>
          <w:tcPr>
            <w:tcW w:w="850"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3 254</w:t>
            </w:r>
          </w:p>
        </w:tc>
      </w:tr>
      <w:tr w:rsidR="000A2CB2" w:rsidRPr="000A2CB2" w:rsidTr="000A2CB2">
        <w:trPr>
          <w:trHeight w:val="293"/>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KVK</w:t>
            </w:r>
          </w:p>
        </w:tc>
        <w:tc>
          <w:tcPr>
            <w:tcW w:w="993"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11 796</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1 333</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2 235</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183</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1 531</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3 995</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5 903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4 944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1 411</w:t>
            </w:r>
          </w:p>
        </w:tc>
        <w:tc>
          <w:tcPr>
            <w:tcW w:w="850"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3 533</w:t>
            </w:r>
          </w:p>
        </w:tc>
      </w:tr>
      <w:tr w:rsidR="000A2CB2" w:rsidRPr="000A2CB2" w:rsidTr="000A2CB2">
        <w:trPr>
          <w:trHeight w:val="293"/>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ULK</w:t>
            </w:r>
          </w:p>
        </w:tc>
        <w:tc>
          <w:tcPr>
            <w:tcW w:w="993"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44 528</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6 446</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8 267</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669</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5 959</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13 837</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20 382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20 089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5 840</w:t>
            </w:r>
          </w:p>
        </w:tc>
        <w:tc>
          <w:tcPr>
            <w:tcW w:w="850"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14 249</w:t>
            </w:r>
          </w:p>
        </w:tc>
      </w:tr>
      <w:tr w:rsidR="000A2CB2" w:rsidRPr="000A2CB2" w:rsidTr="000A2CB2">
        <w:trPr>
          <w:trHeight w:val="293"/>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LBK</w:t>
            </w:r>
          </w:p>
        </w:tc>
        <w:tc>
          <w:tcPr>
            <w:tcW w:w="993"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16 104</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2 219</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3 223</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226</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2 188</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4 981</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5 360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5 601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1 843</w:t>
            </w:r>
          </w:p>
        </w:tc>
        <w:tc>
          <w:tcPr>
            <w:tcW w:w="850"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3 758</w:t>
            </w:r>
          </w:p>
        </w:tc>
      </w:tr>
      <w:tr w:rsidR="000A2CB2" w:rsidRPr="000A2CB2" w:rsidTr="000A2CB2">
        <w:trPr>
          <w:trHeight w:val="293"/>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KHK</w:t>
            </w:r>
          </w:p>
        </w:tc>
        <w:tc>
          <w:tcPr>
            <w:tcW w:w="993"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14 270</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2 113</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2 434</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155</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1 946</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4 685</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4 347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4 406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1 625</w:t>
            </w:r>
          </w:p>
        </w:tc>
        <w:tc>
          <w:tcPr>
            <w:tcW w:w="850"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2 781</w:t>
            </w:r>
          </w:p>
        </w:tc>
      </w:tr>
      <w:tr w:rsidR="000A2CB2" w:rsidRPr="000A2CB2" w:rsidTr="000A2CB2">
        <w:trPr>
          <w:trHeight w:val="293"/>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PBK</w:t>
            </w:r>
          </w:p>
        </w:tc>
        <w:tc>
          <w:tcPr>
            <w:tcW w:w="993"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14 407</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2 555</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2 524</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218</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1 927</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4 971</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3 882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3 791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1 291</w:t>
            </w:r>
          </w:p>
        </w:tc>
        <w:tc>
          <w:tcPr>
            <w:tcW w:w="850"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2 500</w:t>
            </w:r>
          </w:p>
        </w:tc>
      </w:tr>
      <w:tr w:rsidR="000A2CB2" w:rsidRPr="000A2CB2" w:rsidTr="000A2CB2">
        <w:trPr>
          <w:trHeight w:val="293"/>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VYS</w:t>
            </w:r>
          </w:p>
        </w:tc>
        <w:tc>
          <w:tcPr>
            <w:tcW w:w="993"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17 672</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3 164</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3 155</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249</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2 187</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6 158</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3 230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6 049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1 755</w:t>
            </w:r>
          </w:p>
        </w:tc>
        <w:tc>
          <w:tcPr>
            <w:tcW w:w="850"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4 294</w:t>
            </w:r>
          </w:p>
        </w:tc>
      </w:tr>
      <w:tr w:rsidR="000A2CB2" w:rsidRPr="000A2CB2" w:rsidTr="000A2CB2">
        <w:trPr>
          <w:trHeight w:val="293"/>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JMK</w:t>
            </w:r>
          </w:p>
        </w:tc>
        <w:tc>
          <w:tcPr>
            <w:tcW w:w="993"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49 032</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7 113</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8 052</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529</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6 167</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15 582</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12 243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19 388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6 156</w:t>
            </w:r>
          </w:p>
        </w:tc>
        <w:tc>
          <w:tcPr>
            <w:tcW w:w="850"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13 232</w:t>
            </w:r>
          </w:p>
        </w:tc>
      </w:tr>
      <w:tr w:rsidR="000A2CB2" w:rsidRPr="000A2CB2" w:rsidTr="000A2CB2">
        <w:trPr>
          <w:trHeight w:val="293"/>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OLK</w:t>
            </w:r>
          </w:p>
        </w:tc>
        <w:tc>
          <w:tcPr>
            <w:tcW w:w="993"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26 495</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3 655</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4 277</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303</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3 074</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9 228</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7 343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9 711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2 825</w:t>
            </w:r>
          </w:p>
        </w:tc>
        <w:tc>
          <w:tcPr>
            <w:tcW w:w="850"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6 886</w:t>
            </w:r>
          </w:p>
        </w:tc>
      </w:tr>
      <w:tr w:rsidR="000A2CB2" w:rsidRPr="000A2CB2" w:rsidTr="000A2CB2">
        <w:trPr>
          <w:trHeight w:val="293"/>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ZLK</w:t>
            </w:r>
          </w:p>
        </w:tc>
        <w:tc>
          <w:tcPr>
            <w:tcW w:w="993"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19 848</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3 301</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3 854</w:t>
            </w:r>
          </w:p>
        </w:tc>
        <w:tc>
          <w:tcPr>
            <w:tcW w:w="850"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227</w:t>
            </w:r>
          </w:p>
        </w:tc>
        <w:tc>
          <w:tcPr>
            <w:tcW w:w="851"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2 418</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7 087</w:t>
            </w:r>
          </w:p>
        </w:tc>
        <w:tc>
          <w:tcPr>
            <w:tcW w:w="992" w:type="dxa"/>
            <w:tcBorders>
              <w:top w:val="nil"/>
              <w:left w:val="nil"/>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3 697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6 427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2 201</w:t>
            </w:r>
          </w:p>
        </w:tc>
        <w:tc>
          <w:tcPr>
            <w:tcW w:w="850" w:type="dxa"/>
            <w:tcBorders>
              <w:top w:val="nil"/>
              <w:left w:val="nil"/>
              <w:bottom w:val="single" w:sz="4"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4 226</w:t>
            </w:r>
          </w:p>
        </w:tc>
      </w:tr>
      <w:tr w:rsidR="000A2CB2" w:rsidRPr="000A2CB2" w:rsidTr="000A2CB2">
        <w:trPr>
          <w:trHeight w:val="308"/>
        </w:trPr>
        <w:tc>
          <w:tcPr>
            <w:tcW w:w="57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MSK</w:t>
            </w:r>
          </w:p>
        </w:tc>
        <w:tc>
          <w:tcPr>
            <w:tcW w:w="993"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64 036</w:t>
            </w:r>
          </w:p>
        </w:tc>
        <w:tc>
          <w:tcPr>
            <w:tcW w:w="850" w:type="dxa"/>
            <w:tcBorders>
              <w:top w:val="single" w:sz="4" w:space="0" w:color="auto"/>
              <w:left w:val="nil"/>
              <w:bottom w:val="single" w:sz="8"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8 665</w:t>
            </w:r>
          </w:p>
        </w:tc>
        <w:tc>
          <w:tcPr>
            <w:tcW w:w="851" w:type="dxa"/>
            <w:tcBorders>
              <w:top w:val="single" w:sz="4" w:space="0" w:color="auto"/>
              <w:left w:val="nil"/>
              <w:bottom w:val="single" w:sz="8"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9 844</w:t>
            </w:r>
          </w:p>
        </w:tc>
        <w:tc>
          <w:tcPr>
            <w:tcW w:w="850" w:type="dxa"/>
            <w:tcBorders>
              <w:top w:val="single" w:sz="4" w:space="0" w:color="auto"/>
              <w:left w:val="nil"/>
              <w:bottom w:val="single" w:sz="8"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720</w:t>
            </w:r>
          </w:p>
        </w:tc>
        <w:tc>
          <w:tcPr>
            <w:tcW w:w="851" w:type="dxa"/>
            <w:tcBorders>
              <w:top w:val="single" w:sz="4" w:space="0" w:color="auto"/>
              <w:left w:val="nil"/>
              <w:bottom w:val="single" w:sz="8"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7 430</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22 726</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21 157</w:t>
            </w:r>
          </w:p>
        </w:tc>
        <w:tc>
          <w:tcPr>
            <w:tcW w:w="99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29 639</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8 159</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837CDC" w:rsidRPr="000A2CB2" w:rsidRDefault="00837CDC" w:rsidP="00484D3B">
            <w:pPr>
              <w:spacing w:line="240" w:lineRule="auto"/>
              <w:jc w:val="right"/>
              <w:rPr>
                <w:rFonts w:eastAsia="Times New Roman" w:cs="Arial"/>
                <w:color w:val="000000"/>
                <w:sz w:val="20"/>
                <w:szCs w:val="20"/>
                <w:lang w:eastAsia="cs-CZ"/>
              </w:rPr>
            </w:pPr>
            <w:r w:rsidRPr="000A2CB2">
              <w:rPr>
                <w:rFonts w:eastAsia="Times New Roman" w:cs="Arial"/>
                <w:color w:val="000000"/>
                <w:sz w:val="20"/>
                <w:szCs w:val="20"/>
                <w:lang w:eastAsia="cs-CZ"/>
              </w:rPr>
              <w:t>21 480</w:t>
            </w:r>
          </w:p>
        </w:tc>
      </w:tr>
    </w:tbl>
    <w:p w:rsidR="00EF10D5" w:rsidRDefault="00EF10D5" w:rsidP="00D2661E">
      <w:pPr>
        <w:pStyle w:val="Titulek"/>
        <w:keepNext/>
        <w:spacing w:before="120" w:after="120"/>
      </w:pPr>
      <w:bookmarkStart w:id="27" w:name="_Toc476556302"/>
      <w:r>
        <w:t xml:space="preserve">Tabulka </w:t>
      </w:r>
      <w:r w:rsidR="00AB7C96">
        <w:fldChar w:fldCharType="begin"/>
      </w:r>
      <w:r w:rsidR="00AB7C96">
        <w:instrText xml:space="preserve"> SEQ Tabulka \* ARABIC </w:instrText>
      </w:r>
      <w:r w:rsidR="00AB7C96">
        <w:fldChar w:fldCharType="separate"/>
      </w:r>
      <w:r w:rsidR="004A5D48">
        <w:rPr>
          <w:noProof/>
        </w:rPr>
        <w:t>8</w:t>
      </w:r>
      <w:r w:rsidR="00AB7C96">
        <w:rPr>
          <w:noProof/>
        </w:rPr>
        <w:fldChar w:fldCharType="end"/>
      </w:r>
      <w:r>
        <w:t xml:space="preserve"> Podíly znevýhodněných </w:t>
      </w:r>
      <w:proofErr w:type="spellStart"/>
      <w:r>
        <w:t>UoZ</w:t>
      </w:r>
      <w:proofErr w:type="spellEnd"/>
      <w:r>
        <w:t xml:space="preserve"> k 31. 12. 2016</w:t>
      </w:r>
      <w:bookmarkEnd w:id="27"/>
    </w:p>
    <w:tbl>
      <w:tblPr>
        <w:tblW w:w="9104" w:type="dxa"/>
        <w:tblInd w:w="60" w:type="dxa"/>
        <w:tblLayout w:type="fixed"/>
        <w:tblCellMar>
          <w:left w:w="70" w:type="dxa"/>
          <w:right w:w="70" w:type="dxa"/>
        </w:tblCellMar>
        <w:tblLook w:val="04A0" w:firstRow="1" w:lastRow="0" w:firstColumn="1" w:lastColumn="0" w:noHBand="0" w:noVBand="1"/>
      </w:tblPr>
      <w:tblGrid>
        <w:gridCol w:w="1196"/>
        <w:gridCol w:w="856"/>
        <w:gridCol w:w="856"/>
        <w:gridCol w:w="857"/>
        <w:gridCol w:w="856"/>
        <w:gridCol w:w="856"/>
        <w:gridCol w:w="857"/>
        <w:gridCol w:w="923"/>
        <w:gridCol w:w="923"/>
        <w:gridCol w:w="924"/>
      </w:tblGrid>
      <w:tr w:rsidR="00EF10D5" w:rsidRPr="00837CDC" w:rsidTr="00EF10D5">
        <w:trPr>
          <w:trHeight w:val="303"/>
        </w:trPr>
        <w:tc>
          <w:tcPr>
            <w:tcW w:w="1196" w:type="dxa"/>
            <w:vMerge w:val="restart"/>
            <w:tcBorders>
              <w:top w:val="single" w:sz="8" w:space="0" w:color="auto"/>
              <w:left w:val="single" w:sz="8" w:space="0" w:color="auto"/>
              <w:bottom w:val="double" w:sz="6" w:space="0" w:color="000000"/>
              <w:right w:val="single" w:sz="8" w:space="0" w:color="000000"/>
            </w:tcBorders>
            <w:vAlign w:val="center"/>
            <w:hideMark/>
          </w:tcPr>
          <w:p w:rsidR="00837CDC" w:rsidRPr="00837CDC" w:rsidRDefault="00EF10D5" w:rsidP="00484D3B">
            <w:pPr>
              <w:spacing w:line="240" w:lineRule="auto"/>
              <w:jc w:val="center"/>
              <w:rPr>
                <w:rFonts w:ascii="Calibri" w:eastAsia="Times New Roman" w:hAnsi="Calibri" w:cs="Times New Roman"/>
                <w:b/>
                <w:bCs/>
                <w:color w:val="000000"/>
                <w:sz w:val="22"/>
                <w:lang w:eastAsia="cs-CZ"/>
              </w:rPr>
            </w:pPr>
            <w:r>
              <w:rPr>
                <w:rFonts w:ascii="Calibri" w:eastAsia="Times New Roman" w:hAnsi="Calibri" w:cs="Times New Roman"/>
                <w:b/>
                <w:bCs/>
                <w:color w:val="000000"/>
                <w:sz w:val="22"/>
                <w:lang w:eastAsia="cs-CZ"/>
              </w:rPr>
              <w:t>Kraj</w:t>
            </w:r>
          </w:p>
        </w:tc>
        <w:tc>
          <w:tcPr>
            <w:tcW w:w="85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37CDC" w:rsidRPr="00837CDC" w:rsidRDefault="00837CDC" w:rsidP="00484D3B">
            <w:pPr>
              <w:spacing w:line="240" w:lineRule="auto"/>
              <w:jc w:val="center"/>
              <w:rPr>
                <w:rFonts w:eastAsia="Times New Roman" w:cs="Arial"/>
                <w:color w:val="000000"/>
                <w:sz w:val="20"/>
                <w:szCs w:val="20"/>
                <w:lang w:eastAsia="cs-CZ"/>
              </w:rPr>
            </w:pPr>
            <w:r w:rsidRPr="00837CDC">
              <w:rPr>
                <w:rFonts w:eastAsia="Times New Roman" w:cs="Arial"/>
                <w:color w:val="000000"/>
                <w:sz w:val="20"/>
                <w:szCs w:val="20"/>
                <w:lang w:eastAsia="cs-CZ"/>
              </w:rPr>
              <w:t>OZP</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7CDC" w:rsidRPr="00837CDC" w:rsidRDefault="00837CDC" w:rsidP="00484D3B">
            <w:pPr>
              <w:spacing w:line="240" w:lineRule="auto"/>
              <w:jc w:val="center"/>
              <w:rPr>
                <w:rFonts w:eastAsia="Times New Roman" w:cs="Arial"/>
                <w:color w:val="000000"/>
                <w:sz w:val="20"/>
                <w:szCs w:val="20"/>
                <w:lang w:eastAsia="cs-CZ"/>
              </w:rPr>
            </w:pPr>
            <w:r w:rsidRPr="00837CDC">
              <w:rPr>
                <w:rFonts w:eastAsia="Times New Roman" w:cs="Arial"/>
                <w:color w:val="000000"/>
                <w:sz w:val="20"/>
                <w:szCs w:val="20"/>
                <w:lang w:eastAsia="cs-CZ"/>
              </w:rPr>
              <w:t>pečující o děti do 15 let</w:t>
            </w:r>
          </w:p>
        </w:tc>
        <w:tc>
          <w:tcPr>
            <w:tcW w:w="85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7CDC" w:rsidRPr="00837CDC" w:rsidRDefault="00837CDC" w:rsidP="00484D3B">
            <w:pPr>
              <w:spacing w:line="240" w:lineRule="auto"/>
              <w:jc w:val="center"/>
              <w:rPr>
                <w:rFonts w:eastAsia="Times New Roman" w:cs="Arial"/>
                <w:color w:val="000000"/>
                <w:sz w:val="20"/>
                <w:szCs w:val="20"/>
                <w:lang w:eastAsia="cs-CZ"/>
              </w:rPr>
            </w:pPr>
            <w:r w:rsidRPr="00837CDC">
              <w:rPr>
                <w:rFonts w:eastAsia="Times New Roman" w:cs="Arial"/>
                <w:color w:val="000000"/>
                <w:sz w:val="20"/>
                <w:szCs w:val="20"/>
                <w:lang w:eastAsia="cs-CZ"/>
              </w:rPr>
              <w:t>těhotné kojící, do 9m po porodu</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7CDC" w:rsidRPr="00837CDC" w:rsidRDefault="00837CDC" w:rsidP="00484D3B">
            <w:pPr>
              <w:spacing w:line="240" w:lineRule="auto"/>
              <w:jc w:val="center"/>
              <w:rPr>
                <w:rFonts w:eastAsia="Times New Roman" w:cs="Arial"/>
                <w:color w:val="000000"/>
                <w:sz w:val="20"/>
                <w:szCs w:val="20"/>
                <w:lang w:eastAsia="cs-CZ"/>
              </w:rPr>
            </w:pPr>
            <w:r w:rsidRPr="00837CDC">
              <w:rPr>
                <w:rFonts w:eastAsia="Times New Roman" w:cs="Arial"/>
                <w:color w:val="000000"/>
                <w:sz w:val="20"/>
                <w:szCs w:val="20"/>
                <w:lang w:eastAsia="cs-CZ"/>
              </w:rPr>
              <w:t>do 25 let</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7CDC" w:rsidRPr="00837CDC" w:rsidRDefault="00837CDC" w:rsidP="00484D3B">
            <w:pPr>
              <w:spacing w:line="240" w:lineRule="auto"/>
              <w:jc w:val="center"/>
              <w:rPr>
                <w:rFonts w:eastAsia="Times New Roman" w:cs="Arial"/>
                <w:color w:val="000000"/>
                <w:sz w:val="20"/>
                <w:szCs w:val="20"/>
                <w:lang w:eastAsia="cs-CZ"/>
              </w:rPr>
            </w:pPr>
            <w:r w:rsidRPr="00837CDC">
              <w:rPr>
                <w:rFonts w:eastAsia="Times New Roman" w:cs="Arial"/>
                <w:color w:val="000000"/>
                <w:sz w:val="20"/>
                <w:szCs w:val="20"/>
                <w:lang w:eastAsia="cs-CZ"/>
              </w:rPr>
              <w:t>nad 50 let</w:t>
            </w:r>
          </w:p>
        </w:tc>
        <w:tc>
          <w:tcPr>
            <w:tcW w:w="85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7CDC" w:rsidRPr="00837CDC" w:rsidRDefault="00837CDC" w:rsidP="00484D3B">
            <w:pPr>
              <w:spacing w:line="240" w:lineRule="auto"/>
              <w:jc w:val="center"/>
              <w:rPr>
                <w:rFonts w:eastAsia="Times New Roman" w:cs="Arial"/>
                <w:color w:val="000000"/>
                <w:sz w:val="20"/>
                <w:szCs w:val="20"/>
                <w:lang w:eastAsia="cs-CZ"/>
              </w:rPr>
            </w:pPr>
            <w:r w:rsidRPr="00837CDC">
              <w:rPr>
                <w:rFonts w:eastAsia="Times New Roman" w:cs="Arial"/>
                <w:color w:val="000000"/>
                <w:sz w:val="20"/>
                <w:szCs w:val="20"/>
                <w:lang w:eastAsia="cs-CZ"/>
              </w:rPr>
              <w:t xml:space="preserve">bez </w:t>
            </w:r>
            <w:proofErr w:type="spellStart"/>
            <w:r w:rsidRPr="00837CDC">
              <w:rPr>
                <w:rFonts w:eastAsia="Times New Roman" w:cs="Arial"/>
                <w:color w:val="000000"/>
                <w:sz w:val="20"/>
                <w:szCs w:val="20"/>
                <w:lang w:eastAsia="cs-CZ"/>
              </w:rPr>
              <w:t>vzděl</w:t>
            </w:r>
            <w:proofErr w:type="spellEnd"/>
            <w:r w:rsidRPr="00837CDC">
              <w:rPr>
                <w:rFonts w:eastAsia="Times New Roman" w:cs="Arial"/>
                <w:color w:val="000000"/>
                <w:sz w:val="20"/>
                <w:szCs w:val="20"/>
                <w:lang w:eastAsia="cs-CZ"/>
              </w:rPr>
              <w:t>. nebo se ZŠ</w:t>
            </w:r>
          </w:p>
        </w:tc>
        <w:tc>
          <w:tcPr>
            <w:tcW w:w="2769" w:type="dxa"/>
            <w:gridSpan w:val="3"/>
            <w:tcBorders>
              <w:top w:val="single" w:sz="8" w:space="0" w:color="auto"/>
              <w:left w:val="nil"/>
              <w:bottom w:val="nil"/>
              <w:right w:val="single" w:sz="8" w:space="0" w:color="000000"/>
            </w:tcBorders>
            <w:shd w:val="clear" w:color="auto" w:fill="auto"/>
            <w:vAlign w:val="center"/>
            <w:hideMark/>
          </w:tcPr>
          <w:p w:rsidR="00837CDC" w:rsidRPr="00837CDC" w:rsidRDefault="00837CDC" w:rsidP="00484D3B">
            <w:pPr>
              <w:spacing w:line="240" w:lineRule="auto"/>
              <w:jc w:val="center"/>
              <w:rPr>
                <w:rFonts w:eastAsia="Times New Roman" w:cs="Arial"/>
                <w:color w:val="000000"/>
                <w:sz w:val="20"/>
                <w:szCs w:val="20"/>
                <w:lang w:eastAsia="cs-CZ"/>
              </w:rPr>
            </w:pPr>
            <w:r w:rsidRPr="00837CDC">
              <w:rPr>
                <w:rFonts w:eastAsia="Times New Roman" w:cs="Arial"/>
                <w:color w:val="000000"/>
                <w:sz w:val="20"/>
                <w:szCs w:val="20"/>
                <w:lang w:eastAsia="cs-CZ"/>
              </w:rPr>
              <w:t xml:space="preserve">evidence </w:t>
            </w:r>
          </w:p>
        </w:tc>
      </w:tr>
      <w:tr w:rsidR="00EF10D5" w:rsidRPr="00837CDC" w:rsidTr="00EF10D5">
        <w:trPr>
          <w:trHeight w:val="939"/>
        </w:trPr>
        <w:tc>
          <w:tcPr>
            <w:tcW w:w="1196" w:type="dxa"/>
            <w:vMerge/>
            <w:tcBorders>
              <w:top w:val="single" w:sz="8" w:space="0" w:color="auto"/>
              <w:left w:val="single" w:sz="8" w:space="0" w:color="auto"/>
              <w:bottom w:val="double" w:sz="6" w:space="0" w:color="000000"/>
              <w:right w:val="single" w:sz="8" w:space="0" w:color="000000"/>
            </w:tcBorders>
            <w:vAlign w:val="center"/>
            <w:hideMark/>
          </w:tcPr>
          <w:p w:rsidR="00837CDC" w:rsidRPr="00837CDC" w:rsidRDefault="00837CDC" w:rsidP="00484D3B">
            <w:pPr>
              <w:spacing w:line="240" w:lineRule="auto"/>
              <w:jc w:val="left"/>
              <w:rPr>
                <w:rFonts w:ascii="Calibri" w:eastAsia="Times New Roman" w:hAnsi="Calibri" w:cs="Times New Roman"/>
                <w:b/>
                <w:bCs/>
                <w:color w:val="000000"/>
                <w:sz w:val="22"/>
                <w:lang w:eastAsia="cs-CZ"/>
              </w:rPr>
            </w:pPr>
          </w:p>
        </w:tc>
        <w:tc>
          <w:tcPr>
            <w:tcW w:w="856" w:type="dxa"/>
            <w:vMerge/>
            <w:tcBorders>
              <w:top w:val="single" w:sz="8" w:space="0" w:color="auto"/>
              <w:left w:val="single" w:sz="8" w:space="0" w:color="auto"/>
              <w:bottom w:val="single" w:sz="4" w:space="0" w:color="auto"/>
              <w:right w:val="single" w:sz="4" w:space="0" w:color="auto"/>
            </w:tcBorders>
            <w:vAlign w:val="center"/>
            <w:hideMark/>
          </w:tcPr>
          <w:p w:rsidR="00837CDC" w:rsidRPr="00837CDC" w:rsidRDefault="00837CDC" w:rsidP="00484D3B">
            <w:pPr>
              <w:spacing w:line="240" w:lineRule="auto"/>
              <w:jc w:val="left"/>
              <w:rPr>
                <w:rFonts w:eastAsia="Times New Roman" w:cs="Arial"/>
                <w:color w:val="000000"/>
                <w:sz w:val="20"/>
                <w:szCs w:val="20"/>
                <w:lang w:eastAsia="cs-CZ"/>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rsidR="00837CDC" w:rsidRPr="00837CDC" w:rsidRDefault="00837CDC" w:rsidP="00484D3B">
            <w:pPr>
              <w:spacing w:line="240" w:lineRule="auto"/>
              <w:jc w:val="left"/>
              <w:rPr>
                <w:rFonts w:eastAsia="Times New Roman" w:cs="Arial"/>
                <w:color w:val="000000"/>
                <w:sz w:val="20"/>
                <w:szCs w:val="20"/>
                <w:lang w:eastAsia="cs-CZ"/>
              </w:rPr>
            </w:pPr>
          </w:p>
        </w:tc>
        <w:tc>
          <w:tcPr>
            <w:tcW w:w="857" w:type="dxa"/>
            <w:vMerge/>
            <w:tcBorders>
              <w:top w:val="nil"/>
              <w:left w:val="single" w:sz="4" w:space="0" w:color="auto"/>
              <w:bottom w:val="single" w:sz="4" w:space="0" w:color="auto"/>
              <w:right w:val="single" w:sz="4" w:space="0" w:color="auto"/>
            </w:tcBorders>
            <w:vAlign w:val="center"/>
            <w:hideMark/>
          </w:tcPr>
          <w:p w:rsidR="00837CDC" w:rsidRPr="00837CDC" w:rsidRDefault="00837CDC" w:rsidP="00484D3B">
            <w:pPr>
              <w:spacing w:line="240" w:lineRule="auto"/>
              <w:jc w:val="left"/>
              <w:rPr>
                <w:rFonts w:eastAsia="Times New Roman" w:cs="Arial"/>
                <w:color w:val="000000"/>
                <w:sz w:val="20"/>
                <w:szCs w:val="20"/>
                <w:lang w:eastAsia="cs-CZ"/>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rsidR="00837CDC" w:rsidRPr="00837CDC" w:rsidRDefault="00837CDC" w:rsidP="00484D3B">
            <w:pPr>
              <w:spacing w:line="240" w:lineRule="auto"/>
              <w:jc w:val="left"/>
              <w:rPr>
                <w:rFonts w:eastAsia="Times New Roman" w:cs="Arial"/>
                <w:color w:val="000000"/>
                <w:sz w:val="20"/>
                <w:szCs w:val="20"/>
                <w:lang w:eastAsia="cs-CZ"/>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rsidR="00837CDC" w:rsidRPr="00837CDC" w:rsidRDefault="00837CDC" w:rsidP="00484D3B">
            <w:pPr>
              <w:spacing w:line="240" w:lineRule="auto"/>
              <w:jc w:val="left"/>
              <w:rPr>
                <w:rFonts w:eastAsia="Times New Roman" w:cs="Arial"/>
                <w:color w:val="000000"/>
                <w:sz w:val="20"/>
                <w:szCs w:val="20"/>
                <w:lang w:eastAsia="cs-CZ"/>
              </w:rPr>
            </w:pPr>
          </w:p>
        </w:tc>
        <w:tc>
          <w:tcPr>
            <w:tcW w:w="857" w:type="dxa"/>
            <w:vMerge/>
            <w:tcBorders>
              <w:top w:val="single" w:sz="8" w:space="0" w:color="auto"/>
              <w:left w:val="single" w:sz="4" w:space="0" w:color="auto"/>
              <w:bottom w:val="single" w:sz="4" w:space="0" w:color="auto"/>
              <w:right w:val="single" w:sz="4" w:space="0" w:color="auto"/>
            </w:tcBorders>
            <w:vAlign w:val="center"/>
            <w:hideMark/>
          </w:tcPr>
          <w:p w:rsidR="00837CDC" w:rsidRPr="00837CDC" w:rsidRDefault="00837CDC" w:rsidP="00484D3B">
            <w:pPr>
              <w:spacing w:line="240" w:lineRule="auto"/>
              <w:jc w:val="left"/>
              <w:rPr>
                <w:rFonts w:eastAsia="Times New Roman" w:cs="Arial"/>
                <w:color w:val="000000"/>
                <w:sz w:val="20"/>
                <w:szCs w:val="20"/>
                <w:lang w:eastAsia="cs-CZ"/>
              </w:rPr>
            </w:pPr>
          </w:p>
        </w:tc>
        <w:tc>
          <w:tcPr>
            <w:tcW w:w="923" w:type="dxa"/>
            <w:tcBorders>
              <w:top w:val="single" w:sz="4" w:space="0" w:color="auto"/>
              <w:left w:val="nil"/>
              <w:bottom w:val="nil"/>
              <w:right w:val="single" w:sz="4" w:space="0" w:color="auto"/>
            </w:tcBorders>
            <w:shd w:val="clear" w:color="auto" w:fill="auto"/>
            <w:vAlign w:val="center"/>
            <w:hideMark/>
          </w:tcPr>
          <w:p w:rsidR="00837CDC" w:rsidRPr="00837CDC" w:rsidRDefault="00837CDC" w:rsidP="00484D3B">
            <w:pPr>
              <w:spacing w:line="240" w:lineRule="auto"/>
              <w:jc w:val="center"/>
              <w:rPr>
                <w:rFonts w:eastAsia="Times New Roman" w:cs="Arial"/>
                <w:color w:val="000000"/>
                <w:sz w:val="20"/>
                <w:szCs w:val="20"/>
                <w:lang w:eastAsia="cs-CZ"/>
              </w:rPr>
            </w:pPr>
            <w:r w:rsidRPr="00837CDC">
              <w:rPr>
                <w:rFonts w:eastAsia="Times New Roman" w:cs="Arial"/>
                <w:color w:val="000000"/>
                <w:sz w:val="20"/>
                <w:szCs w:val="20"/>
                <w:lang w:eastAsia="cs-CZ"/>
              </w:rPr>
              <w:t>nad 12M</w:t>
            </w:r>
          </w:p>
        </w:tc>
        <w:tc>
          <w:tcPr>
            <w:tcW w:w="923" w:type="dxa"/>
            <w:tcBorders>
              <w:top w:val="single" w:sz="4" w:space="0" w:color="auto"/>
              <w:left w:val="nil"/>
              <w:bottom w:val="nil"/>
              <w:right w:val="single" w:sz="4" w:space="0" w:color="auto"/>
            </w:tcBorders>
            <w:shd w:val="clear" w:color="auto" w:fill="auto"/>
            <w:vAlign w:val="center"/>
            <w:hideMark/>
          </w:tcPr>
          <w:p w:rsidR="00837CDC" w:rsidRPr="00837CDC" w:rsidRDefault="00837CDC" w:rsidP="00484D3B">
            <w:pPr>
              <w:spacing w:line="240" w:lineRule="auto"/>
              <w:jc w:val="left"/>
              <w:rPr>
                <w:rFonts w:eastAsia="Times New Roman" w:cs="Arial"/>
                <w:color w:val="000000"/>
                <w:sz w:val="20"/>
                <w:szCs w:val="20"/>
                <w:lang w:eastAsia="cs-CZ"/>
              </w:rPr>
            </w:pPr>
            <w:r w:rsidRPr="00837CDC">
              <w:rPr>
                <w:rFonts w:eastAsia="Times New Roman" w:cs="Arial"/>
                <w:color w:val="000000"/>
                <w:sz w:val="20"/>
                <w:szCs w:val="20"/>
                <w:lang w:eastAsia="cs-CZ"/>
              </w:rPr>
              <w:t>12M-24M</w:t>
            </w:r>
          </w:p>
        </w:tc>
        <w:tc>
          <w:tcPr>
            <w:tcW w:w="924" w:type="dxa"/>
            <w:tcBorders>
              <w:top w:val="dashed" w:sz="4" w:space="0" w:color="auto"/>
              <w:left w:val="dashed" w:sz="4" w:space="0" w:color="auto"/>
              <w:bottom w:val="nil"/>
              <w:right w:val="single" w:sz="8" w:space="0" w:color="auto"/>
            </w:tcBorders>
            <w:shd w:val="clear" w:color="auto" w:fill="auto"/>
            <w:vAlign w:val="center"/>
            <w:hideMark/>
          </w:tcPr>
          <w:p w:rsidR="00837CDC" w:rsidRPr="00837CDC" w:rsidRDefault="00837CDC" w:rsidP="00484D3B">
            <w:pPr>
              <w:spacing w:line="240" w:lineRule="auto"/>
              <w:jc w:val="left"/>
              <w:rPr>
                <w:rFonts w:eastAsia="Times New Roman" w:cs="Arial"/>
                <w:color w:val="000000"/>
                <w:sz w:val="20"/>
                <w:szCs w:val="20"/>
                <w:lang w:eastAsia="cs-CZ"/>
              </w:rPr>
            </w:pPr>
            <w:r w:rsidRPr="00837CDC">
              <w:rPr>
                <w:rFonts w:eastAsia="Times New Roman" w:cs="Arial"/>
                <w:color w:val="000000"/>
                <w:sz w:val="20"/>
                <w:szCs w:val="20"/>
                <w:lang w:eastAsia="cs-CZ"/>
              </w:rPr>
              <w:t>nad 24M</w:t>
            </w:r>
          </w:p>
        </w:tc>
      </w:tr>
      <w:tr w:rsidR="00EF10D5" w:rsidRPr="00837CDC" w:rsidTr="00EF10D5">
        <w:trPr>
          <w:trHeight w:val="332"/>
        </w:trPr>
        <w:tc>
          <w:tcPr>
            <w:tcW w:w="1196" w:type="dxa"/>
            <w:tcBorders>
              <w:top w:val="nil"/>
              <w:left w:val="double" w:sz="6" w:space="0" w:color="auto"/>
              <w:bottom w:val="double" w:sz="6" w:space="0" w:color="auto"/>
              <w:right w:val="single" w:sz="4" w:space="0" w:color="auto"/>
            </w:tcBorders>
            <w:shd w:val="clear" w:color="auto" w:fill="auto"/>
            <w:noWrap/>
            <w:vAlign w:val="bottom"/>
            <w:hideMark/>
          </w:tcPr>
          <w:p w:rsidR="00837CDC" w:rsidRPr="00837CDC" w:rsidRDefault="00837CDC" w:rsidP="00484D3B">
            <w:pPr>
              <w:spacing w:line="240" w:lineRule="auto"/>
              <w:jc w:val="left"/>
              <w:rPr>
                <w:rFonts w:eastAsia="Times New Roman" w:cs="Arial"/>
                <w:b/>
                <w:bCs/>
                <w:color w:val="000000"/>
                <w:sz w:val="20"/>
                <w:szCs w:val="20"/>
                <w:lang w:eastAsia="cs-CZ"/>
              </w:rPr>
            </w:pPr>
            <w:r w:rsidRPr="00837CDC">
              <w:rPr>
                <w:rFonts w:eastAsia="Times New Roman" w:cs="Arial"/>
                <w:b/>
                <w:bCs/>
                <w:color w:val="000000"/>
                <w:sz w:val="20"/>
                <w:szCs w:val="20"/>
                <w:lang w:eastAsia="cs-CZ"/>
              </w:rPr>
              <w:t xml:space="preserve"> ČR</w:t>
            </w:r>
          </w:p>
        </w:tc>
        <w:tc>
          <w:tcPr>
            <w:tcW w:w="856" w:type="dxa"/>
            <w:tcBorders>
              <w:top w:val="double" w:sz="6" w:space="0" w:color="auto"/>
              <w:left w:val="single" w:sz="8" w:space="0" w:color="auto"/>
              <w:bottom w:val="double" w:sz="6"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b/>
                <w:bCs/>
                <w:color w:val="000000"/>
                <w:sz w:val="20"/>
                <w:szCs w:val="20"/>
                <w:lang w:eastAsia="cs-CZ"/>
              </w:rPr>
              <w:t>14,30%</w:t>
            </w:r>
          </w:p>
        </w:tc>
        <w:tc>
          <w:tcPr>
            <w:tcW w:w="856" w:type="dxa"/>
            <w:tcBorders>
              <w:top w:val="double" w:sz="6" w:space="0" w:color="auto"/>
              <w:left w:val="nil"/>
              <w:bottom w:val="double" w:sz="6"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b/>
                <w:bCs/>
                <w:color w:val="000000"/>
                <w:sz w:val="20"/>
                <w:szCs w:val="20"/>
                <w:lang w:eastAsia="cs-CZ"/>
              </w:rPr>
              <w:t>16,70%</w:t>
            </w:r>
          </w:p>
        </w:tc>
        <w:tc>
          <w:tcPr>
            <w:tcW w:w="857" w:type="dxa"/>
            <w:tcBorders>
              <w:top w:val="double" w:sz="6" w:space="0" w:color="auto"/>
              <w:left w:val="nil"/>
              <w:bottom w:val="double" w:sz="6"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b/>
                <w:bCs/>
                <w:color w:val="000000"/>
                <w:sz w:val="20"/>
                <w:szCs w:val="20"/>
                <w:lang w:eastAsia="cs-CZ"/>
              </w:rPr>
              <w:t>1,24%</w:t>
            </w:r>
          </w:p>
        </w:tc>
        <w:tc>
          <w:tcPr>
            <w:tcW w:w="856" w:type="dxa"/>
            <w:tcBorders>
              <w:top w:val="double" w:sz="6" w:space="0" w:color="auto"/>
              <w:left w:val="nil"/>
              <w:bottom w:val="double" w:sz="6"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b/>
                <w:bCs/>
                <w:color w:val="000000"/>
                <w:sz w:val="20"/>
                <w:szCs w:val="20"/>
                <w:lang w:eastAsia="cs-CZ"/>
              </w:rPr>
              <w:t>12,28%</w:t>
            </w:r>
          </w:p>
        </w:tc>
        <w:tc>
          <w:tcPr>
            <w:tcW w:w="856" w:type="dxa"/>
            <w:tcBorders>
              <w:top w:val="double" w:sz="6" w:space="0" w:color="auto"/>
              <w:left w:val="nil"/>
              <w:bottom w:val="double" w:sz="6"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b/>
                <w:bCs/>
                <w:color w:val="000000"/>
                <w:sz w:val="20"/>
                <w:szCs w:val="20"/>
                <w:lang w:eastAsia="cs-CZ"/>
              </w:rPr>
              <w:t>33,39%</w:t>
            </w:r>
          </w:p>
        </w:tc>
        <w:tc>
          <w:tcPr>
            <w:tcW w:w="857" w:type="dxa"/>
            <w:tcBorders>
              <w:top w:val="double" w:sz="6" w:space="0" w:color="auto"/>
              <w:left w:val="nil"/>
              <w:bottom w:val="double" w:sz="6"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b/>
                <w:bCs/>
                <w:color w:val="000000"/>
                <w:sz w:val="20"/>
                <w:szCs w:val="20"/>
                <w:lang w:eastAsia="cs-CZ"/>
              </w:rPr>
              <w:t>29,98%</w:t>
            </w:r>
          </w:p>
        </w:tc>
        <w:tc>
          <w:tcPr>
            <w:tcW w:w="923" w:type="dxa"/>
            <w:tcBorders>
              <w:top w:val="double" w:sz="6" w:space="0" w:color="auto"/>
              <w:left w:val="nil"/>
              <w:bottom w:val="double" w:sz="6"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b/>
                <w:bCs/>
                <w:color w:val="000000"/>
                <w:sz w:val="20"/>
                <w:szCs w:val="20"/>
                <w:lang w:eastAsia="cs-CZ"/>
              </w:rPr>
              <w:t>37,80%</w:t>
            </w:r>
          </w:p>
        </w:tc>
        <w:tc>
          <w:tcPr>
            <w:tcW w:w="923" w:type="dxa"/>
            <w:tcBorders>
              <w:top w:val="double" w:sz="6" w:space="0" w:color="auto"/>
              <w:left w:val="nil"/>
              <w:bottom w:val="double" w:sz="6" w:space="0" w:color="auto"/>
              <w:right w:val="dashed"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b/>
                <w:bCs/>
                <w:color w:val="000000"/>
                <w:sz w:val="20"/>
                <w:szCs w:val="20"/>
                <w:lang w:eastAsia="cs-CZ"/>
              </w:rPr>
              <w:t>11,87%</w:t>
            </w:r>
          </w:p>
        </w:tc>
        <w:tc>
          <w:tcPr>
            <w:tcW w:w="924" w:type="dxa"/>
            <w:tcBorders>
              <w:top w:val="double" w:sz="6" w:space="0" w:color="auto"/>
              <w:left w:val="nil"/>
              <w:bottom w:val="double" w:sz="6" w:space="0" w:color="auto"/>
              <w:right w:val="double" w:sz="6"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b/>
                <w:bCs/>
                <w:color w:val="000000"/>
                <w:sz w:val="20"/>
                <w:szCs w:val="20"/>
                <w:lang w:eastAsia="cs-CZ"/>
              </w:rPr>
              <w:t>25,94%</w:t>
            </w:r>
          </w:p>
        </w:tc>
      </w:tr>
      <w:tr w:rsidR="00EF10D5" w:rsidRPr="00837CDC" w:rsidTr="00EF10D5">
        <w:trPr>
          <w:trHeight w:val="332"/>
        </w:trPr>
        <w:tc>
          <w:tcPr>
            <w:tcW w:w="1196" w:type="dxa"/>
            <w:tcBorders>
              <w:top w:val="nil"/>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color w:val="000000"/>
                <w:sz w:val="20"/>
                <w:szCs w:val="20"/>
                <w:lang w:eastAsia="cs-CZ"/>
              </w:rPr>
              <w:t>Praha</w:t>
            </w:r>
          </w:p>
        </w:tc>
        <w:tc>
          <w:tcPr>
            <w:tcW w:w="856" w:type="dxa"/>
            <w:tcBorders>
              <w:top w:val="nil"/>
              <w:left w:val="single" w:sz="8"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9,11%</w:t>
            </w:r>
          </w:p>
        </w:tc>
        <w:tc>
          <w:tcPr>
            <w:tcW w:w="856"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10,12%</w:t>
            </w:r>
          </w:p>
        </w:tc>
        <w:tc>
          <w:tcPr>
            <w:tcW w:w="857"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0,69%</w:t>
            </w:r>
          </w:p>
        </w:tc>
        <w:tc>
          <w:tcPr>
            <w:tcW w:w="856"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9,75%</w:t>
            </w:r>
          </w:p>
        </w:tc>
        <w:tc>
          <w:tcPr>
            <w:tcW w:w="856"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30,29%</w:t>
            </w:r>
          </w:p>
        </w:tc>
        <w:tc>
          <w:tcPr>
            <w:tcW w:w="857"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20,89%</w:t>
            </w:r>
          </w:p>
        </w:tc>
        <w:tc>
          <w:tcPr>
            <w:tcW w:w="923"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35,92%</w:t>
            </w:r>
          </w:p>
        </w:tc>
        <w:tc>
          <w:tcPr>
            <w:tcW w:w="923"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14,69%</w:t>
            </w:r>
          </w:p>
        </w:tc>
        <w:tc>
          <w:tcPr>
            <w:tcW w:w="924" w:type="dxa"/>
            <w:tcBorders>
              <w:top w:val="nil"/>
              <w:left w:val="nil"/>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21,23%</w:t>
            </w:r>
          </w:p>
        </w:tc>
      </w:tr>
      <w:tr w:rsidR="00EF10D5" w:rsidRPr="00837CDC" w:rsidTr="00193EA4">
        <w:trPr>
          <w:trHeight w:val="332"/>
        </w:trPr>
        <w:tc>
          <w:tcPr>
            <w:tcW w:w="1196" w:type="dxa"/>
            <w:tcBorders>
              <w:top w:val="nil"/>
              <w:left w:val="single" w:sz="8" w:space="0" w:color="auto"/>
              <w:bottom w:val="single" w:sz="8"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color w:val="000000"/>
                <w:sz w:val="20"/>
                <w:szCs w:val="20"/>
                <w:lang w:eastAsia="cs-CZ"/>
              </w:rPr>
              <w:t>SČK</w:t>
            </w:r>
          </w:p>
        </w:tc>
        <w:tc>
          <w:tcPr>
            <w:tcW w:w="856" w:type="dxa"/>
            <w:tcBorders>
              <w:top w:val="nil"/>
              <w:left w:val="single" w:sz="8" w:space="0" w:color="auto"/>
              <w:bottom w:val="single" w:sz="8"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13,22%</w:t>
            </w:r>
          </w:p>
        </w:tc>
        <w:tc>
          <w:tcPr>
            <w:tcW w:w="85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18,29%</w:t>
            </w:r>
          </w:p>
        </w:tc>
        <w:tc>
          <w:tcPr>
            <w:tcW w:w="857" w:type="dxa"/>
            <w:tcBorders>
              <w:top w:val="nil"/>
              <w:left w:val="nil"/>
              <w:bottom w:val="single" w:sz="8"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EF10D5">
              <w:rPr>
                <w:rFonts w:eastAsia="Times New Roman" w:cs="Arial"/>
                <w:color w:val="FF0000"/>
                <w:sz w:val="20"/>
                <w:szCs w:val="20"/>
                <w:lang w:eastAsia="cs-CZ"/>
              </w:rPr>
              <w:t>1,28%</w:t>
            </w:r>
          </w:p>
        </w:tc>
        <w:tc>
          <w:tcPr>
            <w:tcW w:w="85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12,59%</w:t>
            </w:r>
          </w:p>
        </w:tc>
        <w:tc>
          <w:tcPr>
            <w:tcW w:w="856" w:type="dxa"/>
            <w:tcBorders>
              <w:top w:val="nil"/>
              <w:left w:val="nil"/>
              <w:bottom w:val="single" w:sz="8"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33,18%</w:t>
            </w:r>
          </w:p>
        </w:tc>
        <w:tc>
          <w:tcPr>
            <w:tcW w:w="857" w:type="dxa"/>
            <w:tcBorders>
              <w:top w:val="nil"/>
              <w:left w:val="nil"/>
              <w:bottom w:val="single" w:sz="8"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28,42%</w:t>
            </w:r>
          </w:p>
        </w:tc>
        <w:tc>
          <w:tcPr>
            <w:tcW w:w="923" w:type="dxa"/>
            <w:tcBorders>
              <w:top w:val="nil"/>
              <w:left w:val="nil"/>
              <w:bottom w:val="single" w:sz="8"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34,92%</w:t>
            </w:r>
          </w:p>
        </w:tc>
        <w:tc>
          <w:tcPr>
            <w:tcW w:w="923" w:type="dxa"/>
            <w:tcBorders>
              <w:top w:val="nil"/>
              <w:left w:val="nil"/>
              <w:bottom w:val="single" w:sz="8"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11,36%</w:t>
            </w:r>
          </w:p>
        </w:tc>
        <w:tc>
          <w:tcPr>
            <w:tcW w:w="924" w:type="dxa"/>
            <w:tcBorders>
              <w:top w:val="nil"/>
              <w:left w:val="nil"/>
              <w:bottom w:val="single" w:sz="8"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23,56%</w:t>
            </w:r>
          </w:p>
        </w:tc>
      </w:tr>
      <w:tr w:rsidR="00EF10D5" w:rsidRPr="00837CDC" w:rsidTr="00193EA4">
        <w:trPr>
          <w:trHeight w:val="332"/>
        </w:trPr>
        <w:tc>
          <w:tcPr>
            <w:tcW w:w="119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color w:val="000000"/>
                <w:sz w:val="20"/>
                <w:szCs w:val="20"/>
                <w:lang w:eastAsia="cs-CZ"/>
              </w:rPr>
              <w:t>JČK</w:t>
            </w:r>
          </w:p>
        </w:tc>
        <w:tc>
          <w:tcPr>
            <w:tcW w:w="85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16,85%</w:t>
            </w:r>
          </w:p>
        </w:tc>
        <w:tc>
          <w:tcPr>
            <w:tcW w:w="85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15,46%</w:t>
            </w:r>
          </w:p>
        </w:tc>
        <w:tc>
          <w:tcPr>
            <w:tcW w:w="85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1,43%</w:t>
            </w:r>
          </w:p>
        </w:tc>
        <w:tc>
          <w:tcPr>
            <w:tcW w:w="85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12,46%</w:t>
            </w:r>
          </w:p>
        </w:tc>
        <w:tc>
          <w:tcPr>
            <w:tcW w:w="85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35,12%</w:t>
            </w:r>
          </w:p>
        </w:tc>
        <w:tc>
          <w:tcPr>
            <w:tcW w:w="85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25,81%</w:t>
            </w:r>
          </w:p>
        </w:tc>
        <w:tc>
          <w:tcPr>
            <w:tcW w:w="92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25,40%</w:t>
            </w:r>
          </w:p>
        </w:tc>
        <w:tc>
          <w:tcPr>
            <w:tcW w:w="92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9,26%</w:t>
            </w:r>
          </w:p>
        </w:tc>
        <w:tc>
          <w:tcPr>
            <w:tcW w:w="92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16,14%</w:t>
            </w:r>
          </w:p>
        </w:tc>
      </w:tr>
      <w:tr w:rsidR="00EF10D5" w:rsidRPr="00837CDC" w:rsidTr="00EF10D5">
        <w:trPr>
          <w:trHeight w:val="332"/>
        </w:trPr>
        <w:tc>
          <w:tcPr>
            <w:tcW w:w="1196" w:type="dxa"/>
            <w:tcBorders>
              <w:top w:val="nil"/>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color w:val="000000"/>
                <w:sz w:val="20"/>
                <w:szCs w:val="20"/>
                <w:lang w:eastAsia="cs-CZ"/>
              </w:rPr>
              <w:t>PLK</w:t>
            </w:r>
          </w:p>
        </w:tc>
        <w:tc>
          <w:tcPr>
            <w:tcW w:w="85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19,28%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18,13%</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1,72%</w:t>
            </w:r>
          </w:p>
        </w:tc>
        <w:tc>
          <w:tcPr>
            <w:tcW w:w="856"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11,81%</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35,62%</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30,16%</w:t>
            </w:r>
          </w:p>
        </w:tc>
        <w:tc>
          <w:tcPr>
            <w:tcW w:w="923"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32,40%</w:t>
            </w:r>
          </w:p>
        </w:tc>
        <w:tc>
          <w:tcPr>
            <w:tcW w:w="923"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10,19%</w:t>
            </w:r>
          </w:p>
        </w:tc>
        <w:tc>
          <w:tcPr>
            <w:tcW w:w="924" w:type="dxa"/>
            <w:tcBorders>
              <w:top w:val="nil"/>
              <w:left w:val="nil"/>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22,20%</w:t>
            </w:r>
          </w:p>
        </w:tc>
      </w:tr>
      <w:tr w:rsidR="00EF10D5" w:rsidRPr="00837CDC" w:rsidTr="00EF10D5">
        <w:trPr>
          <w:trHeight w:val="332"/>
        </w:trPr>
        <w:tc>
          <w:tcPr>
            <w:tcW w:w="1196" w:type="dxa"/>
            <w:tcBorders>
              <w:top w:val="nil"/>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color w:val="000000"/>
                <w:sz w:val="20"/>
                <w:szCs w:val="20"/>
                <w:lang w:eastAsia="cs-CZ"/>
              </w:rPr>
              <w:t>KVK</w:t>
            </w:r>
          </w:p>
        </w:tc>
        <w:tc>
          <w:tcPr>
            <w:tcW w:w="856" w:type="dxa"/>
            <w:tcBorders>
              <w:top w:val="nil"/>
              <w:left w:val="single" w:sz="8"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11,30%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18,95%</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1,55%</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12,98%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33,87%</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50,04%</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41,91%</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11,96%</w:t>
            </w:r>
          </w:p>
        </w:tc>
        <w:tc>
          <w:tcPr>
            <w:tcW w:w="92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29,95%</w:t>
            </w:r>
          </w:p>
        </w:tc>
      </w:tr>
      <w:tr w:rsidR="00EF10D5" w:rsidRPr="00837CDC" w:rsidTr="00EF10D5">
        <w:trPr>
          <w:trHeight w:val="332"/>
        </w:trPr>
        <w:tc>
          <w:tcPr>
            <w:tcW w:w="1196" w:type="dxa"/>
            <w:tcBorders>
              <w:top w:val="nil"/>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color w:val="000000"/>
                <w:sz w:val="20"/>
                <w:szCs w:val="20"/>
                <w:lang w:eastAsia="cs-CZ"/>
              </w:rPr>
              <w:t>ULK</w:t>
            </w:r>
          </w:p>
        </w:tc>
        <w:tc>
          <w:tcPr>
            <w:tcW w:w="856" w:type="dxa"/>
            <w:tcBorders>
              <w:top w:val="nil"/>
              <w:left w:val="single" w:sz="8"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EF10D5">
              <w:rPr>
                <w:rFonts w:eastAsia="Times New Roman" w:cs="Arial"/>
                <w:color w:val="FF0000"/>
                <w:sz w:val="20"/>
                <w:szCs w:val="20"/>
                <w:lang w:eastAsia="cs-CZ"/>
              </w:rPr>
              <w:t>14,48%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18,57%</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1,50%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13,38%</w:t>
            </w:r>
          </w:p>
        </w:tc>
        <w:tc>
          <w:tcPr>
            <w:tcW w:w="856"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31,07%</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45,77%</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45,12%</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13,12%</w:t>
            </w:r>
          </w:p>
        </w:tc>
        <w:tc>
          <w:tcPr>
            <w:tcW w:w="92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32,00%</w:t>
            </w:r>
          </w:p>
        </w:tc>
      </w:tr>
      <w:tr w:rsidR="00EF10D5" w:rsidRPr="00837CDC" w:rsidTr="00EF10D5">
        <w:trPr>
          <w:trHeight w:val="332"/>
        </w:trPr>
        <w:tc>
          <w:tcPr>
            <w:tcW w:w="1196" w:type="dxa"/>
            <w:tcBorders>
              <w:top w:val="nil"/>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color w:val="000000"/>
                <w:sz w:val="20"/>
                <w:szCs w:val="20"/>
                <w:lang w:eastAsia="cs-CZ"/>
              </w:rPr>
              <w:t>LBK</w:t>
            </w:r>
          </w:p>
        </w:tc>
        <w:tc>
          <w:tcPr>
            <w:tcW w:w="856" w:type="dxa"/>
            <w:tcBorders>
              <w:top w:val="nil"/>
              <w:left w:val="single" w:sz="8"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13,78%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20,01%</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1,40%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13,59%</w:t>
            </w:r>
          </w:p>
        </w:tc>
        <w:tc>
          <w:tcPr>
            <w:tcW w:w="856"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30,93%</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33,28%</w:t>
            </w:r>
          </w:p>
        </w:tc>
        <w:tc>
          <w:tcPr>
            <w:tcW w:w="923"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34,78%</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11,44%</w:t>
            </w:r>
          </w:p>
        </w:tc>
        <w:tc>
          <w:tcPr>
            <w:tcW w:w="924" w:type="dxa"/>
            <w:tcBorders>
              <w:top w:val="nil"/>
              <w:left w:val="nil"/>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23,34%</w:t>
            </w:r>
          </w:p>
        </w:tc>
      </w:tr>
      <w:tr w:rsidR="00EF10D5" w:rsidRPr="00837CDC" w:rsidTr="00EF10D5">
        <w:trPr>
          <w:trHeight w:val="332"/>
        </w:trPr>
        <w:tc>
          <w:tcPr>
            <w:tcW w:w="1196" w:type="dxa"/>
            <w:tcBorders>
              <w:top w:val="nil"/>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color w:val="000000"/>
                <w:sz w:val="20"/>
                <w:szCs w:val="20"/>
                <w:lang w:eastAsia="cs-CZ"/>
              </w:rPr>
              <w:t>KHK</w:t>
            </w:r>
          </w:p>
        </w:tc>
        <w:tc>
          <w:tcPr>
            <w:tcW w:w="85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14,81%</w:t>
            </w:r>
          </w:p>
        </w:tc>
        <w:tc>
          <w:tcPr>
            <w:tcW w:w="856"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17,06%</w:t>
            </w:r>
          </w:p>
        </w:tc>
        <w:tc>
          <w:tcPr>
            <w:tcW w:w="857"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1,09%</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13,64%</w:t>
            </w:r>
          </w:p>
        </w:tc>
        <w:tc>
          <w:tcPr>
            <w:tcW w:w="856"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32,83%</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30,46%</w:t>
            </w:r>
          </w:p>
        </w:tc>
        <w:tc>
          <w:tcPr>
            <w:tcW w:w="923"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30,88%</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11,39%</w:t>
            </w:r>
          </w:p>
        </w:tc>
        <w:tc>
          <w:tcPr>
            <w:tcW w:w="924" w:type="dxa"/>
            <w:tcBorders>
              <w:top w:val="nil"/>
              <w:left w:val="nil"/>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19,49%</w:t>
            </w:r>
          </w:p>
        </w:tc>
      </w:tr>
      <w:tr w:rsidR="00EF10D5" w:rsidRPr="00837CDC" w:rsidTr="00EF10D5">
        <w:trPr>
          <w:trHeight w:val="332"/>
        </w:trPr>
        <w:tc>
          <w:tcPr>
            <w:tcW w:w="1196" w:type="dxa"/>
            <w:tcBorders>
              <w:top w:val="nil"/>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color w:val="000000"/>
                <w:sz w:val="20"/>
                <w:szCs w:val="20"/>
                <w:lang w:eastAsia="cs-CZ"/>
              </w:rPr>
              <w:t>PBK</w:t>
            </w:r>
          </w:p>
        </w:tc>
        <w:tc>
          <w:tcPr>
            <w:tcW w:w="85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17,73%</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17,52%</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1,51%</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13,38%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34,50%</w:t>
            </w:r>
          </w:p>
        </w:tc>
        <w:tc>
          <w:tcPr>
            <w:tcW w:w="857"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26,95%</w:t>
            </w:r>
          </w:p>
        </w:tc>
        <w:tc>
          <w:tcPr>
            <w:tcW w:w="923"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26,31%</w:t>
            </w:r>
          </w:p>
        </w:tc>
        <w:tc>
          <w:tcPr>
            <w:tcW w:w="923"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8,96%</w:t>
            </w:r>
          </w:p>
        </w:tc>
        <w:tc>
          <w:tcPr>
            <w:tcW w:w="924" w:type="dxa"/>
            <w:tcBorders>
              <w:top w:val="nil"/>
              <w:left w:val="nil"/>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17,35%</w:t>
            </w:r>
          </w:p>
        </w:tc>
      </w:tr>
      <w:tr w:rsidR="00EF10D5" w:rsidRPr="00837CDC" w:rsidTr="00EF10D5">
        <w:trPr>
          <w:trHeight w:val="332"/>
        </w:trPr>
        <w:tc>
          <w:tcPr>
            <w:tcW w:w="1196" w:type="dxa"/>
            <w:tcBorders>
              <w:top w:val="nil"/>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color w:val="000000"/>
                <w:sz w:val="20"/>
                <w:szCs w:val="20"/>
                <w:lang w:eastAsia="cs-CZ"/>
              </w:rPr>
              <w:t>VYS</w:t>
            </w:r>
          </w:p>
        </w:tc>
        <w:tc>
          <w:tcPr>
            <w:tcW w:w="85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17,90%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17,85%</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1,41%</w:t>
            </w:r>
          </w:p>
        </w:tc>
        <w:tc>
          <w:tcPr>
            <w:tcW w:w="856"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EF10D5">
              <w:rPr>
                <w:rFonts w:eastAsia="Times New Roman" w:cs="Arial"/>
                <w:color w:val="FF0000"/>
                <w:sz w:val="20"/>
                <w:szCs w:val="20"/>
                <w:lang w:eastAsia="cs-CZ"/>
              </w:rPr>
              <w:t>12,38%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34,85%</w:t>
            </w:r>
          </w:p>
        </w:tc>
        <w:tc>
          <w:tcPr>
            <w:tcW w:w="857"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18,28%</w:t>
            </w:r>
          </w:p>
        </w:tc>
        <w:tc>
          <w:tcPr>
            <w:tcW w:w="923"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34,23%</w:t>
            </w:r>
          </w:p>
        </w:tc>
        <w:tc>
          <w:tcPr>
            <w:tcW w:w="923"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9,93%</w:t>
            </w:r>
          </w:p>
        </w:tc>
        <w:tc>
          <w:tcPr>
            <w:tcW w:w="92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24,30%</w:t>
            </w:r>
          </w:p>
        </w:tc>
      </w:tr>
      <w:tr w:rsidR="00EF10D5" w:rsidRPr="00837CDC" w:rsidTr="00EF10D5">
        <w:trPr>
          <w:trHeight w:val="332"/>
        </w:trPr>
        <w:tc>
          <w:tcPr>
            <w:tcW w:w="1196" w:type="dxa"/>
            <w:tcBorders>
              <w:top w:val="nil"/>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color w:val="000000"/>
                <w:sz w:val="20"/>
                <w:szCs w:val="20"/>
                <w:lang w:eastAsia="cs-CZ"/>
              </w:rPr>
              <w:t>JMK</w:t>
            </w:r>
          </w:p>
        </w:tc>
        <w:tc>
          <w:tcPr>
            <w:tcW w:w="856" w:type="dxa"/>
            <w:tcBorders>
              <w:top w:val="nil"/>
              <w:left w:val="single" w:sz="8"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EF10D5">
              <w:rPr>
                <w:rFonts w:eastAsia="Times New Roman" w:cs="Arial"/>
                <w:color w:val="FF0000"/>
                <w:sz w:val="20"/>
                <w:szCs w:val="20"/>
                <w:lang w:eastAsia="cs-CZ"/>
              </w:rPr>
              <w:t>14,51%</w:t>
            </w:r>
          </w:p>
        </w:tc>
        <w:tc>
          <w:tcPr>
            <w:tcW w:w="856"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16,42%</w:t>
            </w:r>
          </w:p>
        </w:tc>
        <w:tc>
          <w:tcPr>
            <w:tcW w:w="857"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1,08%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12,58%</w:t>
            </w:r>
          </w:p>
        </w:tc>
        <w:tc>
          <w:tcPr>
            <w:tcW w:w="856"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31,78%</w:t>
            </w:r>
          </w:p>
        </w:tc>
        <w:tc>
          <w:tcPr>
            <w:tcW w:w="857"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24,97%</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39,54%</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12,56%</w:t>
            </w:r>
          </w:p>
        </w:tc>
        <w:tc>
          <w:tcPr>
            <w:tcW w:w="92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26,99%</w:t>
            </w:r>
          </w:p>
        </w:tc>
      </w:tr>
      <w:tr w:rsidR="00EF10D5" w:rsidRPr="00837CDC" w:rsidTr="00EF10D5">
        <w:trPr>
          <w:trHeight w:val="332"/>
        </w:trPr>
        <w:tc>
          <w:tcPr>
            <w:tcW w:w="1196" w:type="dxa"/>
            <w:tcBorders>
              <w:top w:val="nil"/>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color w:val="000000"/>
                <w:sz w:val="20"/>
                <w:szCs w:val="20"/>
                <w:lang w:eastAsia="cs-CZ"/>
              </w:rPr>
              <w:t>OLK</w:t>
            </w:r>
          </w:p>
        </w:tc>
        <w:tc>
          <w:tcPr>
            <w:tcW w:w="856" w:type="dxa"/>
            <w:tcBorders>
              <w:top w:val="nil"/>
              <w:left w:val="single" w:sz="8"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13,80%</w:t>
            </w:r>
          </w:p>
        </w:tc>
        <w:tc>
          <w:tcPr>
            <w:tcW w:w="856"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16,14%</w:t>
            </w:r>
          </w:p>
        </w:tc>
        <w:tc>
          <w:tcPr>
            <w:tcW w:w="857"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1,14%</w:t>
            </w:r>
          </w:p>
        </w:tc>
        <w:tc>
          <w:tcPr>
            <w:tcW w:w="856"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11,60%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34,83%</w:t>
            </w:r>
          </w:p>
        </w:tc>
        <w:tc>
          <w:tcPr>
            <w:tcW w:w="857"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27,71%</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36,65%</w:t>
            </w:r>
          </w:p>
        </w:tc>
        <w:tc>
          <w:tcPr>
            <w:tcW w:w="923"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10,66%</w:t>
            </w:r>
          </w:p>
        </w:tc>
        <w:tc>
          <w:tcPr>
            <w:tcW w:w="92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25,99%</w:t>
            </w:r>
          </w:p>
        </w:tc>
      </w:tr>
      <w:tr w:rsidR="00EF10D5" w:rsidRPr="00837CDC" w:rsidTr="00EF10D5">
        <w:trPr>
          <w:trHeight w:val="332"/>
        </w:trPr>
        <w:tc>
          <w:tcPr>
            <w:tcW w:w="1196" w:type="dxa"/>
            <w:tcBorders>
              <w:top w:val="nil"/>
              <w:left w:val="single" w:sz="8" w:space="0" w:color="auto"/>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color w:val="000000"/>
                <w:sz w:val="20"/>
                <w:szCs w:val="20"/>
                <w:lang w:eastAsia="cs-CZ"/>
              </w:rPr>
              <w:t>ZLK</w:t>
            </w:r>
          </w:p>
        </w:tc>
        <w:tc>
          <w:tcPr>
            <w:tcW w:w="85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16,63%</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19,42%</w:t>
            </w:r>
          </w:p>
        </w:tc>
        <w:tc>
          <w:tcPr>
            <w:tcW w:w="857"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1,14%</w:t>
            </w:r>
          </w:p>
        </w:tc>
        <w:tc>
          <w:tcPr>
            <w:tcW w:w="856"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12,18%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35,71%</w:t>
            </w:r>
          </w:p>
        </w:tc>
        <w:tc>
          <w:tcPr>
            <w:tcW w:w="857"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18,63%</w:t>
            </w:r>
          </w:p>
        </w:tc>
        <w:tc>
          <w:tcPr>
            <w:tcW w:w="923"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32,38%</w:t>
            </w:r>
          </w:p>
        </w:tc>
        <w:tc>
          <w:tcPr>
            <w:tcW w:w="923" w:type="dxa"/>
            <w:tcBorders>
              <w:top w:val="nil"/>
              <w:left w:val="nil"/>
              <w:bottom w:val="single" w:sz="4"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11,09%</w:t>
            </w:r>
          </w:p>
        </w:tc>
        <w:tc>
          <w:tcPr>
            <w:tcW w:w="924" w:type="dxa"/>
            <w:tcBorders>
              <w:top w:val="nil"/>
              <w:left w:val="nil"/>
              <w:bottom w:val="single" w:sz="4"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21,29%</w:t>
            </w:r>
          </w:p>
        </w:tc>
      </w:tr>
      <w:tr w:rsidR="00EF10D5" w:rsidRPr="00837CDC" w:rsidTr="00EF10D5">
        <w:trPr>
          <w:trHeight w:val="332"/>
        </w:trPr>
        <w:tc>
          <w:tcPr>
            <w:tcW w:w="1196" w:type="dxa"/>
            <w:tcBorders>
              <w:top w:val="nil"/>
              <w:left w:val="single" w:sz="8" w:space="0" w:color="auto"/>
              <w:bottom w:val="single" w:sz="8"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b/>
                <w:bCs/>
                <w:color w:val="000000"/>
                <w:sz w:val="20"/>
                <w:szCs w:val="20"/>
                <w:lang w:eastAsia="cs-CZ"/>
              </w:rPr>
            </w:pPr>
            <w:r w:rsidRPr="00837CDC">
              <w:rPr>
                <w:rFonts w:eastAsia="Times New Roman" w:cs="Arial"/>
                <w:color w:val="000000"/>
                <w:sz w:val="20"/>
                <w:szCs w:val="20"/>
                <w:lang w:eastAsia="cs-CZ"/>
              </w:rPr>
              <w:t>MSK</w:t>
            </w:r>
          </w:p>
        </w:tc>
        <w:tc>
          <w:tcPr>
            <w:tcW w:w="856" w:type="dxa"/>
            <w:tcBorders>
              <w:top w:val="nil"/>
              <w:left w:val="single" w:sz="8" w:space="0" w:color="auto"/>
              <w:bottom w:val="single" w:sz="8"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13,53%</w:t>
            </w:r>
          </w:p>
        </w:tc>
        <w:tc>
          <w:tcPr>
            <w:tcW w:w="856" w:type="dxa"/>
            <w:tcBorders>
              <w:top w:val="nil"/>
              <w:left w:val="nil"/>
              <w:bottom w:val="single" w:sz="8"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15,37%</w:t>
            </w:r>
          </w:p>
        </w:tc>
        <w:tc>
          <w:tcPr>
            <w:tcW w:w="857" w:type="dxa"/>
            <w:tcBorders>
              <w:top w:val="nil"/>
              <w:left w:val="nil"/>
              <w:bottom w:val="single" w:sz="8"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1,12%</w:t>
            </w:r>
          </w:p>
        </w:tc>
        <w:tc>
          <w:tcPr>
            <w:tcW w:w="856" w:type="dxa"/>
            <w:tcBorders>
              <w:top w:val="nil"/>
              <w:left w:val="nil"/>
              <w:bottom w:val="single" w:sz="8"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000000"/>
                <w:sz w:val="20"/>
                <w:szCs w:val="20"/>
                <w:lang w:eastAsia="cs-CZ"/>
              </w:rPr>
            </w:pPr>
            <w:r w:rsidRPr="00837CDC">
              <w:rPr>
                <w:rFonts w:eastAsia="Times New Roman" w:cs="Arial"/>
                <w:color w:val="000000"/>
                <w:sz w:val="20"/>
                <w:szCs w:val="20"/>
                <w:lang w:eastAsia="cs-CZ"/>
              </w:rPr>
              <w:t>11,60%</w:t>
            </w:r>
          </w:p>
        </w:tc>
        <w:tc>
          <w:tcPr>
            <w:tcW w:w="85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35,49%</w:t>
            </w:r>
          </w:p>
        </w:tc>
        <w:tc>
          <w:tcPr>
            <w:tcW w:w="85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33,04%</w:t>
            </w:r>
          </w:p>
        </w:tc>
        <w:tc>
          <w:tcPr>
            <w:tcW w:w="92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46,28%</w:t>
            </w:r>
          </w:p>
        </w:tc>
        <w:tc>
          <w:tcPr>
            <w:tcW w:w="92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12,74%</w:t>
            </w:r>
          </w:p>
        </w:tc>
        <w:tc>
          <w:tcPr>
            <w:tcW w:w="92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837CDC" w:rsidRPr="00837CDC" w:rsidRDefault="00837CDC" w:rsidP="00484D3B">
            <w:pPr>
              <w:spacing w:line="240" w:lineRule="auto"/>
              <w:jc w:val="right"/>
              <w:rPr>
                <w:rFonts w:eastAsia="Times New Roman" w:cs="Arial"/>
                <w:color w:val="FF0000"/>
                <w:sz w:val="20"/>
                <w:szCs w:val="20"/>
                <w:lang w:eastAsia="cs-CZ"/>
              </w:rPr>
            </w:pPr>
            <w:r w:rsidRPr="00837CDC">
              <w:rPr>
                <w:rFonts w:eastAsia="Times New Roman" w:cs="Arial"/>
                <w:color w:val="FF0000"/>
                <w:sz w:val="20"/>
                <w:szCs w:val="20"/>
                <w:lang w:eastAsia="cs-CZ"/>
              </w:rPr>
              <w:t>33,54%</w:t>
            </w:r>
          </w:p>
        </w:tc>
      </w:tr>
    </w:tbl>
    <w:p w:rsidR="00245CB0" w:rsidRDefault="00EF10D5" w:rsidP="00484D3B">
      <w:pPr>
        <w:spacing w:after="200" w:line="240" w:lineRule="auto"/>
        <w:jc w:val="right"/>
        <w:rPr>
          <w:i/>
          <w:sz w:val="20"/>
        </w:rPr>
      </w:pPr>
      <w:r>
        <w:rPr>
          <w:i/>
          <w:sz w:val="20"/>
        </w:rPr>
        <w:t>PZN: červeně zbarveny vyšší než průměrné hodnoty</w:t>
      </w:r>
    </w:p>
    <w:p w:rsidR="00064A77" w:rsidRDefault="00064A77" w:rsidP="00AB0A51">
      <w:pPr>
        <w:pStyle w:val="Titulek"/>
        <w:keepNext/>
      </w:pPr>
    </w:p>
    <w:p w:rsidR="00C635D3" w:rsidRDefault="00C635D3" w:rsidP="00AB0A51">
      <w:pPr>
        <w:pStyle w:val="Titulek"/>
        <w:keepNext/>
      </w:pPr>
      <w:bookmarkStart w:id="28" w:name="_Toc476556303"/>
      <w:r>
        <w:t xml:space="preserve">Tabulka </w:t>
      </w:r>
      <w:r w:rsidR="00AB7C96">
        <w:fldChar w:fldCharType="begin"/>
      </w:r>
      <w:r w:rsidR="00AB7C96">
        <w:instrText xml:space="preserve"> SEQ Tabulka \* ARABIC </w:instrText>
      </w:r>
      <w:r w:rsidR="00AB7C96">
        <w:fldChar w:fldCharType="separate"/>
      </w:r>
      <w:r w:rsidR="004A5D48">
        <w:rPr>
          <w:noProof/>
        </w:rPr>
        <w:t>9</w:t>
      </w:r>
      <w:r w:rsidR="00AB7C96">
        <w:rPr>
          <w:noProof/>
        </w:rPr>
        <w:fldChar w:fldCharType="end"/>
      </w:r>
      <w:r>
        <w:t xml:space="preserve"> Počet a podíl žen ve znevýhodněných skupinách k 31. 12. 2016</w:t>
      </w:r>
      <w:bookmarkEnd w:id="28"/>
    </w:p>
    <w:tbl>
      <w:tblPr>
        <w:tblW w:w="9102" w:type="dxa"/>
        <w:tblInd w:w="6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44"/>
        <w:gridCol w:w="851"/>
        <w:gridCol w:w="850"/>
        <w:gridCol w:w="993"/>
        <w:gridCol w:w="850"/>
        <w:gridCol w:w="851"/>
        <w:gridCol w:w="850"/>
        <w:gridCol w:w="851"/>
        <w:gridCol w:w="900"/>
        <w:gridCol w:w="962"/>
      </w:tblGrid>
      <w:tr w:rsidR="00C95F4D" w:rsidRPr="00837CDC" w:rsidTr="00C95F4D">
        <w:trPr>
          <w:trHeight w:val="356"/>
        </w:trPr>
        <w:tc>
          <w:tcPr>
            <w:tcW w:w="1144" w:type="dxa"/>
            <w:vMerge w:val="restart"/>
          </w:tcPr>
          <w:p w:rsidR="00C635D3" w:rsidRPr="00837CDC" w:rsidRDefault="00C635D3" w:rsidP="00AB0A51">
            <w:pPr>
              <w:spacing w:line="240" w:lineRule="auto"/>
              <w:rPr>
                <w:rFonts w:eastAsia="Times New Roman" w:cs="Arial"/>
                <w:color w:val="000000"/>
                <w:sz w:val="20"/>
                <w:szCs w:val="20"/>
                <w:lang w:eastAsia="cs-CZ"/>
              </w:rPr>
            </w:pPr>
          </w:p>
        </w:tc>
        <w:tc>
          <w:tcPr>
            <w:tcW w:w="851" w:type="dxa"/>
            <w:vMerge w:val="restart"/>
            <w:shd w:val="clear" w:color="auto" w:fill="auto"/>
            <w:vAlign w:val="center"/>
            <w:hideMark/>
          </w:tcPr>
          <w:p w:rsidR="00C635D3" w:rsidRPr="00837CDC" w:rsidRDefault="00C635D3" w:rsidP="001C2CB3">
            <w:pPr>
              <w:spacing w:line="240" w:lineRule="auto"/>
              <w:jc w:val="center"/>
              <w:rPr>
                <w:rFonts w:eastAsia="Times New Roman" w:cs="Arial"/>
                <w:color w:val="000000"/>
                <w:sz w:val="20"/>
                <w:szCs w:val="20"/>
                <w:lang w:eastAsia="cs-CZ"/>
              </w:rPr>
            </w:pPr>
            <w:r w:rsidRPr="00837CDC">
              <w:rPr>
                <w:rFonts w:eastAsia="Times New Roman" w:cs="Arial"/>
                <w:color w:val="000000"/>
                <w:sz w:val="20"/>
                <w:szCs w:val="20"/>
                <w:lang w:eastAsia="cs-CZ"/>
              </w:rPr>
              <w:t>OZP</w:t>
            </w:r>
          </w:p>
        </w:tc>
        <w:tc>
          <w:tcPr>
            <w:tcW w:w="850" w:type="dxa"/>
            <w:vMerge w:val="restart"/>
            <w:shd w:val="clear" w:color="auto" w:fill="auto"/>
            <w:vAlign w:val="center"/>
            <w:hideMark/>
          </w:tcPr>
          <w:p w:rsidR="00C635D3" w:rsidRPr="00837CDC" w:rsidRDefault="00C635D3" w:rsidP="001C2CB3">
            <w:pPr>
              <w:spacing w:line="240" w:lineRule="auto"/>
              <w:jc w:val="center"/>
              <w:rPr>
                <w:rFonts w:eastAsia="Times New Roman" w:cs="Arial"/>
                <w:color w:val="000000"/>
                <w:sz w:val="20"/>
                <w:szCs w:val="20"/>
                <w:lang w:eastAsia="cs-CZ"/>
              </w:rPr>
            </w:pPr>
            <w:r w:rsidRPr="00837CDC">
              <w:rPr>
                <w:rFonts w:eastAsia="Times New Roman" w:cs="Arial"/>
                <w:color w:val="000000"/>
                <w:sz w:val="20"/>
                <w:szCs w:val="20"/>
                <w:lang w:eastAsia="cs-CZ"/>
              </w:rPr>
              <w:t>pečující o děti do 15 let</w:t>
            </w:r>
          </w:p>
        </w:tc>
        <w:tc>
          <w:tcPr>
            <w:tcW w:w="993" w:type="dxa"/>
            <w:vMerge w:val="restart"/>
            <w:shd w:val="clear" w:color="auto" w:fill="auto"/>
            <w:vAlign w:val="center"/>
            <w:hideMark/>
          </w:tcPr>
          <w:p w:rsidR="00C635D3" w:rsidRPr="00837CDC" w:rsidRDefault="00C635D3" w:rsidP="001C2CB3">
            <w:pPr>
              <w:spacing w:line="240" w:lineRule="auto"/>
              <w:jc w:val="center"/>
              <w:rPr>
                <w:rFonts w:eastAsia="Times New Roman" w:cs="Arial"/>
                <w:color w:val="000000"/>
                <w:sz w:val="20"/>
                <w:szCs w:val="20"/>
                <w:lang w:eastAsia="cs-CZ"/>
              </w:rPr>
            </w:pPr>
            <w:r w:rsidRPr="00837CDC">
              <w:rPr>
                <w:rFonts w:eastAsia="Times New Roman" w:cs="Arial"/>
                <w:color w:val="000000"/>
                <w:sz w:val="20"/>
                <w:szCs w:val="20"/>
                <w:lang w:eastAsia="cs-CZ"/>
              </w:rPr>
              <w:t>těhotné kojící, do 9m po porodu</w:t>
            </w:r>
          </w:p>
        </w:tc>
        <w:tc>
          <w:tcPr>
            <w:tcW w:w="850" w:type="dxa"/>
            <w:vMerge w:val="restart"/>
            <w:shd w:val="clear" w:color="auto" w:fill="auto"/>
            <w:vAlign w:val="center"/>
            <w:hideMark/>
          </w:tcPr>
          <w:p w:rsidR="00C635D3" w:rsidRPr="00837CDC" w:rsidRDefault="00C635D3" w:rsidP="001C2CB3">
            <w:pPr>
              <w:spacing w:line="240" w:lineRule="auto"/>
              <w:jc w:val="center"/>
              <w:rPr>
                <w:rFonts w:eastAsia="Times New Roman" w:cs="Arial"/>
                <w:color w:val="000000"/>
                <w:sz w:val="20"/>
                <w:szCs w:val="20"/>
                <w:lang w:eastAsia="cs-CZ"/>
              </w:rPr>
            </w:pPr>
            <w:r w:rsidRPr="00837CDC">
              <w:rPr>
                <w:rFonts w:eastAsia="Times New Roman" w:cs="Arial"/>
                <w:color w:val="000000"/>
                <w:sz w:val="20"/>
                <w:szCs w:val="20"/>
                <w:lang w:eastAsia="cs-CZ"/>
              </w:rPr>
              <w:t>do 25 let</w:t>
            </w:r>
          </w:p>
        </w:tc>
        <w:tc>
          <w:tcPr>
            <w:tcW w:w="851" w:type="dxa"/>
            <w:vMerge w:val="restart"/>
            <w:shd w:val="clear" w:color="auto" w:fill="auto"/>
            <w:vAlign w:val="center"/>
            <w:hideMark/>
          </w:tcPr>
          <w:p w:rsidR="00C635D3" w:rsidRPr="00837CDC" w:rsidRDefault="00C635D3" w:rsidP="001C2CB3">
            <w:pPr>
              <w:spacing w:line="240" w:lineRule="auto"/>
              <w:jc w:val="center"/>
              <w:rPr>
                <w:rFonts w:eastAsia="Times New Roman" w:cs="Arial"/>
                <w:color w:val="000000"/>
                <w:sz w:val="20"/>
                <w:szCs w:val="20"/>
                <w:lang w:eastAsia="cs-CZ"/>
              </w:rPr>
            </w:pPr>
            <w:r w:rsidRPr="00837CDC">
              <w:rPr>
                <w:rFonts w:eastAsia="Times New Roman" w:cs="Arial"/>
                <w:color w:val="000000"/>
                <w:sz w:val="20"/>
                <w:szCs w:val="20"/>
                <w:lang w:eastAsia="cs-CZ"/>
              </w:rPr>
              <w:t>nad 50 let</w:t>
            </w:r>
          </w:p>
        </w:tc>
        <w:tc>
          <w:tcPr>
            <w:tcW w:w="850" w:type="dxa"/>
            <w:vMerge w:val="restart"/>
            <w:shd w:val="clear" w:color="auto" w:fill="auto"/>
            <w:vAlign w:val="center"/>
            <w:hideMark/>
          </w:tcPr>
          <w:p w:rsidR="00C635D3" w:rsidRPr="00837CDC" w:rsidRDefault="00C635D3" w:rsidP="001C2CB3">
            <w:pPr>
              <w:spacing w:line="240" w:lineRule="auto"/>
              <w:jc w:val="center"/>
              <w:rPr>
                <w:rFonts w:eastAsia="Times New Roman" w:cs="Arial"/>
                <w:color w:val="000000"/>
                <w:sz w:val="20"/>
                <w:szCs w:val="20"/>
                <w:lang w:eastAsia="cs-CZ"/>
              </w:rPr>
            </w:pPr>
            <w:r w:rsidRPr="00837CDC">
              <w:rPr>
                <w:rFonts w:eastAsia="Times New Roman" w:cs="Arial"/>
                <w:color w:val="000000"/>
                <w:sz w:val="20"/>
                <w:szCs w:val="20"/>
                <w:lang w:eastAsia="cs-CZ"/>
              </w:rPr>
              <w:t xml:space="preserve">bez </w:t>
            </w:r>
            <w:proofErr w:type="spellStart"/>
            <w:r w:rsidRPr="00837CDC">
              <w:rPr>
                <w:rFonts w:eastAsia="Times New Roman" w:cs="Arial"/>
                <w:color w:val="000000"/>
                <w:sz w:val="20"/>
                <w:szCs w:val="20"/>
                <w:lang w:eastAsia="cs-CZ"/>
              </w:rPr>
              <w:t>vzděl</w:t>
            </w:r>
            <w:proofErr w:type="spellEnd"/>
            <w:r w:rsidRPr="00837CDC">
              <w:rPr>
                <w:rFonts w:eastAsia="Times New Roman" w:cs="Arial"/>
                <w:color w:val="000000"/>
                <w:sz w:val="20"/>
                <w:szCs w:val="20"/>
                <w:lang w:eastAsia="cs-CZ"/>
              </w:rPr>
              <w:t>. nebo se ZŠ</w:t>
            </w:r>
          </w:p>
        </w:tc>
        <w:tc>
          <w:tcPr>
            <w:tcW w:w="2713" w:type="dxa"/>
            <w:gridSpan w:val="3"/>
            <w:shd w:val="clear" w:color="auto" w:fill="auto"/>
            <w:vAlign w:val="center"/>
            <w:hideMark/>
          </w:tcPr>
          <w:p w:rsidR="00C635D3" w:rsidRPr="00837CDC" w:rsidRDefault="00C635D3" w:rsidP="001C2CB3">
            <w:pPr>
              <w:spacing w:line="240" w:lineRule="auto"/>
              <w:jc w:val="center"/>
              <w:rPr>
                <w:rFonts w:eastAsia="Times New Roman" w:cs="Arial"/>
                <w:color w:val="000000"/>
                <w:sz w:val="20"/>
                <w:szCs w:val="20"/>
                <w:lang w:eastAsia="cs-CZ"/>
              </w:rPr>
            </w:pPr>
            <w:r w:rsidRPr="00837CDC">
              <w:rPr>
                <w:rFonts w:eastAsia="Times New Roman" w:cs="Arial"/>
                <w:color w:val="000000"/>
                <w:sz w:val="20"/>
                <w:szCs w:val="20"/>
                <w:lang w:eastAsia="cs-CZ"/>
              </w:rPr>
              <w:t xml:space="preserve">evidence </w:t>
            </w:r>
          </w:p>
        </w:tc>
      </w:tr>
      <w:tr w:rsidR="00C95F4D" w:rsidRPr="00837CDC" w:rsidTr="000D7385">
        <w:trPr>
          <w:trHeight w:val="1105"/>
        </w:trPr>
        <w:tc>
          <w:tcPr>
            <w:tcW w:w="1144" w:type="dxa"/>
            <w:vMerge/>
          </w:tcPr>
          <w:p w:rsidR="00C635D3" w:rsidRPr="00837CDC" w:rsidRDefault="00C635D3" w:rsidP="001C2CB3">
            <w:pPr>
              <w:spacing w:line="240" w:lineRule="auto"/>
              <w:jc w:val="left"/>
              <w:rPr>
                <w:rFonts w:eastAsia="Times New Roman" w:cs="Arial"/>
                <w:color w:val="000000"/>
                <w:sz w:val="20"/>
                <w:szCs w:val="20"/>
                <w:lang w:eastAsia="cs-CZ"/>
              </w:rPr>
            </w:pPr>
          </w:p>
        </w:tc>
        <w:tc>
          <w:tcPr>
            <w:tcW w:w="851" w:type="dxa"/>
            <w:vMerge/>
            <w:vAlign w:val="center"/>
            <w:hideMark/>
          </w:tcPr>
          <w:p w:rsidR="00C635D3" w:rsidRPr="00837CDC" w:rsidRDefault="00C635D3" w:rsidP="001C2CB3">
            <w:pPr>
              <w:spacing w:line="240" w:lineRule="auto"/>
              <w:jc w:val="left"/>
              <w:rPr>
                <w:rFonts w:eastAsia="Times New Roman" w:cs="Arial"/>
                <w:color w:val="000000"/>
                <w:sz w:val="20"/>
                <w:szCs w:val="20"/>
                <w:lang w:eastAsia="cs-CZ"/>
              </w:rPr>
            </w:pPr>
          </w:p>
        </w:tc>
        <w:tc>
          <w:tcPr>
            <w:tcW w:w="850" w:type="dxa"/>
            <w:vMerge/>
            <w:vAlign w:val="center"/>
            <w:hideMark/>
          </w:tcPr>
          <w:p w:rsidR="00C635D3" w:rsidRPr="00837CDC" w:rsidRDefault="00C635D3" w:rsidP="001C2CB3">
            <w:pPr>
              <w:spacing w:line="240" w:lineRule="auto"/>
              <w:jc w:val="left"/>
              <w:rPr>
                <w:rFonts w:eastAsia="Times New Roman" w:cs="Arial"/>
                <w:color w:val="000000"/>
                <w:sz w:val="20"/>
                <w:szCs w:val="20"/>
                <w:lang w:eastAsia="cs-CZ"/>
              </w:rPr>
            </w:pPr>
          </w:p>
        </w:tc>
        <w:tc>
          <w:tcPr>
            <w:tcW w:w="993" w:type="dxa"/>
            <w:vMerge/>
            <w:vAlign w:val="center"/>
            <w:hideMark/>
          </w:tcPr>
          <w:p w:rsidR="00C635D3" w:rsidRPr="00837CDC" w:rsidRDefault="00C635D3" w:rsidP="001C2CB3">
            <w:pPr>
              <w:spacing w:line="240" w:lineRule="auto"/>
              <w:jc w:val="left"/>
              <w:rPr>
                <w:rFonts w:eastAsia="Times New Roman" w:cs="Arial"/>
                <w:color w:val="000000"/>
                <w:sz w:val="20"/>
                <w:szCs w:val="20"/>
                <w:lang w:eastAsia="cs-CZ"/>
              </w:rPr>
            </w:pPr>
          </w:p>
        </w:tc>
        <w:tc>
          <w:tcPr>
            <w:tcW w:w="850" w:type="dxa"/>
            <w:vMerge/>
            <w:vAlign w:val="center"/>
            <w:hideMark/>
          </w:tcPr>
          <w:p w:rsidR="00C635D3" w:rsidRPr="00837CDC" w:rsidRDefault="00C635D3" w:rsidP="001C2CB3">
            <w:pPr>
              <w:spacing w:line="240" w:lineRule="auto"/>
              <w:jc w:val="left"/>
              <w:rPr>
                <w:rFonts w:eastAsia="Times New Roman" w:cs="Arial"/>
                <w:color w:val="000000"/>
                <w:sz w:val="20"/>
                <w:szCs w:val="20"/>
                <w:lang w:eastAsia="cs-CZ"/>
              </w:rPr>
            </w:pPr>
          </w:p>
        </w:tc>
        <w:tc>
          <w:tcPr>
            <w:tcW w:w="851" w:type="dxa"/>
            <w:vMerge/>
            <w:vAlign w:val="center"/>
            <w:hideMark/>
          </w:tcPr>
          <w:p w:rsidR="00C635D3" w:rsidRPr="00837CDC" w:rsidRDefault="00C635D3" w:rsidP="001C2CB3">
            <w:pPr>
              <w:spacing w:line="240" w:lineRule="auto"/>
              <w:jc w:val="left"/>
              <w:rPr>
                <w:rFonts w:eastAsia="Times New Roman" w:cs="Arial"/>
                <w:color w:val="000000"/>
                <w:sz w:val="20"/>
                <w:szCs w:val="20"/>
                <w:lang w:eastAsia="cs-CZ"/>
              </w:rPr>
            </w:pPr>
          </w:p>
        </w:tc>
        <w:tc>
          <w:tcPr>
            <w:tcW w:w="850" w:type="dxa"/>
            <w:vMerge/>
            <w:vAlign w:val="center"/>
            <w:hideMark/>
          </w:tcPr>
          <w:p w:rsidR="00C635D3" w:rsidRPr="00837CDC" w:rsidRDefault="00C635D3" w:rsidP="001C2CB3">
            <w:pPr>
              <w:spacing w:line="240" w:lineRule="auto"/>
              <w:jc w:val="left"/>
              <w:rPr>
                <w:rFonts w:eastAsia="Times New Roman" w:cs="Arial"/>
                <w:color w:val="000000"/>
                <w:sz w:val="20"/>
                <w:szCs w:val="20"/>
                <w:lang w:eastAsia="cs-CZ"/>
              </w:rPr>
            </w:pPr>
          </w:p>
        </w:tc>
        <w:tc>
          <w:tcPr>
            <w:tcW w:w="851" w:type="dxa"/>
            <w:shd w:val="clear" w:color="auto" w:fill="auto"/>
            <w:vAlign w:val="center"/>
            <w:hideMark/>
          </w:tcPr>
          <w:p w:rsidR="00C635D3" w:rsidRPr="00837CDC" w:rsidRDefault="00C635D3" w:rsidP="001C2CB3">
            <w:pPr>
              <w:spacing w:line="240" w:lineRule="auto"/>
              <w:jc w:val="center"/>
              <w:rPr>
                <w:rFonts w:eastAsia="Times New Roman" w:cs="Arial"/>
                <w:color w:val="000000"/>
                <w:sz w:val="20"/>
                <w:szCs w:val="20"/>
                <w:lang w:eastAsia="cs-CZ"/>
              </w:rPr>
            </w:pPr>
            <w:r w:rsidRPr="00837CDC">
              <w:rPr>
                <w:rFonts w:eastAsia="Times New Roman" w:cs="Arial"/>
                <w:color w:val="000000"/>
                <w:sz w:val="20"/>
                <w:szCs w:val="20"/>
                <w:lang w:eastAsia="cs-CZ"/>
              </w:rPr>
              <w:t>nad 12M</w:t>
            </w:r>
          </w:p>
        </w:tc>
        <w:tc>
          <w:tcPr>
            <w:tcW w:w="900" w:type="dxa"/>
            <w:shd w:val="clear" w:color="auto" w:fill="auto"/>
            <w:vAlign w:val="center"/>
            <w:hideMark/>
          </w:tcPr>
          <w:p w:rsidR="00C635D3" w:rsidRPr="00837CDC" w:rsidRDefault="00C635D3" w:rsidP="001C2CB3">
            <w:pPr>
              <w:spacing w:line="240" w:lineRule="auto"/>
              <w:jc w:val="left"/>
              <w:rPr>
                <w:rFonts w:eastAsia="Times New Roman" w:cs="Arial"/>
                <w:color w:val="000000"/>
                <w:sz w:val="20"/>
                <w:szCs w:val="20"/>
                <w:lang w:eastAsia="cs-CZ"/>
              </w:rPr>
            </w:pPr>
            <w:r w:rsidRPr="00837CDC">
              <w:rPr>
                <w:rFonts w:eastAsia="Times New Roman" w:cs="Arial"/>
                <w:color w:val="000000"/>
                <w:sz w:val="20"/>
                <w:szCs w:val="20"/>
                <w:lang w:eastAsia="cs-CZ"/>
              </w:rPr>
              <w:t>12M-24M</w:t>
            </w:r>
          </w:p>
        </w:tc>
        <w:tc>
          <w:tcPr>
            <w:tcW w:w="962" w:type="dxa"/>
            <w:shd w:val="clear" w:color="auto" w:fill="auto"/>
            <w:vAlign w:val="center"/>
            <w:hideMark/>
          </w:tcPr>
          <w:p w:rsidR="00C635D3" w:rsidRPr="00837CDC" w:rsidRDefault="00C635D3" w:rsidP="001C2CB3">
            <w:pPr>
              <w:spacing w:line="240" w:lineRule="auto"/>
              <w:jc w:val="left"/>
              <w:rPr>
                <w:rFonts w:eastAsia="Times New Roman" w:cs="Arial"/>
                <w:color w:val="000000"/>
                <w:sz w:val="20"/>
                <w:szCs w:val="20"/>
                <w:lang w:eastAsia="cs-CZ"/>
              </w:rPr>
            </w:pPr>
            <w:r w:rsidRPr="00837CDC">
              <w:rPr>
                <w:rFonts w:eastAsia="Times New Roman" w:cs="Arial"/>
                <w:color w:val="000000"/>
                <w:sz w:val="20"/>
                <w:szCs w:val="20"/>
                <w:lang w:eastAsia="cs-CZ"/>
              </w:rPr>
              <w:t>nad 24M</w:t>
            </w:r>
          </w:p>
        </w:tc>
      </w:tr>
      <w:tr w:rsidR="00C95F4D" w:rsidRPr="00837CDC" w:rsidTr="000D7385">
        <w:trPr>
          <w:trHeight w:val="390"/>
        </w:trPr>
        <w:tc>
          <w:tcPr>
            <w:tcW w:w="1144" w:type="dxa"/>
          </w:tcPr>
          <w:p w:rsidR="00C95F4D" w:rsidRPr="00837CDC" w:rsidRDefault="00C95F4D" w:rsidP="001C2CB3">
            <w:pPr>
              <w:spacing w:line="240" w:lineRule="auto"/>
              <w:jc w:val="right"/>
              <w:rPr>
                <w:rFonts w:eastAsia="Times New Roman" w:cs="Arial"/>
                <w:b/>
                <w:bCs/>
                <w:color w:val="000000"/>
                <w:sz w:val="20"/>
                <w:szCs w:val="20"/>
                <w:lang w:eastAsia="cs-CZ"/>
              </w:rPr>
            </w:pPr>
            <w:r>
              <w:rPr>
                <w:rFonts w:eastAsia="Times New Roman" w:cs="Arial"/>
                <w:b/>
                <w:bCs/>
                <w:color w:val="000000"/>
                <w:sz w:val="20"/>
                <w:szCs w:val="20"/>
                <w:lang w:eastAsia="cs-CZ"/>
              </w:rPr>
              <w:t>Absolutní počet</w:t>
            </w:r>
          </w:p>
        </w:tc>
        <w:tc>
          <w:tcPr>
            <w:tcW w:w="851"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C95F4D">
              <w:rPr>
                <w:rFonts w:cs="Arial"/>
                <w:sz w:val="20"/>
                <w:szCs w:val="20"/>
              </w:rPr>
              <w:t>27 908</w:t>
            </w:r>
          </w:p>
        </w:tc>
        <w:tc>
          <w:tcPr>
            <w:tcW w:w="850"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C95F4D">
              <w:rPr>
                <w:rFonts w:cs="Arial"/>
                <w:color w:val="000000"/>
                <w:sz w:val="20"/>
                <w:szCs w:val="20"/>
              </w:rPr>
              <w:t>58 033</w:t>
            </w:r>
          </w:p>
        </w:tc>
        <w:tc>
          <w:tcPr>
            <w:tcW w:w="993"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C95F4D">
              <w:rPr>
                <w:rFonts w:cs="Arial"/>
                <w:color w:val="000000"/>
                <w:sz w:val="20"/>
                <w:szCs w:val="20"/>
              </w:rPr>
              <w:t>4 713</w:t>
            </w:r>
          </w:p>
        </w:tc>
        <w:tc>
          <w:tcPr>
            <w:tcW w:w="850"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C95F4D">
              <w:rPr>
                <w:rFonts w:cs="Arial"/>
                <w:color w:val="000000"/>
                <w:sz w:val="20"/>
                <w:szCs w:val="20"/>
              </w:rPr>
              <w:t>21 489</w:t>
            </w:r>
          </w:p>
        </w:tc>
        <w:tc>
          <w:tcPr>
            <w:tcW w:w="851"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C95F4D">
              <w:rPr>
                <w:rFonts w:cs="Arial"/>
                <w:color w:val="000000"/>
                <w:sz w:val="20"/>
                <w:szCs w:val="20"/>
              </w:rPr>
              <w:t>58 800</w:t>
            </w:r>
          </w:p>
        </w:tc>
        <w:tc>
          <w:tcPr>
            <w:tcW w:w="850"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C95F4D">
              <w:rPr>
                <w:rFonts w:cs="Arial"/>
                <w:color w:val="000000"/>
                <w:sz w:val="20"/>
                <w:szCs w:val="20"/>
              </w:rPr>
              <w:t>58 655</w:t>
            </w:r>
          </w:p>
        </w:tc>
        <w:tc>
          <w:tcPr>
            <w:tcW w:w="851"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C95F4D">
              <w:rPr>
                <w:rFonts w:cs="Arial"/>
                <w:color w:val="000000"/>
                <w:sz w:val="20"/>
                <w:szCs w:val="20"/>
              </w:rPr>
              <w:t>78 263</w:t>
            </w:r>
          </w:p>
        </w:tc>
        <w:tc>
          <w:tcPr>
            <w:tcW w:w="900"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C95F4D">
              <w:rPr>
                <w:rFonts w:cs="Arial"/>
                <w:color w:val="000000"/>
                <w:sz w:val="20"/>
                <w:szCs w:val="20"/>
              </w:rPr>
              <w:t>24 775</w:t>
            </w:r>
          </w:p>
        </w:tc>
        <w:tc>
          <w:tcPr>
            <w:tcW w:w="962"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C95F4D">
              <w:rPr>
                <w:rFonts w:cs="Arial"/>
                <w:color w:val="000000"/>
                <w:sz w:val="20"/>
                <w:szCs w:val="20"/>
              </w:rPr>
              <w:t>53 488</w:t>
            </w:r>
          </w:p>
        </w:tc>
      </w:tr>
      <w:tr w:rsidR="00C95F4D" w:rsidRPr="00837CDC" w:rsidTr="000D7385">
        <w:trPr>
          <w:trHeight w:val="390"/>
        </w:trPr>
        <w:tc>
          <w:tcPr>
            <w:tcW w:w="1144" w:type="dxa"/>
          </w:tcPr>
          <w:p w:rsidR="00C95F4D" w:rsidRPr="00837CDC" w:rsidRDefault="00C95F4D" w:rsidP="001C2CB3">
            <w:pPr>
              <w:spacing w:line="240" w:lineRule="auto"/>
              <w:jc w:val="right"/>
              <w:rPr>
                <w:rFonts w:eastAsia="Times New Roman" w:cs="Arial"/>
                <w:b/>
                <w:bCs/>
                <w:color w:val="000000"/>
                <w:sz w:val="20"/>
                <w:szCs w:val="20"/>
                <w:lang w:eastAsia="cs-CZ"/>
              </w:rPr>
            </w:pPr>
            <w:r>
              <w:rPr>
                <w:rFonts w:eastAsia="Times New Roman" w:cs="Arial"/>
                <w:b/>
                <w:bCs/>
                <w:color w:val="000000"/>
                <w:sz w:val="20"/>
                <w:szCs w:val="20"/>
                <w:lang w:eastAsia="cs-CZ"/>
              </w:rPr>
              <w:t>Podíl na skupině</w:t>
            </w:r>
          </w:p>
        </w:tc>
        <w:tc>
          <w:tcPr>
            <w:tcW w:w="851"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sz w:val="20"/>
                <w:szCs w:val="20"/>
              </w:rPr>
              <w:t>51,16%</w:t>
            </w:r>
          </w:p>
        </w:tc>
        <w:tc>
          <w:tcPr>
            <w:tcW w:w="850"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sz w:val="20"/>
                <w:szCs w:val="20"/>
              </w:rPr>
              <w:t>91,10%</w:t>
            </w:r>
          </w:p>
        </w:tc>
        <w:tc>
          <w:tcPr>
            <w:tcW w:w="993"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sz w:val="20"/>
                <w:szCs w:val="20"/>
              </w:rPr>
              <w:t>100,00%</w:t>
            </w:r>
          </w:p>
        </w:tc>
        <w:tc>
          <w:tcPr>
            <w:tcW w:w="850"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sz w:val="20"/>
                <w:szCs w:val="20"/>
              </w:rPr>
              <w:t>45,90%</w:t>
            </w:r>
          </w:p>
        </w:tc>
        <w:tc>
          <w:tcPr>
            <w:tcW w:w="851"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sz w:val="20"/>
                <w:szCs w:val="20"/>
              </w:rPr>
              <w:t>46,17%</w:t>
            </w:r>
          </w:p>
        </w:tc>
        <w:tc>
          <w:tcPr>
            <w:tcW w:w="850"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sz w:val="20"/>
                <w:szCs w:val="20"/>
              </w:rPr>
              <w:t>51,30%</w:t>
            </w:r>
          </w:p>
        </w:tc>
        <w:tc>
          <w:tcPr>
            <w:tcW w:w="851"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sz w:val="20"/>
                <w:szCs w:val="20"/>
              </w:rPr>
              <w:t>54,29%</w:t>
            </w:r>
          </w:p>
        </w:tc>
        <w:tc>
          <w:tcPr>
            <w:tcW w:w="900"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sz w:val="20"/>
                <w:szCs w:val="20"/>
              </w:rPr>
              <w:t>54,75%</w:t>
            </w:r>
          </w:p>
        </w:tc>
        <w:tc>
          <w:tcPr>
            <w:tcW w:w="962"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sz w:val="20"/>
                <w:szCs w:val="20"/>
              </w:rPr>
              <w:t>54,08%</w:t>
            </w:r>
          </w:p>
        </w:tc>
      </w:tr>
      <w:tr w:rsidR="00C95F4D" w:rsidRPr="00837CDC" w:rsidTr="000D7385">
        <w:trPr>
          <w:trHeight w:val="390"/>
        </w:trPr>
        <w:tc>
          <w:tcPr>
            <w:tcW w:w="1144" w:type="dxa"/>
          </w:tcPr>
          <w:p w:rsidR="00C95F4D" w:rsidRDefault="00C95F4D" w:rsidP="00C635D3">
            <w:pPr>
              <w:spacing w:line="240" w:lineRule="auto"/>
              <w:jc w:val="right"/>
              <w:rPr>
                <w:rFonts w:eastAsia="Times New Roman" w:cs="Arial"/>
                <w:b/>
                <w:bCs/>
                <w:color w:val="000000"/>
                <w:sz w:val="20"/>
                <w:szCs w:val="20"/>
                <w:lang w:eastAsia="cs-CZ"/>
              </w:rPr>
            </w:pPr>
            <w:r>
              <w:rPr>
                <w:rFonts w:eastAsia="Times New Roman" w:cs="Arial"/>
                <w:b/>
                <w:bCs/>
                <w:color w:val="000000"/>
                <w:sz w:val="20"/>
                <w:szCs w:val="20"/>
                <w:lang w:eastAsia="cs-CZ"/>
              </w:rPr>
              <w:t xml:space="preserve">Podíl na </w:t>
            </w:r>
            <w:proofErr w:type="spellStart"/>
            <w:r>
              <w:rPr>
                <w:rFonts w:eastAsia="Times New Roman" w:cs="Arial"/>
                <w:b/>
                <w:bCs/>
                <w:color w:val="000000"/>
                <w:sz w:val="20"/>
                <w:szCs w:val="20"/>
                <w:lang w:eastAsia="cs-CZ"/>
              </w:rPr>
              <w:t>UoZ</w:t>
            </w:r>
            <w:proofErr w:type="spellEnd"/>
          </w:p>
        </w:tc>
        <w:tc>
          <w:tcPr>
            <w:tcW w:w="851"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sz w:val="20"/>
                <w:szCs w:val="20"/>
              </w:rPr>
              <w:t>14,54%</w:t>
            </w:r>
          </w:p>
        </w:tc>
        <w:tc>
          <w:tcPr>
            <w:tcW w:w="850"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color w:val="000000"/>
                <w:sz w:val="20"/>
                <w:szCs w:val="20"/>
              </w:rPr>
              <w:t>30,23%</w:t>
            </w:r>
          </w:p>
        </w:tc>
        <w:tc>
          <w:tcPr>
            <w:tcW w:w="993"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color w:val="000000"/>
                <w:sz w:val="20"/>
                <w:szCs w:val="20"/>
              </w:rPr>
              <w:t>2,45%</w:t>
            </w:r>
          </w:p>
        </w:tc>
        <w:tc>
          <w:tcPr>
            <w:tcW w:w="850"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color w:val="000000"/>
                <w:sz w:val="20"/>
                <w:szCs w:val="20"/>
              </w:rPr>
              <w:t>11,19%</w:t>
            </w:r>
          </w:p>
        </w:tc>
        <w:tc>
          <w:tcPr>
            <w:tcW w:w="851"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color w:val="000000"/>
                <w:sz w:val="20"/>
                <w:szCs w:val="20"/>
              </w:rPr>
              <w:t>30,63%</w:t>
            </w:r>
          </w:p>
        </w:tc>
        <w:tc>
          <w:tcPr>
            <w:tcW w:w="850"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color w:val="000000"/>
                <w:sz w:val="20"/>
                <w:szCs w:val="20"/>
              </w:rPr>
              <w:t>30,55%</w:t>
            </w:r>
          </w:p>
        </w:tc>
        <w:tc>
          <w:tcPr>
            <w:tcW w:w="851"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color w:val="000000"/>
                <w:sz w:val="20"/>
                <w:szCs w:val="20"/>
              </w:rPr>
              <w:t>40,76%</w:t>
            </w:r>
          </w:p>
        </w:tc>
        <w:tc>
          <w:tcPr>
            <w:tcW w:w="900"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color w:val="000000"/>
                <w:sz w:val="20"/>
                <w:szCs w:val="20"/>
              </w:rPr>
              <w:t>12,90%</w:t>
            </w:r>
          </w:p>
        </w:tc>
        <w:tc>
          <w:tcPr>
            <w:tcW w:w="962" w:type="dxa"/>
            <w:shd w:val="clear" w:color="auto" w:fill="auto"/>
            <w:noWrap/>
            <w:vAlign w:val="center"/>
          </w:tcPr>
          <w:p w:rsidR="00C95F4D" w:rsidRPr="00C95F4D" w:rsidRDefault="00C95F4D" w:rsidP="00AB0A51">
            <w:pPr>
              <w:spacing w:line="240" w:lineRule="auto"/>
              <w:jc w:val="center"/>
              <w:rPr>
                <w:rFonts w:eastAsia="Times New Roman" w:cs="Arial"/>
                <w:b/>
                <w:bCs/>
                <w:color w:val="000000"/>
                <w:sz w:val="20"/>
                <w:szCs w:val="20"/>
                <w:lang w:eastAsia="cs-CZ"/>
              </w:rPr>
            </w:pPr>
            <w:r w:rsidRPr="00AB0A51">
              <w:rPr>
                <w:rFonts w:cs="Arial"/>
                <w:color w:val="000000"/>
                <w:sz w:val="20"/>
                <w:szCs w:val="20"/>
              </w:rPr>
              <w:t>27,86%</w:t>
            </w:r>
          </w:p>
        </w:tc>
      </w:tr>
    </w:tbl>
    <w:p w:rsidR="001C2CB3" w:rsidRDefault="001C2CB3" w:rsidP="00484D3B">
      <w:pPr>
        <w:spacing w:after="200" w:line="240" w:lineRule="auto"/>
        <w:jc w:val="right"/>
        <w:rPr>
          <w:sz w:val="20"/>
        </w:rPr>
      </w:pPr>
    </w:p>
    <w:p w:rsidR="00064A77" w:rsidRPr="00AB0A51" w:rsidRDefault="00064A77" w:rsidP="00575F2F">
      <w:pPr>
        <w:spacing w:line="240" w:lineRule="auto"/>
      </w:pPr>
      <w:r>
        <w:t>Jak ukazuje tabulka výše, je zastoupení žen v rizikových skupinách mírně vyšší než v případě mužů. Nejzásadnějším faktorem, který limituje ženy v přístupu na trh práce je však péče o dítě, v této skupině ženy naprosto dominují, naopak méně zastoupeny jsou mezi uchazeči o zaměstnání do 25 let a nad 50 let věku, což na jedné straně může být důsledkem vyšší ekonomické neaktivity žen na obou stranách věkového spektra.</w:t>
      </w:r>
    </w:p>
    <w:p w:rsidR="00344370" w:rsidRDefault="00344370" w:rsidP="00484D3B">
      <w:pPr>
        <w:pStyle w:val="Titulek"/>
        <w:keepNext/>
      </w:pPr>
      <w:bookmarkStart w:id="29" w:name="_Toc476556285"/>
      <w:r>
        <w:t xml:space="preserve">Graf č.: </w:t>
      </w:r>
      <w:r w:rsidR="00AB7C96">
        <w:fldChar w:fldCharType="begin"/>
      </w:r>
      <w:r w:rsidR="00AB7C96">
        <w:instrText xml:space="preserve"> SEQ Graf_č.: \* ARABIC </w:instrText>
      </w:r>
      <w:r w:rsidR="00AB7C96">
        <w:fldChar w:fldCharType="separate"/>
      </w:r>
      <w:r w:rsidR="004A5D48">
        <w:rPr>
          <w:noProof/>
        </w:rPr>
        <w:t>8</w:t>
      </w:r>
      <w:r w:rsidR="00AB7C96">
        <w:rPr>
          <w:noProof/>
        </w:rPr>
        <w:fldChar w:fldCharType="end"/>
      </w:r>
      <w:r>
        <w:t xml:space="preserve"> Podíly znevýhodněných </w:t>
      </w:r>
      <w:proofErr w:type="spellStart"/>
      <w:r>
        <w:t>UoZ</w:t>
      </w:r>
      <w:proofErr w:type="spellEnd"/>
      <w:r>
        <w:t xml:space="preserve"> v krajích k 31. 12. 2016 (kumulovaně)</w:t>
      </w:r>
      <w:bookmarkEnd w:id="29"/>
    </w:p>
    <w:p w:rsidR="00344370" w:rsidRDefault="00344370" w:rsidP="00484D3B">
      <w:pPr>
        <w:spacing w:after="200" w:line="240" w:lineRule="auto"/>
      </w:pPr>
      <w:r>
        <w:rPr>
          <w:noProof/>
          <w:lang w:eastAsia="cs-CZ"/>
        </w:rPr>
        <w:drawing>
          <wp:inline distT="0" distB="0" distL="0" distR="0" wp14:anchorId="47C9A409" wp14:editId="1DA6B79A">
            <wp:extent cx="5760720" cy="2913686"/>
            <wp:effectExtent l="0" t="0" r="11430" b="2032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8515D" w:rsidRDefault="00837CDC" w:rsidP="00484D3B">
      <w:pPr>
        <w:spacing w:after="200" w:line="240" w:lineRule="auto"/>
      </w:pPr>
      <w:r>
        <w:t xml:space="preserve">Přestože v průběhu sledovaného období oproti období předcházejícímu došlo k mírnému nárůstu absolutního počtu uchazečů o zaměstnání, </w:t>
      </w:r>
      <w:r w:rsidR="002E7DE6" w:rsidRPr="000F473F">
        <w:rPr>
          <w:b/>
        </w:rPr>
        <w:t>lze za významně pozitivní označit skutečnost, že klesá jak relativní, tak absolutní počet dlouhodobě nezaměstnaných osob, a to významným způsobem.</w:t>
      </w:r>
      <w:r w:rsidR="002E7DE6">
        <w:t xml:space="preserve"> Podíl uchazečů o zaměstnání hledajících zaměstnání déle než 12 měsíců poklesl ze</w:t>
      </w:r>
      <w:r w:rsidR="0091421A">
        <w:t xml:space="preserve"> 40,79 % k 30.</w:t>
      </w:r>
      <w:r w:rsidR="003015EB">
        <w:t> </w:t>
      </w:r>
      <w:r w:rsidR="0091421A">
        <w:t>9. </w:t>
      </w:r>
      <w:r w:rsidR="002E7DE6">
        <w:t xml:space="preserve">2016 na 37,8 % k 31. 12. 2016. V absolutním počtu došlo k úbytku o více než 10 000 osob, přičemž nejmarkantněji se tento úbytek projevil ve skupině s extrémně dlouhodobou nezaměstnaností (nad 24 měsíců), kdy její podíl na celkovém počtu uchazečů o zaměstnání poklesl o </w:t>
      </w:r>
      <w:r w:rsidR="00451647">
        <w:t>více než 2,</w:t>
      </w:r>
      <w:r w:rsidR="002E7DE6">
        <w:t>3 p. b., v absolutním počtu se tato skupin</w:t>
      </w:r>
      <w:r w:rsidR="003015EB">
        <w:t>a</w:t>
      </w:r>
      <w:r w:rsidR="002E7DE6">
        <w:t xml:space="preserve"> ztenčila o 8 000 osob. Ze vš</w:t>
      </w:r>
      <w:r w:rsidR="008D5084">
        <w:t>ech znevýhodněných skupin šlo o </w:t>
      </w:r>
      <w:r w:rsidR="002E7DE6">
        <w:t>druhý nejvýznamnější úbytek.</w:t>
      </w:r>
      <w:r w:rsidR="00447DE6">
        <w:t xml:space="preserve"> </w:t>
      </w:r>
      <w:r w:rsidR="00344370">
        <w:rPr>
          <w:b/>
        </w:rPr>
        <w:t>Lze tedy usuzovat, že trh práce je aktuálně schopen vstřebávat i osoby dlouhodobě nezaměstnané</w:t>
      </w:r>
      <w:r w:rsidR="00920BB4">
        <w:rPr>
          <w:b/>
        </w:rPr>
        <w:t>,</w:t>
      </w:r>
      <w:r w:rsidR="00344370">
        <w:t xml:space="preserve"> a to za současné absorpce sezónních pracovníků.</w:t>
      </w:r>
      <w:r w:rsidR="00D2661E">
        <w:t xml:space="preserve"> </w:t>
      </w:r>
      <w:r w:rsidR="0028515D">
        <w:t>Vývoj struktury uchazečů o zaměstnání podle doby jejich nezaměstnanosti ukazuje následující graf</w:t>
      </w:r>
      <w:r w:rsidR="00D2661E">
        <w:t>.</w:t>
      </w:r>
    </w:p>
    <w:p w:rsidR="00447DE6" w:rsidRDefault="00447DE6" w:rsidP="00484D3B">
      <w:pPr>
        <w:pStyle w:val="Titulek"/>
        <w:keepNext/>
      </w:pPr>
      <w:bookmarkStart w:id="30" w:name="_Toc476556286"/>
      <w:r>
        <w:t xml:space="preserve">Graf č.: </w:t>
      </w:r>
      <w:r w:rsidR="00AB7C96">
        <w:fldChar w:fldCharType="begin"/>
      </w:r>
      <w:r w:rsidR="00AB7C96">
        <w:instrText xml:space="preserve"> SEQ Graf_č.: \* ARABIC </w:instrText>
      </w:r>
      <w:r w:rsidR="00AB7C96">
        <w:fldChar w:fldCharType="separate"/>
      </w:r>
      <w:r w:rsidR="004A5D48">
        <w:rPr>
          <w:noProof/>
        </w:rPr>
        <w:t>9</w:t>
      </w:r>
      <w:r w:rsidR="00AB7C96">
        <w:rPr>
          <w:noProof/>
        </w:rPr>
        <w:fldChar w:fldCharType="end"/>
      </w:r>
      <w:r>
        <w:t xml:space="preserve"> Struktura </w:t>
      </w:r>
      <w:proofErr w:type="spellStart"/>
      <w:r>
        <w:t>UoZ</w:t>
      </w:r>
      <w:proofErr w:type="spellEnd"/>
      <w:r>
        <w:t xml:space="preserve"> podle délky nezaměstnanosti (srovnání ČR, kraje)</w:t>
      </w:r>
      <w:bookmarkEnd w:id="30"/>
    </w:p>
    <w:p w:rsidR="0028515D" w:rsidRDefault="000B2593" w:rsidP="00484D3B">
      <w:pPr>
        <w:tabs>
          <w:tab w:val="left" w:pos="851"/>
          <w:tab w:val="left" w:pos="8789"/>
        </w:tabs>
        <w:spacing w:after="200" w:line="240" w:lineRule="auto"/>
        <w:rPr>
          <w:noProof/>
          <w:lang w:eastAsia="cs-CZ"/>
        </w:rPr>
      </w:pPr>
      <w:r>
        <w:rPr>
          <w:noProof/>
          <w:lang w:eastAsia="cs-CZ"/>
        </w:rPr>
        <w:drawing>
          <wp:inline distT="0" distB="0" distL="0" distR="0" wp14:anchorId="1FDE499E" wp14:editId="2DBAEE7E">
            <wp:extent cx="5760720" cy="1567876"/>
            <wp:effectExtent l="0" t="0" r="11430" b="1333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D3AE4" w:rsidRPr="002D3AE4" w:rsidRDefault="002D3AE4" w:rsidP="00484D3B">
      <w:pPr>
        <w:tabs>
          <w:tab w:val="left" w:pos="851"/>
          <w:tab w:val="left" w:pos="8789"/>
        </w:tabs>
        <w:spacing w:after="200" w:line="240" w:lineRule="auto"/>
        <w:rPr>
          <w:i/>
          <w:sz w:val="20"/>
        </w:rPr>
      </w:pPr>
      <w:r w:rsidRPr="002D3AE4">
        <w:rPr>
          <w:i/>
          <w:sz w:val="20"/>
        </w:rPr>
        <w:t>PZN:</w:t>
      </w:r>
      <w:r>
        <w:rPr>
          <w:i/>
          <w:sz w:val="20"/>
        </w:rPr>
        <w:t xml:space="preserve"> Čísla v grafu </w:t>
      </w:r>
      <w:r w:rsidR="00FD6F92">
        <w:rPr>
          <w:i/>
          <w:sz w:val="20"/>
        </w:rPr>
        <w:t xml:space="preserve">níže </w:t>
      </w:r>
      <w:r>
        <w:rPr>
          <w:i/>
          <w:sz w:val="20"/>
        </w:rPr>
        <w:t xml:space="preserve">ukazují absolutní počty v jednotlivých kategoriích, graf níže ukazuje strukturu </w:t>
      </w:r>
      <w:proofErr w:type="spellStart"/>
      <w:r>
        <w:rPr>
          <w:i/>
          <w:sz w:val="20"/>
        </w:rPr>
        <w:t>UoZ</w:t>
      </w:r>
      <w:proofErr w:type="spellEnd"/>
      <w:r>
        <w:rPr>
          <w:i/>
          <w:sz w:val="20"/>
        </w:rPr>
        <w:t xml:space="preserve"> podle doby nezaměstnanosti v krajích ČR k 31. 12. 2016, legenda shodná s grafem výše</w:t>
      </w:r>
      <w:r w:rsidR="00FD6F92">
        <w:rPr>
          <w:i/>
          <w:sz w:val="20"/>
        </w:rPr>
        <w:t>.</w:t>
      </w:r>
    </w:p>
    <w:p w:rsidR="0028515D" w:rsidRDefault="00447DE6" w:rsidP="00484D3B">
      <w:pPr>
        <w:tabs>
          <w:tab w:val="left" w:pos="851"/>
          <w:tab w:val="left" w:pos="8789"/>
        </w:tabs>
        <w:spacing w:after="200" w:line="240" w:lineRule="auto"/>
      </w:pPr>
      <w:r>
        <w:rPr>
          <w:noProof/>
          <w:lang w:eastAsia="cs-CZ"/>
        </w:rPr>
        <w:drawing>
          <wp:inline distT="0" distB="0" distL="0" distR="0" wp14:anchorId="775C252C" wp14:editId="250AFB2D">
            <wp:extent cx="5762625" cy="3114675"/>
            <wp:effectExtent l="0" t="0" r="9525" b="952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E7DE6" w:rsidRDefault="002E7DE6" w:rsidP="00484D3B">
      <w:pPr>
        <w:spacing w:after="200" w:line="240" w:lineRule="auto"/>
      </w:pPr>
      <w:r>
        <w:t>Výrazně rovněž klesá jak v</w:t>
      </w:r>
      <w:r w:rsidR="003015EB">
        <w:t> </w:t>
      </w:r>
      <w:r>
        <w:t>absolutním</w:t>
      </w:r>
      <w:r w:rsidR="003015EB">
        <w:t>,</w:t>
      </w:r>
      <w:r>
        <w:t xml:space="preserve"> tak relativním vyjádření četnost znevýhodněných osob do 25 let, což však může být dáno rovněž vyšší výchozí základnou v důsledku vstupu absolventů škol do evidence uchazečů o zaměstnání v průběhu měsíce září s následným vstupem do zaměstnání. Naopak významně vzrostlo zastoupení osob pečujících o dítě a osob ve skupině těhotných a kojících žen a žen do 9 měsíců po porodu. Nárůst bylo možné sledovat i v případě osob starších 50 let, nicméně s ohledem na poměrně význačné zastoupení starších osob v evidenci uchazečů o zaměstnání, není tento nárůst nikterak dramatický.</w:t>
      </w:r>
    </w:p>
    <w:p w:rsidR="00245CB0" w:rsidRDefault="00FB743A" w:rsidP="00484D3B">
      <w:pPr>
        <w:spacing w:after="200" w:line="240" w:lineRule="auto"/>
      </w:pPr>
      <w:r>
        <w:t>Naopak v posledním roce významněji narůstá podíl i počet osob pečujících o dítě do 15 let věku</w:t>
      </w:r>
      <w:r w:rsidR="00920BB4">
        <w:t>,</w:t>
      </w:r>
      <w:r>
        <w:t xml:space="preserve"> a to zejména od září loňského roku, kdy z počtu necelých 50 000 uchazečů o zaměstnání (49 386) narostla po</w:t>
      </w:r>
      <w:r w:rsidR="00363831">
        <w:t>četnost této skupiny uchazečů o </w:t>
      </w:r>
      <w:r>
        <w:t>zaměstnání na 63 700 osob v prosinci 2016. Přestože se jedná o relativně krátké období na usuzování trvalejšího trendu, lze tuto skutečnost vysvětlit návratem na trh práce silných ročníků ze 70. let (tzv. „Husákov</w:t>
      </w:r>
      <w:r w:rsidR="00D76537">
        <w:t>y</w:t>
      </w:r>
      <w:r>
        <w:t xml:space="preserve"> děti“) po uplynutí rodičovské dovolené, zejména tedy žen</w:t>
      </w:r>
      <w:r>
        <w:rPr>
          <w:rStyle w:val="Znakapoznpodarou"/>
        </w:rPr>
        <w:footnoteReference w:id="7"/>
      </w:r>
      <w:r>
        <w:t>. Rovněž lze usuzovat v této souvislosti na dozvuky hospodářské recese projevující se zánikem těch pracovních pozic, ze kterých na rodičovskou dovolenou tyto osoby odcházely.</w:t>
      </w:r>
    </w:p>
    <w:p w:rsidR="005C27F3" w:rsidRDefault="005C27F3" w:rsidP="00484D3B">
      <w:pPr>
        <w:pStyle w:val="Titulek"/>
        <w:keepNext/>
      </w:pPr>
      <w:bookmarkStart w:id="31" w:name="_Toc476556304"/>
      <w:r>
        <w:t xml:space="preserve">Tabulka </w:t>
      </w:r>
      <w:r w:rsidR="00AB7C96">
        <w:fldChar w:fldCharType="begin"/>
      </w:r>
      <w:r w:rsidR="00AB7C96">
        <w:instrText xml:space="preserve"> SEQ Tabulka \* ARABIC </w:instrText>
      </w:r>
      <w:r w:rsidR="00AB7C96">
        <w:fldChar w:fldCharType="separate"/>
      </w:r>
      <w:r w:rsidR="004A5D48">
        <w:rPr>
          <w:noProof/>
        </w:rPr>
        <w:t>10</w:t>
      </w:r>
      <w:r w:rsidR="00AB7C96">
        <w:rPr>
          <w:noProof/>
        </w:rPr>
        <w:fldChar w:fldCharType="end"/>
      </w:r>
      <w:r>
        <w:t xml:space="preserve"> Vzdělanostní struktura </w:t>
      </w:r>
      <w:proofErr w:type="spellStart"/>
      <w:r>
        <w:t>UoZ</w:t>
      </w:r>
      <w:proofErr w:type="spellEnd"/>
      <w:r>
        <w:t xml:space="preserve"> podle krajů k 31. 12. 2016</w:t>
      </w:r>
      <w:bookmarkEnd w:id="31"/>
    </w:p>
    <w:p w:rsidR="005C27F3" w:rsidRDefault="005C27F3" w:rsidP="00484D3B">
      <w:pPr>
        <w:spacing w:after="200" w:line="240" w:lineRule="auto"/>
      </w:pPr>
      <w:r>
        <w:rPr>
          <w:noProof/>
          <w:lang w:eastAsia="cs-CZ"/>
        </w:rPr>
        <w:drawing>
          <wp:inline distT="0" distB="0" distL="0" distR="0" wp14:anchorId="3152C04B" wp14:editId="4EA7DA02">
            <wp:extent cx="5724525" cy="4581525"/>
            <wp:effectExtent l="0" t="0" r="9525" b="952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D05DF" w:rsidRDefault="00F861DB" w:rsidP="00484D3B">
      <w:pPr>
        <w:spacing w:after="200" w:line="240" w:lineRule="auto"/>
      </w:pPr>
      <w:r>
        <w:t>V evidenci uchazečů o zaměstnání jsou dlouhodobě nejvýznamně</w:t>
      </w:r>
      <w:r w:rsidR="00FD773D">
        <w:t>ji zastoupeny osoby se středním</w:t>
      </w:r>
      <w:r>
        <w:t xml:space="preserve"> vzděláním, zejména se středním odborným vzděláním s vyučením. Podíl této skupiny oproti stavu k 30. 9. 2016 mírně narostl </w:t>
      </w:r>
      <w:r w:rsidR="00FD773D">
        <w:t xml:space="preserve">o 2,5 p. b </w:t>
      </w:r>
      <w:r>
        <w:t xml:space="preserve">na </w:t>
      </w:r>
      <w:r w:rsidR="00FD773D">
        <w:t xml:space="preserve">hodnotu </w:t>
      </w:r>
      <w:r>
        <w:t>36,84 %</w:t>
      </w:r>
      <w:r w:rsidR="00FD773D">
        <w:t>. Druhou nejvýznamnější, a zároveň z pohledu kvalifika</w:t>
      </w:r>
      <w:r w:rsidR="003015EB">
        <w:t>ce špatně uplatnitelnou, skupin</w:t>
      </w:r>
      <w:r w:rsidR="00FD773D">
        <w:t>u uchazečů o zaměstnání tvoří osoby s nejvýše dosaženým základním vzděláním, jejíž podíl činil k 31. 12. 2016 téměř 30 %. Nízké vzdělání uchazečů o zaměstnání</w:t>
      </w:r>
      <w:r w:rsidR="00FD05DF">
        <w:t xml:space="preserve"> je problematické zejména v Karlovarském a Ústeckém kraji. Podíl osob s nízkým vzděláním na </w:t>
      </w:r>
      <w:r w:rsidR="00273A07">
        <w:t xml:space="preserve">počtu </w:t>
      </w:r>
      <w:r w:rsidR="00FD05DF">
        <w:t>uchazeč</w:t>
      </w:r>
      <w:r w:rsidR="00273A07">
        <w:t>ů</w:t>
      </w:r>
      <w:r w:rsidR="00FD05DF">
        <w:t xml:space="preserve"> o zaměstnání významně překračuje poměrné zastoupení této skupiny v populaci, a to dlouhodobě.</w:t>
      </w:r>
    </w:p>
    <w:p w:rsidR="005C27F3" w:rsidRDefault="00FD773D" w:rsidP="00484D3B">
      <w:pPr>
        <w:spacing w:after="200" w:line="240" w:lineRule="auto"/>
      </w:pPr>
      <w:r>
        <w:t>Oproti stavu minulé zprávy sice podíl této skupiny mírně poklesl, a to 0,4 p. b., nicméně tento pokles je zcela zanedbatelný. Uvnitř této skupiny však lze indikovat problém postupného nárůstu osob bez vzdělání nebo s nedokončeným základním vzděláním</w:t>
      </w:r>
      <w:r w:rsidR="00920BB4">
        <w:t>,</w:t>
      </w:r>
      <w:r>
        <w:t xml:space="preserve"> a to zejména v některých regionech. Zcela markantní je vysoké zastoupení této na trhu práce velmi rizikové skupiny v Karlovarském kraji (31,96 % uchazečů o zaměstnání, nárůst oproti předcházejícímu období o 0,4 p. b.) následovaném s výrazným odstupem krajem Ústeckým a Libereckým</w:t>
      </w:r>
      <w:r w:rsidR="00FD05DF">
        <w:t>.</w:t>
      </w:r>
    </w:p>
    <w:p w:rsidR="008D5084" w:rsidRDefault="008D5084">
      <w:pPr>
        <w:spacing w:after="200"/>
        <w:jc w:val="left"/>
      </w:pPr>
      <w:r>
        <w:br w:type="page"/>
      </w:r>
    </w:p>
    <w:p w:rsidR="00286F14" w:rsidRDefault="00286F14" w:rsidP="00484D3B">
      <w:pPr>
        <w:pStyle w:val="Nadpis3"/>
      </w:pPr>
      <w:bookmarkStart w:id="32" w:name="_Toc476556232"/>
      <w:r>
        <w:t xml:space="preserve">Podíl </w:t>
      </w:r>
      <w:proofErr w:type="spellStart"/>
      <w:r>
        <w:t>UoZ</w:t>
      </w:r>
      <w:proofErr w:type="spellEnd"/>
      <w:r>
        <w:t xml:space="preserve"> s </w:t>
      </w:r>
      <w:proofErr w:type="spellStart"/>
      <w:r>
        <w:t>PvN</w:t>
      </w:r>
      <w:bookmarkEnd w:id="32"/>
      <w:proofErr w:type="spellEnd"/>
    </w:p>
    <w:p w:rsidR="00286F14" w:rsidRPr="00286F14" w:rsidRDefault="00286F14" w:rsidP="00484D3B">
      <w:pPr>
        <w:pStyle w:val="Odstavecseseznamem"/>
        <w:keepNext/>
        <w:keepLines/>
        <w:numPr>
          <w:ilvl w:val="0"/>
          <w:numId w:val="12"/>
        </w:numPr>
        <w:spacing w:before="200" w:after="200" w:line="240" w:lineRule="auto"/>
        <w:contextualSpacing w:val="0"/>
        <w:outlineLvl w:val="2"/>
        <w:rPr>
          <w:rFonts w:eastAsiaTheme="majorEastAsia" w:cstheme="majorBidi"/>
          <w:bCs/>
          <w:i/>
          <w:vanish/>
        </w:rPr>
      </w:pPr>
      <w:bookmarkStart w:id="33" w:name="_Toc475457698"/>
      <w:bookmarkStart w:id="34" w:name="_Toc475460352"/>
      <w:bookmarkStart w:id="35" w:name="_Toc475460413"/>
      <w:bookmarkStart w:id="36" w:name="_Toc475460561"/>
      <w:bookmarkStart w:id="37" w:name="_Toc475460872"/>
      <w:bookmarkStart w:id="38" w:name="_Toc475526310"/>
      <w:bookmarkStart w:id="39" w:name="_Toc475605024"/>
      <w:bookmarkStart w:id="40" w:name="_Toc475605272"/>
      <w:bookmarkStart w:id="41" w:name="_Toc475605392"/>
      <w:bookmarkStart w:id="42" w:name="_Toc475709784"/>
      <w:bookmarkStart w:id="43" w:name="_Toc475958051"/>
      <w:bookmarkStart w:id="44" w:name="_Toc476556233"/>
      <w:bookmarkEnd w:id="33"/>
      <w:bookmarkEnd w:id="34"/>
      <w:bookmarkEnd w:id="35"/>
      <w:bookmarkEnd w:id="36"/>
      <w:bookmarkEnd w:id="37"/>
      <w:bookmarkEnd w:id="38"/>
      <w:bookmarkEnd w:id="39"/>
      <w:bookmarkEnd w:id="40"/>
      <w:bookmarkEnd w:id="41"/>
      <w:bookmarkEnd w:id="42"/>
      <w:bookmarkEnd w:id="43"/>
      <w:bookmarkEnd w:id="44"/>
    </w:p>
    <w:p w:rsidR="00286F14" w:rsidRPr="00286F14" w:rsidRDefault="00286F14" w:rsidP="00484D3B">
      <w:pPr>
        <w:pStyle w:val="Odstavecseseznamem"/>
        <w:keepNext/>
        <w:keepLines/>
        <w:numPr>
          <w:ilvl w:val="0"/>
          <w:numId w:val="12"/>
        </w:numPr>
        <w:spacing w:before="200" w:after="200" w:line="240" w:lineRule="auto"/>
        <w:contextualSpacing w:val="0"/>
        <w:outlineLvl w:val="2"/>
        <w:rPr>
          <w:rFonts w:eastAsiaTheme="majorEastAsia" w:cstheme="majorBidi"/>
          <w:bCs/>
          <w:i/>
          <w:vanish/>
        </w:rPr>
      </w:pPr>
      <w:bookmarkStart w:id="45" w:name="_Toc475457699"/>
      <w:bookmarkStart w:id="46" w:name="_Toc475460353"/>
      <w:bookmarkStart w:id="47" w:name="_Toc475460414"/>
      <w:bookmarkStart w:id="48" w:name="_Toc475460562"/>
      <w:bookmarkStart w:id="49" w:name="_Toc475460873"/>
      <w:bookmarkStart w:id="50" w:name="_Toc475526311"/>
      <w:bookmarkStart w:id="51" w:name="_Toc475605025"/>
      <w:bookmarkStart w:id="52" w:name="_Toc475605273"/>
      <w:bookmarkStart w:id="53" w:name="_Toc475605393"/>
      <w:bookmarkStart w:id="54" w:name="_Toc475709785"/>
      <w:bookmarkStart w:id="55" w:name="_Toc475958052"/>
      <w:bookmarkStart w:id="56" w:name="_Toc476556234"/>
      <w:bookmarkEnd w:id="45"/>
      <w:bookmarkEnd w:id="46"/>
      <w:bookmarkEnd w:id="47"/>
      <w:bookmarkEnd w:id="48"/>
      <w:bookmarkEnd w:id="49"/>
      <w:bookmarkEnd w:id="50"/>
      <w:bookmarkEnd w:id="51"/>
      <w:bookmarkEnd w:id="52"/>
      <w:bookmarkEnd w:id="53"/>
      <w:bookmarkEnd w:id="54"/>
      <w:bookmarkEnd w:id="55"/>
      <w:bookmarkEnd w:id="56"/>
    </w:p>
    <w:p w:rsidR="00286F14" w:rsidRPr="00286F14" w:rsidRDefault="00286F14" w:rsidP="00484D3B">
      <w:pPr>
        <w:pStyle w:val="Odstavecseseznamem"/>
        <w:keepNext/>
        <w:keepLines/>
        <w:numPr>
          <w:ilvl w:val="0"/>
          <w:numId w:val="12"/>
        </w:numPr>
        <w:spacing w:before="200" w:after="200" w:line="240" w:lineRule="auto"/>
        <w:contextualSpacing w:val="0"/>
        <w:outlineLvl w:val="2"/>
        <w:rPr>
          <w:rFonts w:eastAsiaTheme="majorEastAsia" w:cstheme="majorBidi"/>
          <w:bCs/>
          <w:i/>
          <w:vanish/>
        </w:rPr>
      </w:pPr>
      <w:bookmarkStart w:id="57" w:name="_Toc475457700"/>
      <w:bookmarkStart w:id="58" w:name="_Toc475460354"/>
      <w:bookmarkStart w:id="59" w:name="_Toc475460415"/>
      <w:bookmarkStart w:id="60" w:name="_Toc475460563"/>
      <w:bookmarkStart w:id="61" w:name="_Toc475460874"/>
      <w:bookmarkStart w:id="62" w:name="_Toc475526312"/>
      <w:bookmarkStart w:id="63" w:name="_Toc475605026"/>
      <w:bookmarkStart w:id="64" w:name="_Toc475605274"/>
      <w:bookmarkStart w:id="65" w:name="_Toc475605394"/>
      <w:bookmarkStart w:id="66" w:name="_Toc475709786"/>
      <w:bookmarkStart w:id="67" w:name="_Toc475958053"/>
      <w:bookmarkStart w:id="68" w:name="_Toc476556235"/>
      <w:bookmarkEnd w:id="57"/>
      <w:bookmarkEnd w:id="58"/>
      <w:bookmarkEnd w:id="59"/>
      <w:bookmarkEnd w:id="60"/>
      <w:bookmarkEnd w:id="61"/>
      <w:bookmarkEnd w:id="62"/>
      <w:bookmarkEnd w:id="63"/>
      <w:bookmarkEnd w:id="64"/>
      <w:bookmarkEnd w:id="65"/>
      <w:bookmarkEnd w:id="66"/>
      <w:bookmarkEnd w:id="67"/>
      <w:bookmarkEnd w:id="68"/>
    </w:p>
    <w:p w:rsidR="00286F14" w:rsidRPr="00286F14" w:rsidRDefault="00286F14" w:rsidP="00484D3B">
      <w:pPr>
        <w:pStyle w:val="Odstavecseseznamem"/>
        <w:keepNext/>
        <w:keepLines/>
        <w:numPr>
          <w:ilvl w:val="1"/>
          <w:numId w:val="12"/>
        </w:numPr>
        <w:spacing w:before="200" w:after="200" w:line="240" w:lineRule="auto"/>
        <w:contextualSpacing w:val="0"/>
        <w:outlineLvl w:val="2"/>
        <w:rPr>
          <w:rFonts w:eastAsiaTheme="majorEastAsia" w:cstheme="majorBidi"/>
          <w:bCs/>
          <w:i/>
          <w:vanish/>
        </w:rPr>
      </w:pPr>
      <w:bookmarkStart w:id="69" w:name="_Toc475457701"/>
      <w:bookmarkStart w:id="70" w:name="_Toc475460355"/>
      <w:bookmarkStart w:id="71" w:name="_Toc475460416"/>
      <w:bookmarkStart w:id="72" w:name="_Toc475460564"/>
      <w:bookmarkStart w:id="73" w:name="_Toc475460875"/>
      <w:bookmarkStart w:id="74" w:name="_Toc475526313"/>
      <w:bookmarkStart w:id="75" w:name="_Toc475605027"/>
      <w:bookmarkStart w:id="76" w:name="_Toc475605275"/>
      <w:bookmarkStart w:id="77" w:name="_Toc475605395"/>
      <w:bookmarkStart w:id="78" w:name="_Toc475709787"/>
      <w:bookmarkStart w:id="79" w:name="_Toc475958054"/>
      <w:bookmarkStart w:id="80" w:name="_Toc476556236"/>
      <w:bookmarkEnd w:id="69"/>
      <w:bookmarkEnd w:id="70"/>
      <w:bookmarkEnd w:id="71"/>
      <w:bookmarkEnd w:id="72"/>
      <w:bookmarkEnd w:id="73"/>
      <w:bookmarkEnd w:id="74"/>
      <w:bookmarkEnd w:id="75"/>
      <w:bookmarkEnd w:id="76"/>
      <w:bookmarkEnd w:id="77"/>
      <w:bookmarkEnd w:id="78"/>
      <w:bookmarkEnd w:id="79"/>
      <w:bookmarkEnd w:id="80"/>
    </w:p>
    <w:p w:rsidR="00286F14" w:rsidRDefault="00286F14" w:rsidP="00484D3B">
      <w:pPr>
        <w:spacing w:after="200" w:line="240" w:lineRule="auto"/>
      </w:pPr>
      <w:r>
        <w:t>Graf níže ukazuje počty uchazečů o zaměstnání pobírajících podporu v nezaměstnanosti ve vazbě k celkovému počtu uchazečů o zaměstnání. Jak je patrné, dlouhodobě se počet uchazečů o zaměstnání s nárokem na podporu v nezaměstnanosti pohybuje kolem 100 000, s výjimkou let po vypuknutí hospodářské krize. S významně klesajícím celkovým počtem nezaměstnaných osob se podíl uchazečů o zaměstnání s podporou v nezaměstnanosti v posledních letech zvyšuje. Markantní jsou sezónní výkyvy, zejména v zimních měsících, způsobené příchodem do evidence uchazečů o zaměstnání osob s nárokem na podporu v nezaměstnanosti (zejména v důsledku sezónních prací</w:t>
      </w:r>
      <w:r w:rsidR="00920BB4">
        <w:t>)</w:t>
      </w:r>
      <w:r>
        <w:t>. S vývojem situace na trhu práce je rovněž patrné v posledních letech (od roku 2014) snížení sezónního výkyvu v zimních měsících z cca 70 tis. osob v letech 2009 až 2014 na zhruba polovinu.</w:t>
      </w:r>
    </w:p>
    <w:p w:rsidR="007D4AF2" w:rsidRDefault="007D4AF2" w:rsidP="00484D3B">
      <w:pPr>
        <w:pStyle w:val="Titulek"/>
        <w:keepNext/>
      </w:pPr>
      <w:bookmarkStart w:id="81" w:name="_Toc476556287"/>
      <w:r>
        <w:t xml:space="preserve">Graf č.: </w:t>
      </w:r>
      <w:r w:rsidR="00AB7C96">
        <w:fldChar w:fldCharType="begin"/>
      </w:r>
      <w:r w:rsidR="00AB7C96">
        <w:instrText xml:space="preserve"> SEQ Graf_č.: \* ARABIC </w:instrText>
      </w:r>
      <w:r w:rsidR="00AB7C96">
        <w:fldChar w:fldCharType="separate"/>
      </w:r>
      <w:r w:rsidR="004A5D48">
        <w:rPr>
          <w:noProof/>
        </w:rPr>
        <w:t>10</w:t>
      </w:r>
      <w:r w:rsidR="00AB7C96">
        <w:rPr>
          <w:noProof/>
        </w:rPr>
        <w:fldChar w:fldCharType="end"/>
      </w:r>
      <w:r>
        <w:t xml:space="preserve"> Vývoj počtu a podílu </w:t>
      </w:r>
      <w:proofErr w:type="spellStart"/>
      <w:r>
        <w:t>UoZ</w:t>
      </w:r>
      <w:proofErr w:type="spellEnd"/>
      <w:r>
        <w:t xml:space="preserve"> s nárokem na </w:t>
      </w:r>
      <w:proofErr w:type="spellStart"/>
      <w:r>
        <w:t>PvN</w:t>
      </w:r>
      <w:bookmarkEnd w:id="81"/>
      <w:proofErr w:type="spellEnd"/>
    </w:p>
    <w:p w:rsidR="00AD59F6" w:rsidRDefault="00AD59F6" w:rsidP="00484D3B">
      <w:pPr>
        <w:spacing w:after="200" w:line="240" w:lineRule="auto"/>
      </w:pPr>
      <w:r>
        <w:rPr>
          <w:noProof/>
          <w:lang w:eastAsia="cs-CZ"/>
        </w:rPr>
        <w:drawing>
          <wp:inline distT="0" distB="0" distL="0" distR="0" wp14:anchorId="186353A0" wp14:editId="358BCCE2">
            <wp:extent cx="5986131" cy="3349256"/>
            <wp:effectExtent l="0" t="0" r="15240" b="2286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86F14" w:rsidRDefault="00286F14" w:rsidP="00484D3B">
      <w:pPr>
        <w:pStyle w:val="Nadpis3"/>
      </w:pPr>
      <w:bookmarkStart w:id="82" w:name="_Toc476556237"/>
      <w:proofErr w:type="spellStart"/>
      <w:r>
        <w:t>UoZ</w:t>
      </w:r>
      <w:proofErr w:type="spellEnd"/>
      <w:r>
        <w:t xml:space="preserve"> vykonávající nekolidující zaměstnání</w:t>
      </w:r>
      <w:bookmarkEnd w:id="82"/>
    </w:p>
    <w:p w:rsidR="00AD59F6" w:rsidRDefault="00DA2444" w:rsidP="00484D3B">
      <w:pPr>
        <w:spacing w:after="200" w:line="240" w:lineRule="auto"/>
      </w:pPr>
      <w:r>
        <w:t>V posledních letech, tj. od roku 2012</w:t>
      </w:r>
      <w:r w:rsidR="00920BB4">
        <w:t>,</w:t>
      </w:r>
      <w:r>
        <w:t xml:space="preserve"> významně narostl podíl uchazečů o zaměstnání, kteří vykonávají tzv. </w:t>
      </w:r>
      <w:r w:rsidRPr="008B6EAE">
        <w:rPr>
          <w:b/>
        </w:rPr>
        <w:t>„nekolidující zaměstnání“</w:t>
      </w:r>
      <w:r>
        <w:t>, tj. výdělečnou činnost, která vzhledem ke svému minimálnímu rozsahu je slučiteln</w:t>
      </w:r>
      <w:r w:rsidR="003015EB">
        <w:t>á</w:t>
      </w:r>
      <w:r>
        <w:t xml:space="preserve"> s vedením dané osoby v evidenci uchazečů o zaměstnání</w:t>
      </w:r>
      <w:r w:rsidR="00920BB4">
        <w:t>,</w:t>
      </w:r>
      <w:r>
        <w:t xml:space="preserve"> a to na</w:t>
      </w:r>
      <w:r w:rsidR="003015EB">
        <w:t xml:space="preserve"> základě § 25 odst. 3 zákona č. </w:t>
      </w:r>
      <w:r>
        <w:t>435/2004 Sb., zákona o zaměstnanosti, ve znění pozdějších předpisů. Výkon nekolidujícího zaměstnání na jedné straně sice přispívá k udržení pracovních návyků a zlepšení příjmové situace uchazeče o zaměstnání prostřednictvím výdělečné činnosti, na straně druhé však při dlouhodobějším charakteru výkonu takovéto činnosti vytváří bariéru k přijetí vhodného zaměstnání. V řadě případů se zároveň za výkonem této činnosti schovává výkon výdělečné činnosti v tzv. šedé ekonomice, kdy minimální rozsah zaměstnání je pouze deklarován „papírově“. S významně se zlepšující situací na trhu práce charakterizovanou vysokou poptávkou po pracovní síle však lze v</w:t>
      </w:r>
      <w:r w:rsidR="00920BB4">
        <w:t>e</w:t>
      </w:r>
      <w:r>
        <w:t> 2. polovině roku 2016 sledovat úbytek uchazečů o zaměstnání vykonávajících takovouto činnost jak v absolutním, tak rovněž v relativním počtu.</w:t>
      </w:r>
      <w:r w:rsidR="00273A07">
        <w:t xml:space="preserve"> </w:t>
      </w:r>
    </w:p>
    <w:p w:rsidR="008B6EAE" w:rsidRDefault="008B6EAE" w:rsidP="00484D3B">
      <w:pPr>
        <w:spacing w:after="200" w:line="240" w:lineRule="auto"/>
      </w:pPr>
      <w:r w:rsidRPr="008B6EAE">
        <w:rPr>
          <w:b/>
        </w:rPr>
        <w:t xml:space="preserve">Oproti minulému období poklesl podíl </w:t>
      </w:r>
      <w:proofErr w:type="spellStart"/>
      <w:r w:rsidRPr="008B6EAE">
        <w:rPr>
          <w:b/>
        </w:rPr>
        <w:t>UoZ</w:t>
      </w:r>
      <w:proofErr w:type="spellEnd"/>
      <w:r w:rsidRPr="008B6EAE">
        <w:rPr>
          <w:b/>
        </w:rPr>
        <w:t xml:space="preserve"> vykonávajících nekolidující zaměstnání ke konci sledovaného měsíce</w:t>
      </w:r>
      <w:r w:rsidRPr="008B6EAE">
        <w:rPr>
          <w:rStyle w:val="Znakapoznpodarou"/>
          <w:b/>
        </w:rPr>
        <w:footnoteReference w:id="8"/>
      </w:r>
      <w:r w:rsidRPr="008B6EAE">
        <w:rPr>
          <w:b/>
        </w:rPr>
        <w:t xml:space="preserve"> z 11,84 % k 30. 9. 2016 na 10,73 % k 31. 12. 2016. Ke konci prosince tak uvedenou činnost vykonávalo 40 933</w:t>
      </w:r>
      <w:r>
        <w:t xml:space="preserve"> uchazečů o zaměstnání, což je o 11 154 osob méně než ke stejnému datu roku 2015 (cca o 20 % méně).</w:t>
      </w:r>
      <w:r w:rsidR="007F2CB4">
        <w:t xml:space="preserve"> Rovněž došlo k meziročnímu úbytku, neboť k 31. 12. 2015 vykonávalo nekolidující zaměstnání 11,5 % </w:t>
      </w:r>
      <w:proofErr w:type="spellStart"/>
      <w:r w:rsidR="007F2CB4">
        <w:t>UoZ</w:t>
      </w:r>
      <w:proofErr w:type="spellEnd"/>
      <w:r w:rsidR="007F2CB4">
        <w:t xml:space="preserve"> (52 087 osob). V tomto ohledu jistou roli může hrát i zpřísnění právní úpravy účinné od 1. 10. 2015 spočívající v neposkytování podpory v nezaměstnanosti </w:t>
      </w:r>
      <w:r w:rsidR="007F2CB4" w:rsidRPr="00D108C0">
        <w:rPr>
          <w:rFonts w:cs="Arial"/>
          <w:szCs w:val="24"/>
        </w:rPr>
        <w:t>od samotného vzniku a po celou dobu trvání právního vztahu umožňujícího výkon nekolidující zaměstnání, a to bez ohledu na výši odměny.</w:t>
      </w:r>
      <w:r w:rsidR="007F2CB4">
        <w:t xml:space="preserve"> </w:t>
      </w:r>
    </w:p>
    <w:p w:rsidR="008B6EAE" w:rsidRDefault="008B6EAE" w:rsidP="00484D3B">
      <w:pPr>
        <w:pStyle w:val="Titulek"/>
        <w:keepNext/>
      </w:pPr>
      <w:bookmarkStart w:id="83" w:name="_Toc476556288"/>
      <w:r>
        <w:t xml:space="preserve">Graf č.: </w:t>
      </w:r>
      <w:r w:rsidR="00AB7C96">
        <w:fldChar w:fldCharType="begin"/>
      </w:r>
      <w:r w:rsidR="00AB7C96">
        <w:instrText xml:space="preserve"> SEQ Graf_č.: \* ARABIC </w:instrText>
      </w:r>
      <w:r w:rsidR="00AB7C96">
        <w:fldChar w:fldCharType="separate"/>
      </w:r>
      <w:r w:rsidR="004A5D48">
        <w:rPr>
          <w:noProof/>
        </w:rPr>
        <w:t>11</w:t>
      </w:r>
      <w:r w:rsidR="00AB7C96">
        <w:rPr>
          <w:noProof/>
        </w:rPr>
        <w:fldChar w:fldCharType="end"/>
      </w:r>
      <w:r>
        <w:t xml:space="preserve"> Vývoj počtu a podílu </w:t>
      </w:r>
      <w:proofErr w:type="spellStart"/>
      <w:r>
        <w:t>UoZ</w:t>
      </w:r>
      <w:proofErr w:type="spellEnd"/>
      <w:r>
        <w:t xml:space="preserve"> vykonávajících "nekolidující zaměstnání" v průběhu roku 2016</w:t>
      </w:r>
      <w:bookmarkEnd w:id="83"/>
    </w:p>
    <w:p w:rsidR="005E4A7D" w:rsidRDefault="008B6EAE" w:rsidP="00484D3B">
      <w:pPr>
        <w:spacing w:after="200" w:line="240" w:lineRule="auto"/>
      </w:pPr>
      <w:r>
        <w:rPr>
          <w:noProof/>
          <w:lang w:eastAsia="cs-CZ"/>
        </w:rPr>
        <w:drawing>
          <wp:inline distT="0" distB="0" distL="0" distR="0" wp14:anchorId="4F3FD6F0" wp14:editId="5F25910C">
            <wp:extent cx="5794745" cy="2498651"/>
            <wp:effectExtent l="0" t="0" r="15875" b="1651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93487" w:rsidRDefault="00293487" w:rsidP="00484D3B">
      <w:pPr>
        <w:pStyle w:val="Titulek"/>
        <w:keepNext/>
      </w:pPr>
      <w:bookmarkStart w:id="84" w:name="_Toc476556305"/>
      <w:r>
        <w:t xml:space="preserve">Tabulka </w:t>
      </w:r>
      <w:r w:rsidR="00AB7C96">
        <w:fldChar w:fldCharType="begin"/>
      </w:r>
      <w:r w:rsidR="00AB7C96">
        <w:instrText xml:space="preserve"> SEQ Tabulka \* ARABIC </w:instrText>
      </w:r>
      <w:r w:rsidR="00AB7C96">
        <w:fldChar w:fldCharType="separate"/>
      </w:r>
      <w:r w:rsidR="004A5D48">
        <w:rPr>
          <w:noProof/>
        </w:rPr>
        <w:t>11</w:t>
      </w:r>
      <w:r w:rsidR="00AB7C96">
        <w:rPr>
          <w:noProof/>
        </w:rPr>
        <w:fldChar w:fldCharType="end"/>
      </w:r>
      <w:r>
        <w:t xml:space="preserve"> Počty a podíly </w:t>
      </w:r>
      <w:proofErr w:type="spellStart"/>
      <w:r>
        <w:t>UoZ</w:t>
      </w:r>
      <w:proofErr w:type="spellEnd"/>
      <w:r>
        <w:t xml:space="preserve"> vykonávající nekolidující zaměstnání</w:t>
      </w:r>
      <w:bookmarkEnd w:id="84"/>
    </w:p>
    <w:tbl>
      <w:tblPr>
        <w:tblW w:w="9061" w:type="dxa"/>
        <w:tblInd w:w="60" w:type="dxa"/>
        <w:tblCellMar>
          <w:left w:w="70" w:type="dxa"/>
          <w:right w:w="70" w:type="dxa"/>
        </w:tblCellMar>
        <w:tblLook w:val="04A0" w:firstRow="1" w:lastRow="0" w:firstColumn="1" w:lastColumn="0" w:noHBand="0" w:noVBand="1"/>
      </w:tblPr>
      <w:tblGrid>
        <w:gridCol w:w="1420"/>
        <w:gridCol w:w="1693"/>
        <w:gridCol w:w="1428"/>
        <w:gridCol w:w="1546"/>
        <w:gridCol w:w="1418"/>
        <w:gridCol w:w="1556"/>
      </w:tblGrid>
      <w:tr w:rsidR="00293487" w:rsidRPr="00293487" w:rsidTr="00D2667F">
        <w:trPr>
          <w:trHeight w:val="43"/>
        </w:trPr>
        <w:tc>
          <w:tcPr>
            <w:tcW w:w="1420" w:type="dxa"/>
            <w:tcBorders>
              <w:top w:val="single" w:sz="8" w:space="0" w:color="auto"/>
              <w:left w:val="single" w:sz="8" w:space="0" w:color="auto"/>
              <w:bottom w:val="nil"/>
              <w:right w:val="nil"/>
            </w:tcBorders>
            <w:shd w:val="clear" w:color="auto" w:fill="auto"/>
            <w:noWrap/>
            <w:vAlign w:val="bottom"/>
            <w:hideMark/>
          </w:tcPr>
          <w:p w:rsidR="00293487" w:rsidRPr="00293487" w:rsidRDefault="00293487" w:rsidP="00484D3B">
            <w:pPr>
              <w:spacing w:line="240" w:lineRule="auto"/>
              <w:jc w:val="lef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 </w:t>
            </w:r>
          </w:p>
        </w:tc>
        <w:tc>
          <w:tcPr>
            <w:tcW w:w="1693" w:type="dxa"/>
            <w:tcBorders>
              <w:top w:val="single" w:sz="8" w:space="0" w:color="auto"/>
              <w:left w:val="single" w:sz="4" w:space="0" w:color="auto"/>
              <w:bottom w:val="nil"/>
              <w:right w:val="single" w:sz="8"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b/>
                <w:bCs/>
                <w:color w:val="000000"/>
                <w:sz w:val="22"/>
                <w:lang w:eastAsia="cs-CZ"/>
              </w:rPr>
            </w:pPr>
            <w:proofErr w:type="spellStart"/>
            <w:r w:rsidRPr="00293487">
              <w:rPr>
                <w:rFonts w:ascii="Calibri" w:eastAsia="Times New Roman" w:hAnsi="Calibri" w:cs="Times New Roman"/>
                <w:b/>
                <w:bCs/>
                <w:color w:val="000000"/>
                <w:sz w:val="22"/>
                <w:lang w:eastAsia="cs-CZ"/>
              </w:rPr>
              <w:t>UoZ</w:t>
            </w:r>
            <w:proofErr w:type="spellEnd"/>
            <w:r w:rsidRPr="00293487">
              <w:rPr>
                <w:rFonts w:ascii="Calibri" w:eastAsia="Times New Roman" w:hAnsi="Calibri" w:cs="Times New Roman"/>
                <w:b/>
                <w:bCs/>
                <w:color w:val="000000"/>
                <w:sz w:val="22"/>
                <w:lang w:eastAsia="cs-CZ"/>
              </w:rPr>
              <w:t xml:space="preserve"> </w:t>
            </w:r>
          </w:p>
        </w:tc>
        <w:tc>
          <w:tcPr>
            <w:tcW w:w="5948" w:type="dxa"/>
            <w:gridSpan w:val="4"/>
            <w:tcBorders>
              <w:top w:val="single" w:sz="8" w:space="0" w:color="auto"/>
              <w:left w:val="nil"/>
              <w:bottom w:val="single" w:sz="4" w:space="0" w:color="auto"/>
              <w:right w:val="single" w:sz="8" w:space="0" w:color="000000"/>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b/>
                <w:bCs/>
                <w:color w:val="000000"/>
                <w:sz w:val="22"/>
                <w:lang w:eastAsia="cs-CZ"/>
              </w:rPr>
            </w:pPr>
            <w:proofErr w:type="spellStart"/>
            <w:r w:rsidRPr="00293487">
              <w:rPr>
                <w:rFonts w:ascii="Calibri" w:eastAsia="Times New Roman" w:hAnsi="Calibri" w:cs="Times New Roman"/>
                <w:b/>
                <w:bCs/>
                <w:color w:val="000000"/>
                <w:sz w:val="22"/>
                <w:lang w:eastAsia="cs-CZ"/>
              </w:rPr>
              <w:t>UoZ</w:t>
            </w:r>
            <w:proofErr w:type="spellEnd"/>
            <w:r w:rsidRPr="00293487">
              <w:rPr>
                <w:rFonts w:ascii="Calibri" w:eastAsia="Times New Roman" w:hAnsi="Calibri" w:cs="Times New Roman"/>
                <w:b/>
                <w:bCs/>
                <w:color w:val="000000"/>
                <w:sz w:val="22"/>
                <w:lang w:eastAsia="cs-CZ"/>
              </w:rPr>
              <w:t xml:space="preserve"> vykonávající nekolidující zaměstnání k:</w:t>
            </w:r>
          </w:p>
        </w:tc>
      </w:tr>
      <w:tr w:rsidR="00293487" w:rsidRPr="00293487" w:rsidTr="00D2667F">
        <w:trPr>
          <w:trHeight w:val="43"/>
        </w:trPr>
        <w:tc>
          <w:tcPr>
            <w:tcW w:w="1420" w:type="dxa"/>
            <w:tcBorders>
              <w:top w:val="nil"/>
              <w:left w:val="single" w:sz="8" w:space="0" w:color="auto"/>
              <w:bottom w:val="nil"/>
              <w:right w:val="nil"/>
            </w:tcBorders>
            <w:shd w:val="clear" w:color="auto" w:fill="auto"/>
            <w:noWrap/>
            <w:vAlign w:val="center"/>
            <w:hideMark/>
          </w:tcPr>
          <w:p w:rsidR="00293487" w:rsidRPr="00293487" w:rsidRDefault="00293487" w:rsidP="00484D3B">
            <w:pPr>
              <w:spacing w:line="240" w:lineRule="auto"/>
              <w:jc w:val="center"/>
              <w:rPr>
                <w:rFonts w:ascii="Calibri" w:eastAsia="Times New Roman" w:hAnsi="Calibri" w:cs="Times New Roman"/>
                <w:b/>
                <w:bCs/>
                <w:color w:val="000000"/>
                <w:sz w:val="22"/>
                <w:lang w:eastAsia="cs-CZ"/>
              </w:rPr>
            </w:pPr>
            <w:r w:rsidRPr="00293487">
              <w:rPr>
                <w:rFonts w:ascii="Calibri" w:eastAsia="Times New Roman" w:hAnsi="Calibri" w:cs="Times New Roman"/>
                <w:b/>
                <w:bCs/>
                <w:color w:val="000000"/>
                <w:sz w:val="22"/>
                <w:lang w:eastAsia="cs-CZ"/>
              </w:rPr>
              <w:t>Kraj</w:t>
            </w:r>
          </w:p>
        </w:tc>
        <w:tc>
          <w:tcPr>
            <w:tcW w:w="1693" w:type="dxa"/>
            <w:tcBorders>
              <w:top w:val="nil"/>
              <w:left w:val="single" w:sz="4" w:space="0" w:color="auto"/>
              <w:bottom w:val="nil"/>
              <w:right w:val="single" w:sz="8"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b/>
                <w:bCs/>
                <w:color w:val="000000"/>
                <w:sz w:val="22"/>
                <w:lang w:eastAsia="cs-CZ"/>
              </w:rPr>
            </w:pPr>
            <w:r w:rsidRPr="00293487">
              <w:rPr>
                <w:rFonts w:ascii="Calibri" w:eastAsia="Times New Roman" w:hAnsi="Calibri" w:cs="Times New Roman"/>
                <w:b/>
                <w:bCs/>
                <w:color w:val="000000"/>
                <w:sz w:val="22"/>
                <w:lang w:eastAsia="cs-CZ"/>
              </w:rPr>
              <w:t>celkem k:</w:t>
            </w:r>
          </w:p>
        </w:tc>
        <w:tc>
          <w:tcPr>
            <w:tcW w:w="297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30.</w:t>
            </w:r>
            <w:r>
              <w:rPr>
                <w:rFonts w:ascii="Calibri" w:eastAsia="Times New Roman" w:hAnsi="Calibri" w:cs="Times New Roman"/>
                <w:color w:val="000000"/>
                <w:sz w:val="22"/>
                <w:lang w:eastAsia="cs-CZ"/>
              </w:rPr>
              <w:t xml:space="preserve"> </w:t>
            </w:r>
            <w:r w:rsidRPr="00293487">
              <w:rPr>
                <w:rFonts w:ascii="Calibri" w:eastAsia="Times New Roman" w:hAnsi="Calibri" w:cs="Times New Roman"/>
                <w:color w:val="000000"/>
                <w:sz w:val="22"/>
                <w:lang w:eastAsia="cs-CZ"/>
              </w:rPr>
              <w:t>9.</w:t>
            </w:r>
            <w:r>
              <w:rPr>
                <w:rFonts w:ascii="Calibri" w:eastAsia="Times New Roman" w:hAnsi="Calibri" w:cs="Times New Roman"/>
                <w:color w:val="000000"/>
                <w:sz w:val="22"/>
                <w:lang w:eastAsia="cs-CZ"/>
              </w:rPr>
              <w:t xml:space="preserve"> </w:t>
            </w:r>
            <w:r w:rsidRPr="00293487">
              <w:rPr>
                <w:rFonts w:ascii="Calibri" w:eastAsia="Times New Roman" w:hAnsi="Calibri" w:cs="Times New Roman"/>
                <w:color w:val="000000"/>
                <w:sz w:val="22"/>
                <w:lang w:eastAsia="cs-CZ"/>
              </w:rPr>
              <w:t>2016</w:t>
            </w:r>
          </w:p>
        </w:tc>
        <w:tc>
          <w:tcPr>
            <w:tcW w:w="297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31. 12. 2016</w:t>
            </w:r>
          </w:p>
        </w:tc>
      </w:tr>
      <w:tr w:rsidR="00D2667F" w:rsidRPr="00293487" w:rsidTr="00D2667F">
        <w:trPr>
          <w:trHeight w:val="45"/>
        </w:trPr>
        <w:tc>
          <w:tcPr>
            <w:tcW w:w="1420" w:type="dxa"/>
            <w:tcBorders>
              <w:top w:val="nil"/>
              <w:left w:val="single" w:sz="8" w:space="0" w:color="auto"/>
              <w:bottom w:val="single" w:sz="8" w:space="0" w:color="auto"/>
              <w:right w:val="nil"/>
            </w:tcBorders>
            <w:shd w:val="clear" w:color="auto" w:fill="auto"/>
            <w:noWrap/>
            <w:vAlign w:val="bottom"/>
            <w:hideMark/>
          </w:tcPr>
          <w:p w:rsidR="00293487" w:rsidRPr="00293487" w:rsidRDefault="00293487" w:rsidP="00484D3B">
            <w:pPr>
              <w:spacing w:line="240" w:lineRule="auto"/>
              <w:jc w:val="lef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 </w:t>
            </w:r>
          </w:p>
        </w:tc>
        <w:tc>
          <w:tcPr>
            <w:tcW w:w="1693" w:type="dxa"/>
            <w:tcBorders>
              <w:top w:val="nil"/>
              <w:left w:val="single" w:sz="4" w:space="0" w:color="auto"/>
              <w:bottom w:val="single" w:sz="8" w:space="0" w:color="auto"/>
              <w:right w:val="single" w:sz="8"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31. 12. 2016</w:t>
            </w:r>
          </w:p>
        </w:tc>
        <w:tc>
          <w:tcPr>
            <w:tcW w:w="1428" w:type="dxa"/>
            <w:tcBorders>
              <w:top w:val="nil"/>
              <w:left w:val="nil"/>
              <w:bottom w:val="single" w:sz="8"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počet</w:t>
            </w:r>
          </w:p>
        </w:tc>
        <w:tc>
          <w:tcPr>
            <w:tcW w:w="1546" w:type="dxa"/>
            <w:tcBorders>
              <w:top w:val="nil"/>
              <w:left w:val="single" w:sz="4" w:space="0" w:color="auto"/>
              <w:bottom w:val="single" w:sz="8"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podíl</w:t>
            </w:r>
          </w:p>
        </w:tc>
        <w:tc>
          <w:tcPr>
            <w:tcW w:w="1418" w:type="dxa"/>
            <w:tcBorders>
              <w:top w:val="nil"/>
              <w:left w:val="nil"/>
              <w:bottom w:val="single" w:sz="8"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počet</w:t>
            </w:r>
          </w:p>
        </w:tc>
        <w:tc>
          <w:tcPr>
            <w:tcW w:w="1556" w:type="dxa"/>
            <w:tcBorders>
              <w:top w:val="nil"/>
              <w:left w:val="nil"/>
              <w:bottom w:val="single" w:sz="8" w:space="0" w:color="auto"/>
              <w:right w:val="single" w:sz="8"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podíl</w:t>
            </w:r>
          </w:p>
        </w:tc>
      </w:tr>
      <w:tr w:rsidR="00D2667F" w:rsidRPr="00293487" w:rsidTr="00D2667F">
        <w:trPr>
          <w:trHeight w:val="43"/>
        </w:trPr>
        <w:tc>
          <w:tcPr>
            <w:tcW w:w="14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Praha</w:t>
            </w:r>
          </w:p>
        </w:tc>
        <w:tc>
          <w:tcPr>
            <w:tcW w:w="1693" w:type="dxa"/>
            <w:tcBorders>
              <w:top w:val="single" w:sz="8" w:space="0" w:color="auto"/>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30 179</w:t>
            </w:r>
          </w:p>
        </w:tc>
        <w:tc>
          <w:tcPr>
            <w:tcW w:w="1428" w:type="dxa"/>
            <w:tcBorders>
              <w:top w:val="single" w:sz="8" w:space="0" w:color="auto"/>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2 578</w:t>
            </w:r>
          </w:p>
        </w:tc>
        <w:tc>
          <w:tcPr>
            <w:tcW w:w="1546" w:type="dxa"/>
            <w:tcBorders>
              <w:top w:val="nil"/>
              <w:left w:val="single" w:sz="4" w:space="0" w:color="auto"/>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7,80%</w:t>
            </w:r>
          </w:p>
        </w:tc>
        <w:tc>
          <w:tcPr>
            <w:tcW w:w="141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2 580</w:t>
            </w:r>
          </w:p>
        </w:tc>
        <w:tc>
          <w:tcPr>
            <w:tcW w:w="1556"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8,55%</w:t>
            </w:r>
          </w:p>
        </w:tc>
      </w:tr>
      <w:tr w:rsidR="00D2667F" w:rsidRPr="00293487" w:rsidTr="00D2667F">
        <w:trPr>
          <w:trHeight w:val="43"/>
        </w:trPr>
        <w:tc>
          <w:tcPr>
            <w:tcW w:w="14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Arial"/>
                <w:color w:val="000000"/>
                <w:sz w:val="22"/>
                <w:lang w:eastAsia="cs-CZ"/>
              </w:rPr>
              <w:t>SČK</w:t>
            </w:r>
          </w:p>
        </w:tc>
        <w:tc>
          <w:tcPr>
            <w:tcW w:w="1693" w:type="dxa"/>
            <w:tcBorders>
              <w:top w:val="single" w:sz="4" w:space="0" w:color="auto"/>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38 966</w:t>
            </w:r>
          </w:p>
        </w:tc>
        <w:tc>
          <w:tcPr>
            <w:tcW w:w="142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3 978</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9,99%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3 561</w:t>
            </w:r>
          </w:p>
        </w:tc>
        <w:tc>
          <w:tcPr>
            <w:tcW w:w="1556" w:type="dxa"/>
            <w:tcBorders>
              <w:top w:val="single" w:sz="4" w:space="0" w:color="auto"/>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9,14%</w:t>
            </w:r>
          </w:p>
        </w:tc>
      </w:tr>
      <w:tr w:rsidR="00D2667F" w:rsidRPr="00293487" w:rsidTr="00D2667F">
        <w:trPr>
          <w:trHeight w:val="43"/>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Arial"/>
                <w:color w:val="000000"/>
                <w:sz w:val="22"/>
                <w:lang w:eastAsia="cs-CZ"/>
              </w:rPr>
              <w:t>JČK</w:t>
            </w:r>
          </w:p>
        </w:tc>
        <w:tc>
          <w:tcPr>
            <w:tcW w:w="1693"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19 385</w:t>
            </w:r>
          </w:p>
        </w:tc>
        <w:tc>
          <w:tcPr>
            <w:tcW w:w="142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1 960</w:t>
            </w:r>
          </w:p>
        </w:tc>
        <w:tc>
          <w:tcPr>
            <w:tcW w:w="1546"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11,35%</w:t>
            </w:r>
          </w:p>
        </w:tc>
        <w:tc>
          <w:tcPr>
            <w:tcW w:w="141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1 754</w:t>
            </w:r>
          </w:p>
        </w:tc>
        <w:tc>
          <w:tcPr>
            <w:tcW w:w="1556"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9,05%</w:t>
            </w:r>
          </w:p>
        </w:tc>
      </w:tr>
      <w:tr w:rsidR="00D2667F" w:rsidRPr="00293487" w:rsidTr="00D2667F">
        <w:trPr>
          <w:trHeight w:val="43"/>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Arial"/>
                <w:color w:val="000000"/>
                <w:sz w:val="22"/>
                <w:lang w:eastAsia="cs-CZ"/>
              </w:rPr>
              <w:t>PLK</w:t>
            </w:r>
          </w:p>
        </w:tc>
        <w:tc>
          <w:tcPr>
            <w:tcW w:w="1693"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14 655</w:t>
            </w:r>
          </w:p>
        </w:tc>
        <w:tc>
          <w:tcPr>
            <w:tcW w:w="142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1 343</w:t>
            </w:r>
          </w:p>
        </w:tc>
        <w:tc>
          <w:tcPr>
            <w:tcW w:w="1546"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9,12%</w:t>
            </w:r>
          </w:p>
        </w:tc>
        <w:tc>
          <w:tcPr>
            <w:tcW w:w="141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1 166</w:t>
            </w:r>
          </w:p>
        </w:tc>
        <w:tc>
          <w:tcPr>
            <w:tcW w:w="1556"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7,96%</w:t>
            </w:r>
          </w:p>
        </w:tc>
      </w:tr>
      <w:tr w:rsidR="00D2667F" w:rsidRPr="00293487" w:rsidTr="00D2667F">
        <w:trPr>
          <w:trHeight w:val="43"/>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Arial"/>
                <w:color w:val="000000"/>
                <w:sz w:val="22"/>
                <w:lang w:eastAsia="cs-CZ"/>
              </w:rPr>
              <w:t>KVK</w:t>
            </w:r>
          </w:p>
        </w:tc>
        <w:tc>
          <w:tcPr>
            <w:tcW w:w="1693"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11 796</w:t>
            </w:r>
          </w:p>
        </w:tc>
        <w:tc>
          <w:tcPr>
            <w:tcW w:w="142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1 178</w:t>
            </w:r>
          </w:p>
        </w:tc>
        <w:tc>
          <w:tcPr>
            <w:tcW w:w="1546"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1 123</w:t>
            </w:r>
          </w:p>
        </w:tc>
        <w:tc>
          <w:tcPr>
            <w:tcW w:w="1556"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9,52%</w:t>
            </w:r>
          </w:p>
        </w:tc>
      </w:tr>
      <w:tr w:rsidR="00D2667F" w:rsidRPr="00293487" w:rsidTr="00D2667F">
        <w:trPr>
          <w:trHeight w:val="43"/>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Arial"/>
                <w:color w:val="000000"/>
                <w:sz w:val="22"/>
                <w:lang w:eastAsia="cs-CZ"/>
              </w:rPr>
              <w:t>ULK</w:t>
            </w:r>
          </w:p>
        </w:tc>
        <w:tc>
          <w:tcPr>
            <w:tcW w:w="1693"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44 528</w:t>
            </w:r>
          </w:p>
        </w:tc>
        <w:tc>
          <w:tcPr>
            <w:tcW w:w="142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5 254</w:t>
            </w:r>
          </w:p>
        </w:tc>
        <w:tc>
          <w:tcPr>
            <w:tcW w:w="1546"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11,40%</w:t>
            </w:r>
          </w:p>
        </w:tc>
        <w:tc>
          <w:tcPr>
            <w:tcW w:w="141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4 618</w:t>
            </w:r>
          </w:p>
        </w:tc>
        <w:tc>
          <w:tcPr>
            <w:tcW w:w="1556"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10,37%</w:t>
            </w:r>
          </w:p>
        </w:tc>
      </w:tr>
      <w:tr w:rsidR="00D2667F" w:rsidRPr="00293487" w:rsidTr="00193EA4">
        <w:trPr>
          <w:trHeight w:val="43"/>
        </w:trPr>
        <w:tc>
          <w:tcPr>
            <w:tcW w:w="1420" w:type="dxa"/>
            <w:tcBorders>
              <w:top w:val="nil"/>
              <w:left w:val="single" w:sz="8" w:space="0" w:color="auto"/>
              <w:bottom w:val="single" w:sz="8"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Arial"/>
                <w:color w:val="000000"/>
                <w:sz w:val="22"/>
                <w:lang w:eastAsia="cs-CZ"/>
              </w:rPr>
              <w:t>LBK</w:t>
            </w:r>
          </w:p>
        </w:tc>
        <w:tc>
          <w:tcPr>
            <w:tcW w:w="1693" w:type="dxa"/>
            <w:tcBorders>
              <w:top w:val="nil"/>
              <w:left w:val="nil"/>
              <w:bottom w:val="single" w:sz="8"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16 104</w:t>
            </w:r>
          </w:p>
        </w:tc>
        <w:tc>
          <w:tcPr>
            <w:tcW w:w="1428" w:type="dxa"/>
            <w:tcBorders>
              <w:top w:val="nil"/>
              <w:left w:val="nil"/>
              <w:bottom w:val="single" w:sz="8"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1 769</w:t>
            </w:r>
          </w:p>
        </w:tc>
        <w:tc>
          <w:tcPr>
            <w:tcW w:w="1546" w:type="dxa"/>
            <w:tcBorders>
              <w:top w:val="nil"/>
              <w:left w:val="nil"/>
              <w:bottom w:val="single" w:sz="8"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10,90%</w:t>
            </w:r>
          </w:p>
        </w:tc>
        <w:tc>
          <w:tcPr>
            <w:tcW w:w="1418" w:type="dxa"/>
            <w:tcBorders>
              <w:top w:val="nil"/>
              <w:left w:val="nil"/>
              <w:bottom w:val="single" w:sz="8"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1 663</w:t>
            </w:r>
          </w:p>
        </w:tc>
        <w:tc>
          <w:tcPr>
            <w:tcW w:w="1556" w:type="dxa"/>
            <w:tcBorders>
              <w:top w:val="nil"/>
              <w:left w:val="nil"/>
              <w:bottom w:val="single" w:sz="8"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10,33%</w:t>
            </w:r>
          </w:p>
        </w:tc>
      </w:tr>
      <w:tr w:rsidR="00D2667F" w:rsidRPr="00293487" w:rsidTr="00193EA4">
        <w:trPr>
          <w:trHeight w:val="43"/>
        </w:trPr>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Arial"/>
                <w:color w:val="000000"/>
                <w:sz w:val="22"/>
                <w:lang w:eastAsia="cs-CZ"/>
              </w:rPr>
              <w:t>KHK</w:t>
            </w:r>
          </w:p>
        </w:tc>
        <w:tc>
          <w:tcPr>
            <w:tcW w:w="16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14 270</w:t>
            </w:r>
          </w:p>
        </w:tc>
        <w:tc>
          <w:tcPr>
            <w:tcW w:w="14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1 765</w:t>
            </w:r>
          </w:p>
        </w:tc>
        <w:tc>
          <w:tcPr>
            <w:tcW w:w="1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12,54%</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1 587</w:t>
            </w:r>
          </w:p>
        </w:tc>
        <w:tc>
          <w:tcPr>
            <w:tcW w:w="15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11,12%</w:t>
            </w:r>
          </w:p>
        </w:tc>
      </w:tr>
      <w:tr w:rsidR="00D2667F" w:rsidRPr="00293487" w:rsidTr="00193EA4">
        <w:trPr>
          <w:trHeight w:val="43"/>
        </w:trPr>
        <w:tc>
          <w:tcPr>
            <w:tcW w:w="14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Arial"/>
                <w:color w:val="000000"/>
                <w:sz w:val="22"/>
                <w:lang w:eastAsia="cs-CZ"/>
              </w:rPr>
              <w:t>PBK</w:t>
            </w:r>
          </w:p>
        </w:tc>
        <w:tc>
          <w:tcPr>
            <w:tcW w:w="1693" w:type="dxa"/>
            <w:tcBorders>
              <w:top w:val="single" w:sz="8" w:space="0" w:color="auto"/>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14 407</w:t>
            </w:r>
          </w:p>
        </w:tc>
        <w:tc>
          <w:tcPr>
            <w:tcW w:w="1428" w:type="dxa"/>
            <w:tcBorders>
              <w:top w:val="single" w:sz="8" w:space="0" w:color="auto"/>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1 534</w:t>
            </w:r>
          </w:p>
        </w:tc>
        <w:tc>
          <w:tcPr>
            <w:tcW w:w="1546" w:type="dxa"/>
            <w:tcBorders>
              <w:top w:val="single" w:sz="8" w:space="0" w:color="auto"/>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11,42%</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1 333</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9,25%</w:t>
            </w:r>
          </w:p>
        </w:tc>
      </w:tr>
      <w:tr w:rsidR="00D2667F" w:rsidRPr="00293487" w:rsidTr="00D2667F">
        <w:trPr>
          <w:trHeight w:val="43"/>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Arial"/>
                <w:color w:val="000000"/>
                <w:sz w:val="22"/>
                <w:lang w:eastAsia="cs-CZ"/>
              </w:rPr>
              <w:t>VYS</w:t>
            </w:r>
          </w:p>
        </w:tc>
        <w:tc>
          <w:tcPr>
            <w:tcW w:w="1693"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17 672</w:t>
            </w:r>
          </w:p>
        </w:tc>
        <w:tc>
          <w:tcPr>
            <w:tcW w:w="142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2 276</w:t>
            </w:r>
          </w:p>
        </w:tc>
        <w:tc>
          <w:tcPr>
            <w:tcW w:w="1546"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13,91%</w:t>
            </w:r>
          </w:p>
        </w:tc>
        <w:tc>
          <w:tcPr>
            <w:tcW w:w="141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2 053</w:t>
            </w:r>
          </w:p>
        </w:tc>
        <w:tc>
          <w:tcPr>
            <w:tcW w:w="1556"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11,62%</w:t>
            </w:r>
          </w:p>
        </w:tc>
      </w:tr>
      <w:tr w:rsidR="00D2667F" w:rsidRPr="00293487" w:rsidTr="00D2667F">
        <w:trPr>
          <w:trHeight w:val="43"/>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Arial"/>
                <w:color w:val="000000"/>
                <w:sz w:val="22"/>
                <w:lang w:eastAsia="cs-CZ"/>
              </w:rPr>
              <w:t>JMK</w:t>
            </w:r>
          </w:p>
        </w:tc>
        <w:tc>
          <w:tcPr>
            <w:tcW w:w="1693"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49 032</w:t>
            </w:r>
          </w:p>
        </w:tc>
        <w:tc>
          <w:tcPr>
            <w:tcW w:w="142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5 605</w:t>
            </w:r>
          </w:p>
        </w:tc>
        <w:tc>
          <w:tcPr>
            <w:tcW w:w="1546"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11,86%</w:t>
            </w:r>
          </w:p>
        </w:tc>
        <w:tc>
          <w:tcPr>
            <w:tcW w:w="141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5 326</w:t>
            </w:r>
          </w:p>
        </w:tc>
        <w:tc>
          <w:tcPr>
            <w:tcW w:w="1556"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10,86%</w:t>
            </w:r>
          </w:p>
        </w:tc>
      </w:tr>
      <w:tr w:rsidR="00D2667F" w:rsidRPr="00293487" w:rsidTr="00D2667F">
        <w:trPr>
          <w:trHeight w:val="43"/>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Arial"/>
                <w:color w:val="000000"/>
                <w:sz w:val="22"/>
                <w:lang w:eastAsia="cs-CZ"/>
              </w:rPr>
              <w:t>OLK</w:t>
            </w:r>
          </w:p>
        </w:tc>
        <w:tc>
          <w:tcPr>
            <w:tcW w:w="1693"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26 495</w:t>
            </w:r>
          </w:p>
        </w:tc>
        <w:tc>
          <w:tcPr>
            <w:tcW w:w="142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3 446</w:t>
            </w:r>
          </w:p>
        </w:tc>
        <w:tc>
          <w:tcPr>
            <w:tcW w:w="1546"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13,80%</w:t>
            </w:r>
          </w:p>
        </w:tc>
        <w:tc>
          <w:tcPr>
            <w:tcW w:w="141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3 104</w:t>
            </w:r>
          </w:p>
        </w:tc>
        <w:tc>
          <w:tcPr>
            <w:tcW w:w="1556"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11,72%</w:t>
            </w:r>
          </w:p>
        </w:tc>
      </w:tr>
      <w:tr w:rsidR="00D2667F" w:rsidRPr="00293487" w:rsidTr="00D2667F">
        <w:trPr>
          <w:trHeight w:val="43"/>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Arial"/>
                <w:color w:val="000000"/>
                <w:sz w:val="22"/>
                <w:lang w:eastAsia="cs-CZ"/>
              </w:rPr>
              <w:t>ZLK</w:t>
            </w:r>
          </w:p>
        </w:tc>
        <w:tc>
          <w:tcPr>
            <w:tcW w:w="1693"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19 848</w:t>
            </w:r>
          </w:p>
        </w:tc>
        <w:tc>
          <w:tcPr>
            <w:tcW w:w="142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2 692</w:t>
            </w:r>
          </w:p>
        </w:tc>
        <w:tc>
          <w:tcPr>
            <w:tcW w:w="1546"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14,24%</w:t>
            </w:r>
          </w:p>
        </w:tc>
        <w:tc>
          <w:tcPr>
            <w:tcW w:w="1418" w:type="dxa"/>
            <w:tcBorders>
              <w:top w:val="nil"/>
              <w:left w:val="nil"/>
              <w:bottom w:val="single" w:sz="4"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2 431</w:t>
            </w:r>
          </w:p>
        </w:tc>
        <w:tc>
          <w:tcPr>
            <w:tcW w:w="1556" w:type="dxa"/>
            <w:tcBorders>
              <w:top w:val="nil"/>
              <w:left w:val="nil"/>
              <w:bottom w:val="single" w:sz="4"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12,25%</w:t>
            </w:r>
          </w:p>
        </w:tc>
      </w:tr>
      <w:tr w:rsidR="00D2667F" w:rsidRPr="00293487" w:rsidTr="00D2667F">
        <w:trPr>
          <w:trHeight w:val="45"/>
        </w:trPr>
        <w:tc>
          <w:tcPr>
            <w:tcW w:w="1420" w:type="dxa"/>
            <w:tcBorders>
              <w:top w:val="nil"/>
              <w:left w:val="single" w:sz="8" w:space="0" w:color="auto"/>
              <w:bottom w:val="single" w:sz="8"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color w:val="000000"/>
                <w:sz w:val="22"/>
                <w:lang w:eastAsia="cs-CZ"/>
              </w:rPr>
            </w:pPr>
            <w:r w:rsidRPr="00293487">
              <w:rPr>
                <w:rFonts w:ascii="Calibri" w:eastAsia="Times New Roman" w:hAnsi="Calibri" w:cs="Arial"/>
                <w:color w:val="000000"/>
                <w:sz w:val="22"/>
                <w:lang w:eastAsia="cs-CZ"/>
              </w:rPr>
              <w:t>MSK</w:t>
            </w:r>
          </w:p>
        </w:tc>
        <w:tc>
          <w:tcPr>
            <w:tcW w:w="1693" w:type="dxa"/>
            <w:tcBorders>
              <w:top w:val="nil"/>
              <w:left w:val="nil"/>
              <w:bottom w:val="single" w:sz="8"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64 036</w:t>
            </w:r>
          </w:p>
        </w:tc>
        <w:tc>
          <w:tcPr>
            <w:tcW w:w="1428" w:type="dxa"/>
            <w:tcBorders>
              <w:top w:val="nil"/>
              <w:left w:val="nil"/>
              <w:bottom w:val="single" w:sz="8"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9 406</w:t>
            </w:r>
          </w:p>
        </w:tc>
        <w:tc>
          <w:tcPr>
            <w:tcW w:w="1546" w:type="dxa"/>
            <w:tcBorders>
              <w:top w:val="nil"/>
              <w:left w:val="single" w:sz="4" w:space="0" w:color="auto"/>
              <w:bottom w:val="single" w:sz="8"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14,63%</w:t>
            </w:r>
          </w:p>
        </w:tc>
        <w:tc>
          <w:tcPr>
            <w:tcW w:w="1418" w:type="dxa"/>
            <w:tcBorders>
              <w:top w:val="nil"/>
              <w:left w:val="nil"/>
              <w:bottom w:val="single" w:sz="8"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8 634</w:t>
            </w:r>
          </w:p>
        </w:tc>
        <w:tc>
          <w:tcPr>
            <w:tcW w:w="1556" w:type="dxa"/>
            <w:tcBorders>
              <w:top w:val="nil"/>
              <w:left w:val="nil"/>
              <w:bottom w:val="single" w:sz="8"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color w:val="000000"/>
                <w:sz w:val="22"/>
                <w:lang w:eastAsia="cs-CZ"/>
              </w:rPr>
            </w:pPr>
            <w:r w:rsidRPr="00293487">
              <w:rPr>
                <w:rFonts w:ascii="Calibri" w:eastAsia="Times New Roman" w:hAnsi="Calibri" w:cs="Times New Roman"/>
                <w:color w:val="000000"/>
                <w:sz w:val="22"/>
                <w:lang w:eastAsia="cs-CZ"/>
              </w:rPr>
              <w:t>13,48%</w:t>
            </w:r>
          </w:p>
        </w:tc>
      </w:tr>
      <w:tr w:rsidR="00D2667F" w:rsidRPr="00293487" w:rsidTr="00D2667F">
        <w:trPr>
          <w:trHeight w:val="45"/>
        </w:trPr>
        <w:tc>
          <w:tcPr>
            <w:tcW w:w="14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3487" w:rsidRPr="00293487" w:rsidRDefault="00293487" w:rsidP="00484D3B">
            <w:pPr>
              <w:spacing w:line="240" w:lineRule="auto"/>
              <w:jc w:val="center"/>
              <w:rPr>
                <w:rFonts w:ascii="Calibri" w:eastAsia="Times New Roman" w:hAnsi="Calibri" w:cs="Times New Roman"/>
                <w:b/>
                <w:bCs/>
                <w:color w:val="000000"/>
                <w:sz w:val="22"/>
                <w:lang w:eastAsia="cs-CZ"/>
              </w:rPr>
            </w:pPr>
            <w:r w:rsidRPr="00293487">
              <w:rPr>
                <w:rFonts w:ascii="Calibri" w:eastAsia="Times New Roman" w:hAnsi="Calibri" w:cs="Times New Roman"/>
                <w:b/>
                <w:bCs/>
                <w:color w:val="000000"/>
                <w:sz w:val="22"/>
                <w:lang w:eastAsia="cs-CZ"/>
              </w:rPr>
              <w:t>ČR</w:t>
            </w:r>
          </w:p>
        </w:tc>
        <w:tc>
          <w:tcPr>
            <w:tcW w:w="1693" w:type="dxa"/>
            <w:tcBorders>
              <w:top w:val="single" w:sz="8" w:space="0" w:color="auto"/>
              <w:left w:val="nil"/>
              <w:bottom w:val="single" w:sz="8"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b/>
                <w:bCs/>
                <w:color w:val="000000"/>
                <w:sz w:val="22"/>
                <w:lang w:eastAsia="cs-CZ"/>
              </w:rPr>
            </w:pPr>
            <w:r w:rsidRPr="00293487">
              <w:rPr>
                <w:rFonts w:ascii="Calibri" w:eastAsia="Times New Roman" w:hAnsi="Calibri" w:cs="Times New Roman"/>
                <w:b/>
                <w:bCs/>
                <w:color w:val="000000"/>
                <w:sz w:val="22"/>
                <w:lang w:eastAsia="cs-CZ"/>
              </w:rPr>
              <w:t>381 373</w:t>
            </w:r>
          </w:p>
        </w:tc>
        <w:tc>
          <w:tcPr>
            <w:tcW w:w="1428" w:type="dxa"/>
            <w:tcBorders>
              <w:top w:val="single" w:sz="8" w:space="0" w:color="auto"/>
              <w:left w:val="nil"/>
              <w:bottom w:val="single" w:sz="8"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b/>
                <w:bCs/>
                <w:color w:val="000000"/>
                <w:sz w:val="22"/>
                <w:lang w:eastAsia="cs-CZ"/>
              </w:rPr>
            </w:pPr>
            <w:r w:rsidRPr="00293487">
              <w:rPr>
                <w:rFonts w:ascii="Calibri" w:eastAsia="Times New Roman" w:hAnsi="Calibri" w:cs="Times New Roman"/>
                <w:b/>
                <w:bCs/>
                <w:color w:val="000000"/>
                <w:sz w:val="22"/>
                <w:lang w:eastAsia="cs-CZ"/>
              </w:rPr>
              <w:t>44 789</w:t>
            </w:r>
          </w:p>
        </w:tc>
        <w:tc>
          <w:tcPr>
            <w:tcW w:w="1546" w:type="dxa"/>
            <w:tcBorders>
              <w:top w:val="single" w:sz="8" w:space="0" w:color="auto"/>
              <w:left w:val="nil"/>
              <w:bottom w:val="single" w:sz="8"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b/>
                <w:bCs/>
                <w:color w:val="000000"/>
                <w:sz w:val="22"/>
                <w:lang w:eastAsia="cs-CZ"/>
              </w:rPr>
            </w:pPr>
            <w:r w:rsidRPr="00293487">
              <w:rPr>
                <w:rFonts w:ascii="Calibri" w:eastAsia="Times New Roman" w:hAnsi="Calibri" w:cs="Times New Roman"/>
                <w:b/>
                <w:bCs/>
                <w:color w:val="000000"/>
                <w:sz w:val="22"/>
                <w:lang w:eastAsia="cs-CZ"/>
              </w:rPr>
              <w:t>11,84%</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b/>
                <w:bCs/>
                <w:color w:val="000000"/>
                <w:sz w:val="22"/>
                <w:lang w:eastAsia="cs-CZ"/>
              </w:rPr>
            </w:pPr>
            <w:r w:rsidRPr="00293487">
              <w:rPr>
                <w:rFonts w:ascii="Calibri" w:eastAsia="Times New Roman" w:hAnsi="Calibri" w:cs="Times New Roman"/>
                <w:b/>
                <w:bCs/>
                <w:color w:val="000000"/>
                <w:sz w:val="22"/>
                <w:lang w:eastAsia="cs-CZ"/>
              </w:rPr>
              <w:t>40 933</w:t>
            </w:r>
          </w:p>
        </w:tc>
        <w:tc>
          <w:tcPr>
            <w:tcW w:w="1556" w:type="dxa"/>
            <w:tcBorders>
              <w:top w:val="single" w:sz="8" w:space="0" w:color="auto"/>
              <w:left w:val="nil"/>
              <w:bottom w:val="single" w:sz="8" w:space="0" w:color="auto"/>
              <w:right w:val="single" w:sz="8" w:space="0" w:color="auto"/>
            </w:tcBorders>
            <w:shd w:val="clear" w:color="auto" w:fill="auto"/>
            <w:noWrap/>
            <w:vAlign w:val="bottom"/>
            <w:hideMark/>
          </w:tcPr>
          <w:p w:rsidR="00293487" w:rsidRPr="00293487" w:rsidRDefault="00293487" w:rsidP="00484D3B">
            <w:pPr>
              <w:spacing w:line="240" w:lineRule="auto"/>
              <w:jc w:val="right"/>
              <w:rPr>
                <w:rFonts w:ascii="Calibri" w:eastAsia="Times New Roman" w:hAnsi="Calibri" w:cs="Times New Roman"/>
                <w:b/>
                <w:bCs/>
                <w:color w:val="000000"/>
                <w:sz w:val="22"/>
                <w:lang w:eastAsia="cs-CZ"/>
              </w:rPr>
            </w:pPr>
            <w:r w:rsidRPr="00293487">
              <w:rPr>
                <w:rFonts w:ascii="Calibri" w:eastAsia="Times New Roman" w:hAnsi="Calibri" w:cs="Times New Roman"/>
                <w:b/>
                <w:bCs/>
                <w:color w:val="000000"/>
                <w:sz w:val="22"/>
                <w:lang w:eastAsia="cs-CZ"/>
              </w:rPr>
              <w:t>10,73%</w:t>
            </w:r>
          </w:p>
        </w:tc>
      </w:tr>
    </w:tbl>
    <w:p w:rsidR="00293487" w:rsidRDefault="00293487" w:rsidP="00D2661E">
      <w:pPr>
        <w:spacing w:before="120" w:after="120" w:line="240" w:lineRule="auto"/>
        <w:rPr>
          <w:b/>
        </w:rPr>
      </w:pPr>
      <w:r>
        <w:t xml:space="preserve">Z uvedené tabulky vyplývá, že s výjimkou Prahy poklesl podíl i počet </w:t>
      </w:r>
      <w:proofErr w:type="spellStart"/>
      <w:r>
        <w:t>UoZ</w:t>
      </w:r>
      <w:proofErr w:type="spellEnd"/>
      <w:r>
        <w:t xml:space="preserve"> vykonávajících nekolidující zaměstnání ve všech krajích ČR, v Praze při stagnaci absolutního počtu došlo s ohledem na snížení celkového počtu </w:t>
      </w:r>
      <w:proofErr w:type="spellStart"/>
      <w:r>
        <w:t>UoZ</w:t>
      </w:r>
      <w:proofErr w:type="spellEnd"/>
      <w:r>
        <w:t xml:space="preserve"> ke zvýšení podílu. </w:t>
      </w:r>
      <w:r w:rsidRPr="00293487">
        <w:rPr>
          <w:b/>
        </w:rPr>
        <w:t xml:space="preserve">Vysoké zastoupení </w:t>
      </w:r>
      <w:proofErr w:type="spellStart"/>
      <w:r w:rsidRPr="00293487">
        <w:rPr>
          <w:b/>
        </w:rPr>
        <w:t>UoZ</w:t>
      </w:r>
      <w:proofErr w:type="spellEnd"/>
      <w:r w:rsidRPr="00293487">
        <w:rPr>
          <w:b/>
        </w:rPr>
        <w:t xml:space="preserve"> vykonávajících nekolidující zaměstnání zůstává, při mírném poklesu, v Moravskoslezském kraji</w:t>
      </w:r>
      <w:r>
        <w:rPr>
          <w:b/>
        </w:rPr>
        <w:t>.</w:t>
      </w:r>
    </w:p>
    <w:p w:rsidR="008D5084" w:rsidRDefault="008D5084">
      <w:pPr>
        <w:spacing w:after="200"/>
        <w:jc w:val="left"/>
        <w:rPr>
          <w:b/>
        </w:rPr>
      </w:pPr>
      <w:r>
        <w:rPr>
          <w:b/>
        </w:rPr>
        <w:br w:type="page"/>
      </w:r>
    </w:p>
    <w:p w:rsidR="00293487" w:rsidRDefault="00293487" w:rsidP="00484D3B">
      <w:pPr>
        <w:pStyle w:val="Nadpis2"/>
        <w:spacing w:line="240" w:lineRule="auto"/>
      </w:pPr>
      <w:bookmarkStart w:id="85" w:name="_Toc476556238"/>
      <w:r>
        <w:t>Dlouhodobá nezaměstnanost</w:t>
      </w:r>
      <w:bookmarkEnd w:id="85"/>
    </w:p>
    <w:p w:rsidR="00293487" w:rsidRDefault="00293487" w:rsidP="00484D3B">
      <w:pPr>
        <w:spacing w:after="200" w:line="240" w:lineRule="auto"/>
        <w:rPr>
          <w:b/>
        </w:rPr>
      </w:pPr>
      <w:r>
        <w:t xml:space="preserve">V posledních měsících dochází v důsledku vývoje na trhu práce k velmi pozitivnímu vývoji v oblasti dlouhodobé nezaměstnanosti. Počet </w:t>
      </w:r>
      <w:proofErr w:type="spellStart"/>
      <w:r w:rsidR="008D5084">
        <w:t>UoZ</w:t>
      </w:r>
      <w:proofErr w:type="spellEnd"/>
      <w:r>
        <w:t>, kteří jsou bez zaměstnání déle než 12 měsíců</w:t>
      </w:r>
      <w:r w:rsidR="00EF66B9">
        <w:t>,</w:t>
      </w:r>
      <w:r>
        <w:t xml:space="preserve"> klesá jak v </w:t>
      </w:r>
      <w:r w:rsidR="003015EB">
        <w:t>absolutním počtu, tak rovněž, a </w:t>
      </w:r>
      <w:r>
        <w:t xml:space="preserve">to je zejména pozitivní, i v relativním zastoupení na celkové nezaměstnanosti. Zejména data za poslední </w:t>
      </w:r>
      <w:r w:rsidR="000901EA">
        <w:t xml:space="preserve">čtvrtletí </w:t>
      </w:r>
      <w:r>
        <w:t xml:space="preserve">roku 2016 lze interpretovat jako vysoce pozitivní, neboť i přes sezónní vliv charakterizovaný přechodným zhoršením vývoje trhu práce v zimních měsících, </w:t>
      </w:r>
      <w:r w:rsidR="00EF66B9">
        <w:t xml:space="preserve">dochází nadále k poklesu jak zastoupení dlouhodobě nezaměstnaných osob na celkové nezaměstnanosti, tak ke snižování absolutních počtů. Nutno zdůraznit, že pokles se primárně týká extrémně dlouhodobě nezaměstnaných osob, tj. těch, které jsou evidovány jako uchazeči o zaměstnání déle než 24 měsíců. </w:t>
      </w:r>
      <w:r w:rsidR="00EF66B9">
        <w:rPr>
          <w:b/>
        </w:rPr>
        <w:t xml:space="preserve">Je tedy zřejmé, že současný trh práce má schopnost </w:t>
      </w:r>
      <w:r w:rsidR="003015EB">
        <w:rPr>
          <w:b/>
        </w:rPr>
        <w:t>vstřebat i tyto</w:t>
      </w:r>
      <w:r w:rsidR="00EF66B9">
        <w:rPr>
          <w:b/>
        </w:rPr>
        <w:t xml:space="preserve"> j</w:t>
      </w:r>
      <w:r w:rsidR="003015EB">
        <w:rPr>
          <w:b/>
        </w:rPr>
        <w:t>inak na trhu práce znevýhodněné</w:t>
      </w:r>
      <w:r w:rsidR="00EF66B9">
        <w:rPr>
          <w:b/>
        </w:rPr>
        <w:t xml:space="preserve"> osoby a rovněž se ukazuje, že při nastavení optimálních pracovních podmínek jsou i osoby extrémně dlouhodobě nezaměstnané </w:t>
      </w:r>
      <w:r w:rsidR="003015EB">
        <w:t xml:space="preserve">(či část z nich) </w:t>
      </w:r>
      <w:r w:rsidR="00EF66B9">
        <w:rPr>
          <w:b/>
        </w:rPr>
        <w:t>ochotny vrátit se aktivně na trh práce.</w:t>
      </w:r>
    </w:p>
    <w:p w:rsidR="0009773F" w:rsidRDefault="0009773F" w:rsidP="00484D3B">
      <w:pPr>
        <w:pStyle w:val="Titulek"/>
        <w:keepNext/>
      </w:pPr>
      <w:bookmarkStart w:id="86" w:name="_Toc476556289"/>
      <w:r>
        <w:t xml:space="preserve">Graf č.: </w:t>
      </w:r>
      <w:r w:rsidR="00AB7C96">
        <w:fldChar w:fldCharType="begin"/>
      </w:r>
      <w:r w:rsidR="00AB7C96">
        <w:instrText xml:space="preserve"> SEQ Graf_č.: \* ARABIC </w:instrText>
      </w:r>
      <w:r w:rsidR="00AB7C96">
        <w:fldChar w:fldCharType="separate"/>
      </w:r>
      <w:r w:rsidR="004A5D48">
        <w:rPr>
          <w:noProof/>
        </w:rPr>
        <w:t>12</w:t>
      </w:r>
      <w:r w:rsidR="00AB7C96">
        <w:rPr>
          <w:noProof/>
        </w:rPr>
        <w:fldChar w:fldCharType="end"/>
      </w:r>
      <w:r>
        <w:t xml:space="preserve"> Vývoj struktury </w:t>
      </w:r>
      <w:proofErr w:type="spellStart"/>
      <w:r>
        <w:t>UoZ</w:t>
      </w:r>
      <w:proofErr w:type="spellEnd"/>
      <w:r>
        <w:t xml:space="preserve"> dle doby evidence (2008 </w:t>
      </w:r>
      <w:r w:rsidR="00011F37">
        <w:t>–</w:t>
      </w:r>
      <w:r>
        <w:t xml:space="preserve"> 2016</w:t>
      </w:r>
      <w:r w:rsidR="00011F37">
        <w:t>,</w:t>
      </w:r>
      <w:r w:rsidR="00011F37">
        <w:rPr>
          <w:b w:val="0"/>
        </w:rPr>
        <w:t xml:space="preserve"> kumulativní součet</w:t>
      </w:r>
      <w:r>
        <w:t>)</w:t>
      </w:r>
      <w:bookmarkEnd w:id="86"/>
    </w:p>
    <w:p w:rsidR="0009773F" w:rsidRPr="00EF66B9" w:rsidRDefault="0009773F" w:rsidP="00484D3B">
      <w:pPr>
        <w:spacing w:after="200" w:line="240" w:lineRule="auto"/>
        <w:rPr>
          <w:b/>
        </w:rPr>
      </w:pPr>
      <w:r>
        <w:rPr>
          <w:noProof/>
          <w:lang w:eastAsia="cs-CZ"/>
        </w:rPr>
        <w:drawing>
          <wp:inline distT="0" distB="0" distL="0" distR="0" wp14:anchorId="3F3A6DB9" wp14:editId="3F902F6B">
            <wp:extent cx="5826642" cy="2413590"/>
            <wp:effectExtent l="0" t="0" r="22225" b="2540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93487" w:rsidRDefault="0009773F" w:rsidP="00484D3B">
      <w:pPr>
        <w:spacing w:after="200" w:line="240" w:lineRule="auto"/>
      </w:pPr>
      <w:r>
        <w:t>Vývoj poklesu dlouhodobě nezaměstnaných osob v posledních měsících ve srovnání s </w:t>
      </w:r>
      <w:proofErr w:type="spellStart"/>
      <w:r>
        <w:t>UoZ</w:t>
      </w:r>
      <w:proofErr w:type="spellEnd"/>
      <w:r>
        <w:t xml:space="preserve"> evidovanými kratší dobu vynikne v případě znázornění vývoje počtu osob podle doby evidence v následujícím grafu.</w:t>
      </w:r>
    </w:p>
    <w:p w:rsidR="006D5E41" w:rsidRDefault="006D5E41" w:rsidP="00484D3B">
      <w:pPr>
        <w:pStyle w:val="Titulek"/>
        <w:keepNext/>
      </w:pPr>
      <w:bookmarkStart w:id="87" w:name="_Toc476556290"/>
      <w:r>
        <w:t xml:space="preserve">Graf č.: </w:t>
      </w:r>
      <w:r w:rsidR="00AB7C96">
        <w:fldChar w:fldCharType="begin"/>
      </w:r>
      <w:r w:rsidR="00AB7C96">
        <w:instrText xml:space="preserve"> SEQ Graf_č.: \* ARABIC </w:instrText>
      </w:r>
      <w:r w:rsidR="00AB7C96">
        <w:fldChar w:fldCharType="separate"/>
      </w:r>
      <w:r w:rsidR="004A5D48">
        <w:rPr>
          <w:noProof/>
        </w:rPr>
        <w:t>13</w:t>
      </w:r>
      <w:r w:rsidR="00AB7C96">
        <w:rPr>
          <w:noProof/>
        </w:rPr>
        <w:fldChar w:fldCharType="end"/>
      </w:r>
      <w:r>
        <w:t xml:space="preserve"> Vývoj počtu </w:t>
      </w:r>
      <w:proofErr w:type="spellStart"/>
      <w:r>
        <w:t>UoZ</w:t>
      </w:r>
      <w:proofErr w:type="spellEnd"/>
      <w:r>
        <w:t xml:space="preserve"> podle doby evidence (2008-2016)</w:t>
      </w:r>
      <w:bookmarkEnd w:id="87"/>
    </w:p>
    <w:p w:rsidR="0009773F" w:rsidRPr="00293487" w:rsidRDefault="006D5E41" w:rsidP="00484D3B">
      <w:pPr>
        <w:spacing w:after="200" w:line="240" w:lineRule="auto"/>
      </w:pPr>
      <w:r>
        <w:rPr>
          <w:noProof/>
          <w:lang w:eastAsia="cs-CZ"/>
        </w:rPr>
        <w:drawing>
          <wp:inline distT="0" distB="0" distL="0" distR="0" wp14:anchorId="1977F437" wp14:editId="29E09B61">
            <wp:extent cx="5762847" cy="2296632"/>
            <wp:effectExtent l="0" t="0" r="9525" b="2794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D5E41" w:rsidRDefault="006D5E41" w:rsidP="00484D3B">
      <w:pPr>
        <w:spacing w:line="240" w:lineRule="auto"/>
      </w:pPr>
      <w:r>
        <w:t>Zejména v posledních měsících (od 2</w:t>
      </w:r>
      <w:r w:rsidR="000901EA">
        <w:t>Q</w:t>
      </w:r>
      <w:r>
        <w:t xml:space="preserve"> 2016) je zřejmá vyšší dynamika poklesu extrémně dlouhodobé nezaměstnanosti oproti dlouhodobé nezaměstnanosti a</w:t>
      </w:r>
      <w:r w:rsidR="000901EA">
        <w:t> </w:t>
      </w:r>
      <w:r>
        <w:t xml:space="preserve">v posledních měsících rovněž evidentní pokles dlouhodobé nezaměstnanosti i přes sezónní výkyvy na trhu práce (projevují se v krátkodobé nezaměstnanosti). Z grafu je rovněž patrné, </w:t>
      </w:r>
      <w:r w:rsidRPr="006D5E41">
        <w:rPr>
          <w:b/>
        </w:rPr>
        <w:t xml:space="preserve">že od poloviny roku 2016 se na poklesu nezaměstnanosti, </w:t>
      </w:r>
      <w:r w:rsidRPr="006D5E41">
        <w:t>resp. na brždění jejího růstu v závěru roku</w:t>
      </w:r>
      <w:r>
        <w:rPr>
          <w:b/>
        </w:rPr>
        <w:t>,</w:t>
      </w:r>
      <w:r w:rsidRPr="006D5E41">
        <w:rPr>
          <w:b/>
        </w:rPr>
        <w:t xml:space="preserve"> podílí právě pokles dlouhodobé nezaměstnanosti</w:t>
      </w:r>
      <w:r>
        <w:rPr>
          <w:b/>
        </w:rPr>
        <w:t>.</w:t>
      </w:r>
      <w:r w:rsidR="00B346DC">
        <w:rPr>
          <w:b/>
        </w:rPr>
        <w:t xml:space="preserve"> </w:t>
      </w:r>
      <w:r>
        <w:t>Skutečnost, že na poklesu dlouhodobé nezaměs</w:t>
      </w:r>
      <w:r w:rsidR="00B346DC">
        <w:t xml:space="preserve">tnanosti se podílí zejména extrémně dlouhodobá nezaměstnanost, pak ukazuje následující graf vývoje dynamiky změny ve struktuře </w:t>
      </w:r>
      <w:proofErr w:type="spellStart"/>
      <w:r w:rsidR="00B346DC">
        <w:t>UoZ</w:t>
      </w:r>
      <w:proofErr w:type="spellEnd"/>
      <w:r w:rsidR="00B346DC">
        <w:t xml:space="preserve"> podle doby nezaměstnanosti.</w:t>
      </w:r>
    </w:p>
    <w:p w:rsidR="00B346DC" w:rsidRDefault="00B346DC" w:rsidP="00484D3B">
      <w:pPr>
        <w:spacing w:line="240" w:lineRule="auto"/>
      </w:pPr>
    </w:p>
    <w:p w:rsidR="00B346DC" w:rsidRDefault="00B346DC" w:rsidP="00484D3B">
      <w:pPr>
        <w:pStyle w:val="Titulek"/>
        <w:keepNext/>
      </w:pPr>
      <w:bookmarkStart w:id="88" w:name="_Toc476556291"/>
      <w:r>
        <w:t xml:space="preserve">Graf č.: </w:t>
      </w:r>
      <w:r w:rsidR="00AB7C96">
        <w:fldChar w:fldCharType="begin"/>
      </w:r>
      <w:r w:rsidR="00AB7C96">
        <w:instrText xml:space="preserve"> SEQ Graf_č.: \* ARABIC </w:instrText>
      </w:r>
      <w:r w:rsidR="00AB7C96">
        <w:fldChar w:fldCharType="separate"/>
      </w:r>
      <w:r w:rsidR="004A5D48">
        <w:rPr>
          <w:noProof/>
        </w:rPr>
        <w:t>14</w:t>
      </w:r>
      <w:r w:rsidR="00AB7C96">
        <w:rPr>
          <w:noProof/>
        </w:rPr>
        <w:fldChar w:fldCharType="end"/>
      </w:r>
      <w:r>
        <w:t xml:space="preserve"> Dynamika změny dlouhodobé nezaměstnanosti </w:t>
      </w:r>
      <w:r w:rsidRPr="00011F37">
        <w:rPr>
          <w:b w:val="0"/>
        </w:rPr>
        <w:t>(v %</w:t>
      </w:r>
      <w:r w:rsidR="00011F37" w:rsidRPr="00011F37">
        <w:rPr>
          <w:b w:val="0"/>
        </w:rPr>
        <w:t>, mezičtvrtletní změna</w:t>
      </w:r>
      <w:r w:rsidRPr="00011F37">
        <w:rPr>
          <w:b w:val="0"/>
        </w:rPr>
        <w:t>)</w:t>
      </w:r>
      <w:bookmarkEnd w:id="88"/>
    </w:p>
    <w:p w:rsidR="00B346DC" w:rsidRPr="006D5E41" w:rsidRDefault="00B346DC" w:rsidP="00484D3B">
      <w:pPr>
        <w:spacing w:line="240" w:lineRule="auto"/>
      </w:pPr>
      <w:r>
        <w:rPr>
          <w:noProof/>
          <w:lang w:eastAsia="cs-CZ"/>
        </w:rPr>
        <w:drawing>
          <wp:inline distT="0" distB="0" distL="0" distR="0" wp14:anchorId="28B590F6" wp14:editId="5886F419">
            <wp:extent cx="5762625" cy="2857500"/>
            <wp:effectExtent l="0" t="0" r="9525" b="1905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D5E41" w:rsidRDefault="006D5E41" w:rsidP="00484D3B">
      <w:pPr>
        <w:spacing w:line="240" w:lineRule="auto"/>
        <w:rPr>
          <w:b/>
        </w:rPr>
      </w:pPr>
    </w:p>
    <w:p w:rsidR="00375AC9" w:rsidRDefault="00B346DC" w:rsidP="00484D3B">
      <w:pPr>
        <w:spacing w:line="240" w:lineRule="auto"/>
      </w:pPr>
      <w:r>
        <w:t xml:space="preserve">MPSV v současné době nemonitoruje prostřednictvím statistického systému vnitřní strukturu dlouhodobě nezaměstnaných uchazečů o zaměstnání. Takováto šetření bývají vytvářena na základě průzkumu na pracovištích ÚP ČR s cílem získat kvalifikované odhady zastoupení jednotlivých znevýhodněných skupin mezi dlouhodobě nezaměstnanými </w:t>
      </w:r>
      <w:proofErr w:type="spellStart"/>
      <w:r>
        <w:t>UoZ</w:t>
      </w:r>
      <w:proofErr w:type="spellEnd"/>
      <w:r>
        <w:t xml:space="preserve">. </w:t>
      </w:r>
      <w:r w:rsidR="008331D8">
        <w:t>Toto</w:t>
      </w:r>
      <w:r>
        <w:t xml:space="preserve"> šetření bylo provedeno pro potřeby </w:t>
      </w:r>
      <w:r w:rsidR="008331D8">
        <w:t>předchozí Analýzy</w:t>
      </w:r>
      <w:r>
        <w:t xml:space="preserve"> n</w:t>
      </w:r>
      <w:r w:rsidR="008331D8">
        <w:t>abídky a poptávky na trhu práce</w:t>
      </w:r>
      <w:r w:rsidR="00011F37">
        <w:t>.</w:t>
      </w:r>
      <w:r>
        <w:t xml:space="preserve"> S ohledem na relativně krátký časový odstup od vypracování tohoto materiálu ke sledovanému období však nelze předpokládat posun ve vnitřní struktuře dlouhodobě nezaměstnaných osob.</w:t>
      </w:r>
      <w:r w:rsidR="008331D8">
        <w:t xml:space="preserve"> </w:t>
      </w:r>
      <w:r w:rsidR="00375AC9">
        <w:t>S poklesem dlouhodobé nezaměstnanosti rovněž</w:t>
      </w:r>
      <w:r w:rsidR="00E17CFD">
        <w:t xml:space="preserve"> úzce souvisí pokles uchazečů o </w:t>
      </w:r>
      <w:r w:rsidR="00375AC9">
        <w:t xml:space="preserve">zaměstnání, kteří jsou zároveň osobami v hmotné nouzi. </w:t>
      </w:r>
      <w:r w:rsidR="00375AC9">
        <w:rPr>
          <w:b/>
        </w:rPr>
        <w:t>K 31. 12. 2016 evidoval UP ČR celkem 88 612 uchazečů o zaměstnání v hmotné nouzi</w:t>
      </w:r>
      <w:r w:rsidR="009B4C97">
        <w:t>, což je o 4 428 osob méně</w:t>
      </w:r>
      <w:r w:rsidR="00375AC9">
        <w:t xml:space="preserve"> než v září 2016.</w:t>
      </w:r>
    </w:p>
    <w:p w:rsidR="007F2CB4" w:rsidRDefault="007F2CB4">
      <w:pPr>
        <w:spacing w:after="200"/>
        <w:jc w:val="left"/>
      </w:pPr>
      <w:r>
        <w:br w:type="page"/>
      </w:r>
    </w:p>
    <w:p w:rsidR="000B097A" w:rsidRDefault="000B097A" w:rsidP="00881B08">
      <w:pPr>
        <w:pStyle w:val="Nadpis2"/>
        <w:spacing w:line="240" w:lineRule="auto"/>
      </w:pPr>
      <w:bookmarkStart w:id="89" w:name="_Toc476556239"/>
      <w:r>
        <w:t>Cizinci na českém trhu práce</w:t>
      </w:r>
      <w:bookmarkEnd w:id="89"/>
    </w:p>
    <w:p w:rsidR="00A04A84" w:rsidRDefault="000B097A" w:rsidP="00881B08">
      <w:pPr>
        <w:spacing w:before="120" w:line="240" w:lineRule="auto"/>
        <w:rPr>
          <w:szCs w:val="24"/>
        </w:rPr>
      </w:pPr>
      <w:r>
        <w:rPr>
          <w:szCs w:val="24"/>
        </w:rPr>
        <w:t>Počet cizích státních příslušníků pohybujících se na českém trhu práce v posledních letech významně narůstá, a to v souvislosti s obnoveným růstem české ekonomiky od roku 2014</w:t>
      </w:r>
      <w:r w:rsidR="008331D8">
        <w:rPr>
          <w:rStyle w:val="Znakapoznpodarou"/>
        </w:rPr>
        <w:footnoteReference w:id="9"/>
      </w:r>
      <w:r>
        <w:rPr>
          <w:szCs w:val="24"/>
        </w:rPr>
        <w:t xml:space="preserve">. </w:t>
      </w:r>
      <w:r w:rsidRPr="00017052">
        <w:rPr>
          <w:b/>
          <w:szCs w:val="24"/>
        </w:rPr>
        <w:t>Zatímco počet cizinců se živnostenským oprávněním je stabilní a</w:t>
      </w:r>
      <w:r w:rsidR="00011F37">
        <w:rPr>
          <w:b/>
          <w:szCs w:val="24"/>
        </w:rPr>
        <w:t> </w:t>
      </w:r>
      <w:r w:rsidRPr="00017052">
        <w:rPr>
          <w:b/>
          <w:szCs w:val="24"/>
        </w:rPr>
        <w:t>pohyboval se v letech 2014 a 2015 kolem 83 000 osob</w:t>
      </w:r>
      <w:r>
        <w:rPr>
          <w:szCs w:val="24"/>
        </w:rPr>
        <w:t xml:space="preserve">, </w:t>
      </w:r>
      <w:r w:rsidRPr="00017052">
        <w:rPr>
          <w:b/>
          <w:szCs w:val="24"/>
        </w:rPr>
        <w:t>rapidně vzrůstá počet zaměstnanců, tj. osob, které eviduje ÚP ČR. V roce 201</w:t>
      </w:r>
      <w:r w:rsidR="00D05A1E">
        <w:rPr>
          <w:b/>
          <w:szCs w:val="24"/>
        </w:rPr>
        <w:t>6</w:t>
      </w:r>
      <w:r w:rsidRPr="00017052">
        <w:rPr>
          <w:b/>
          <w:szCs w:val="24"/>
        </w:rPr>
        <w:t xml:space="preserve"> se na českém trhu práce pohybovalo v postavení zaměstnanců celkem </w:t>
      </w:r>
      <w:r w:rsidR="00D05A1E">
        <w:rPr>
          <w:b/>
          <w:szCs w:val="24"/>
        </w:rPr>
        <w:t>382 889</w:t>
      </w:r>
      <w:r w:rsidRPr="00017052">
        <w:rPr>
          <w:b/>
          <w:szCs w:val="24"/>
        </w:rPr>
        <w:t xml:space="preserve"> cizích státních příslušníků</w:t>
      </w:r>
      <w:r w:rsidR="00017052">
        <w:rPr>
          <w:szCs w:val="24"/>
        </w:rPr>
        <w:t xml:space="preserve">, což je o </w:t>
      </w:r>
      <w:r w:rsidR="00D05A1E">
        <w:rPr>
          <w:szCs w:val="24"/>
        </w:rPr>
        <w:t>59 645</w:t>
      </w:r>
      <w:r w:rsidR="00017052">
        <w:rPr>
          <w:szCs w:val="24"/>
        </w:rPr>
        <w:t xml:space="preserve"> osob více než v roce 201</w:t>
      </w:r>
      <w:r w:rsidR="00D05A1E">
        <w:rPr>
          <w:szCs w:val="24"/>
        </w:rPr>
        <w:t>5</w:t>
      </w:r>
      <w:r w:rsidR="00017052">
        <w:rPr>
          <w:szCs w:val="24"/>
        </w:rPr>
        <w:t xml:space="preserve"> a o </w:t>
      </w:r>
      <w:r w:rsidR="00D05A1E">
        <w:rPr>
          <w:szCs w:val="24"/>
        </w:rPr>
        <w:t>142 647</w:t>
      </w:r>
      <w:r w:rsidR="00017052">
        <w:rPr>
          <w:szCs w:val="24"/>
        </w:rPr>
        <w:t xml:space="preserve"> osob více než v roce 2007 (tento rok se trh práce vyvíjel obdobným způsobem jako v současné době). </w:t>
      </w:r>
    </w:p>
    <w:p w:rsidR="00017052" w:rsidRDefault="00017052" w:rsidP="00881B08">
      <w:pPr>
        <w:spacing w:before="120" w:line="240" w:lineRule="auto"/>
        <w:rPr>
          <w:szCs w:val="24"/>
        </w:rPr>
      </w:pPr>
    </w:p>
    <w:p w:rsidR="008331D8" w:rsidRDefault="009949BB" w:rsidP="00881B08">
      <w:pPr>
        <w:pStyle w:val="Titulek"/>
        <w:keepNext/>
        <w:spacing w:before="120" w:after="0"/>
      </w:pPr>
      <w:bookmarkStart w:id="90" w:name="_Toc476556292"/>
      <w:r>
        <w:rPr>
          <w:rFonts w:ascii="Tahoma" w:hAnsi="Tahoma" w:cs="Tahoma"/>
          <w:noProof/>
          <w:color w:val="333333"/>
          <w:sz w:val="19"/>
          <w:szCs w:val="19"/>
          <w:lang w:eastAsia="cs-CZ"/>
        </w:rPr>
        <w:drawing>
          <wp:anchor distT="0" distB="0" distL="114300" distR="114300" simplePos="0" relativeHeight="251663360" behindDoc="1" locked="0" layoutInCell="1" allowOverlap="1" wp14:anchorId="4C4F4EE7" wp14:editId="1992DC5F">
            <wp:simplePos x="0" y="0"/>
            <wp:positionH relativeFrom="column">
              <wp:posOffset>-109855</wp:posOffset>
            </wp:positionH>
            <wp:positionV relativeFrom="paragraph">
              <wp:posOffset>300990</wp:posOffset>
            </wp:positionV>
            <wp:extent cx="6086475" cy="4067175"/>
            <wp:effectExtent l="0" t="0" r="9525" b="9525"/>
            <wp:wrapTight wrapText="bothSides">
              <wp:wrapPolygon edited="0">
                <wp:start x="0" y="0"/>
                <wp:lineTo x="0" y="21549"/>
                <wp:lineTo x="21566" y="21549"/>
                <wp:lineTo x="21566" y="0"/>
                <wp:lineTo x="0" y="0"/>
              </wp:wrapPolygon>
            </wp:wrapTight>
            <wp:docPr id="11" name="Obrázek 11" descr="https://www.czso.cz/documents/10180/28532303/881528006.png/64e83903-75d5-45b6-a91f-03148aff43f7?version=1.0&amp;t=148361486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zso.cz/documents/10180/28532303/881528006.png/64e83903-75d5-45b6-a91f-03148aff43f7?version=1.0&amp;t=1483614862172"/>
                    <pic:cNvPicPr>
                      <a:picLocks noChangeAspect="1" noChangeArrowheads="1"/>
                    </pic:cNvPicPr>
                  </pic:nvPicPr>
                  <pic:blipFill rotWithShape="1">
                    <a:blip r:embed="rId32">
                      <a:extLst>
                        <a:ext uri="{28A0092B-C50C-407E-A947-70E740481C1C}">
                          <a14:useLocalDpi xmlns:a14="http://schemas.microsoft.com/office/drawing/2010/main" val="0"/>
                        </a:ext>
                      </a:extLst>
                    </a:blip>
                    <a:srcRect t="10735" b="3778"/>
                    <a:stretch/>
                  </pic:blipFill>
                  <pic:spPr bwMode="auto">
                    <a:xfrm>
                      <a:off x="0" y="0"/>
                      <a:ext cx="6086475" cy="4067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31D8">
        <w:t xml:space="preserve">Graf č.: </w:t>
      </w:r>
      <w:r w:rsidR="00AB7C96">
        <w:fldChar w:fldCharType="begin"/>
      </w:r>
      <w:r w:rsidR="00AB7C96">
        <w:instrText xml:space="preserve"> SEQ Graf_č.: \* ARABIC </w:instrText>
      </w:r>
      <w:r w:rsidR="00AB7C96">
        <w:fldChar w:fldCharType="separate"/>
      </w:r>
      <w:r w:rsidR="004A5D48">
        <w:rPr>
          <w:noProof/>
        </w:rPr>
        <w:t>15</w:t>
      </w:r>
      <w:r w:rsidR="00AB7C96">
        <w:rPr>
          <w:noProof/>
        </w:rPr>
        <w:fldChar w:fldCharType="end"/>
      </w:r>
      <w:r w:rsidR="008331D8">
        <w:t xml:space="preserve"> Vývoj zaměstnanosti cizinců podle postavení v zaměstnání (1997-2015)</w:t>
      </w:r>
      <w:bookmarkEnd w:id="90"/>
    </w:p>
    <w:p w:rsidR="003015EB" w:rsidRDefault="00713BAA" w:rsidP="00881B08">
      <w:pPr>
        <w:spacing w:before="120" w:line="240" w:lineRule="auto"/>
        <w:jc w:val="right"/>
        <w:rPr>
          <w:i/>
          <w:sz w:val="20"/>
          <w:szCs w:val="24"/>
        </w:rPr>
      </w:pPr>
      <w:r>
        <w:rPr>
          <w:i/>
          <w:sz w:val="20"/>
          <w:szCs w:val="24"/>
        </w:rPr>
        <w:t>Zdroj: ČSÚ</w:t>
      </w:r>
    </w:p>
    <w:p w:rsidR="008331D8" w:rsidRDefault="008331D8" w:rsidP="00881B08">
      <w:pPr>
        <w:pStyle w:val="Nadpis3"/>
      </w:pPr>
      <w:bookmarkStart w:id="91" w:name="_Toc476556240"/>
      <w:r>
        <w:t>Cizinci - zaměstnanci</w:t>
      </w:r>
      <w:bookmarkEnd w:id="91"/>
    </w:p>
    <w:p w:rsidR="00017052" w:rsidRDefault="00017052" w:rsidP="00881B08">
      <w:pPr>
        <w:spacing w:before="120" w:line="240" w:lineRule="auto"/>
        <w:rPr>
          <w:szCs w:val="24"/>
        </w:rPr>
      </w:pPr>
      <w:r>
        <w:rPr>
          <w:szCs w:val="24"/>
        </w:rPr>
        <w:t>Většina cizích státních příslušníků v postavení zaměstnanců na českém trhu práce jsou občané zemí EU</w:t>
      </w:r>
      <w:r w:rsidR="00011F37">
        <w:rPr>
          <w:szCs w:val="24"/>
        </w:rPr>
        <w:t>,</w:t>
      </w:r>
      <w:r>
        <w:rPr>
          <w:szCs w:val="24"/>
        </w:rPr>
        <w:t xml:space="preserve"> a to v roce 201</w:t>
      </w:r>
      <w:r w:rsidR="00E263FE">
        <w:rPr>
          <w:szCs w:val="24"/>
        </w:rPr>
        <w:t>6</w:t>
      </w:r>
      <w:r>
        <w:rPr>
          <w:szCs w:val="24"/>
        </w:rPr>
        <w:t xml:space="preserve"> s podílem </w:t>
      </w:r>
      <w:r w:rsidR="008331D8">
        <w:rPr>
          <w:szCs w:val="24"/>
        </w:rPr>
        <w:t>7</w:t>
      </w:r>
      <w:r w:rsidR="00E263FE">
        <w:rPr>
          <w:szCs w:val="24"/>
        </w:rPr>
        <w:t>4</w:t>
      </w:r>
      <w:r w:rsidR="008331D8">
        <w:rPr>
          <w:szCs w:val="24"/>
        </w:rPr>
        <w:t>,</w:t>
      </w:r>
      <w:r w:rsidR="00E263FE">
        <w:rPr>
          <w:szCs w:val="24"/>
        </w:rPr>
        <w:t>2</w:t>
      </w:r>
      <w:r w:rsidR="008331D8">
        <w:rPr>
          <w:szCs w:val="24"/>
        </w:rPr>
        <w:t xml:space="preserve"> %, tj. </w:t>
      </w:r>
      <w:r w:rsidR="00E263FE">
        <w:rPr>
          <w:szCs w:val="24"/>
        </w:rPr>
        <w:t>284 148</w:t>
      </w:r>
      <w:r w:rsidR="008331D8">
        <w:rPr>
          <w:szCs w:val="24"/>
        </w:rPr>
        <w:t xml:space="preserve"> osob. Obecně se na růstu počtů cizinců-zaměstnanců podílejí právě občané EU. Výrazně v této skupině v roce 201</w:t>
      </w:r>
      <w:r w:rsidR="00E263FE">
        <w:rPr>
          <w:szCs w:val="24"/>
        </w:rPr>
        <w:t>6</w:t>
      </w:r>
      <w:r w:rsidR="008331D8">
        <w:rPr>
          <w:szCs w:val="24"/>
        </w:rPr>
        <w:t xml:space="preserve"> (ale i s v dlouhodobějším časovém horizontu) </w:t>
      </w:r>
      <w:r w:rsidR="008331D8" w:rsidRPr="00473DD2">
        <w:rPr>
          <w:b/>
          <w:szCs w:val="24"/>
        </w:rPr>
        <w:t xml:space="preserve">dominují občané </w:t>
      </w:r>
      <w:r w:rsidR="00473DD2" w:rsidRPr="00473DD2">
        <w:rPr>
          <w:b/>
          <w:szCs w:val="24"/>
        </w:rPr>
        <w:t>Slovenska</w:t>
      </w:r>
      <w:r w:rsidR="008331D8" w:rsidRPr="00473DD2">
        <w:rPr>
          <w:b/>
          <w:szCs w:val="24"/>
        </w:rPr>
        <w:t xml:space="preserve"> s počtem </w:t>
      </w:r>
      <w:r w:rsidR="00E263FE">
        <w:rPr>
          <w:b/>
          <w:szCs w:val="24"/>
        </w:rPr>
        <w:t>161 559</w:t>
      </w:r>
      <w:r w:rsidR="008331D8" w:rsidRPr="00473DD2">
        <w:rPr>
          <w:b/>
          <w:szCs w:val="24"/>
        </w:rPr>
        <w:t xml:space="preserve"> osob.</w:t>
      </w:r>
      <w:r w:rsidR="00473DD2">
        <w:rPr>
          <w:szCs w:val="24"/>
        </w:rPr>
        <w:t xml:space="preserve"> Následují občané </w:t>
      </w:r>
      <w:r w:rsidR="00E263FE">
        <w:rPr>
          <w:szCs w:val="24"/>
        </w:rPr>
        <w:t xml:space="preserve">Rumunska </w:t>
      </w:r>
      <w:r w:rsidR="00473DD2">
        <w:rPr>
          <w:szCs w:val="24"/>
        </w:rPr>
        <w:t xml:space="preserve">– </w:t>
      </w:r>
      <w:r w:rsidR="00E263FE">
        <w:rPr>
          <w:szCs w:val="24"/>
        </w:rPr>
        <w:t>31 522</w:t>
      </w:r>
      <w:r w:rsidR="00473DD2">
        <w:rPr>
          <w:szCs w:val="24"/>
        </w:rPr>
        <w:t xml:space="preserve"> osob, </w:t>
      </w:r>
      <w:r w:rsidR="00E263FE">
        <w:rPr>
          <w:szCs w:val="24"/>
        </w:rPr>
        <w:t xml:space="preserve">Polska </w:t>
      </w:r>
      <w:r w:rsidR="00473DD2">
        <w:rPr>
          <w:szCs w:val="24"/>
        </w:rPr>
        <w:t xml:space="preserve">– </w:t>
      </w:r>
      <w:r w:rsidR="00E263FE">
        <w:rPr>
          <w:szCs w:val="24"/>
        </w:rPr>
        <w:t>31 355</w:t>
      </w:r>
      <w:r w:rsidR="00473DD2">
        <w:rPr>
          <w:szCs w:val="24"/>
        </w:rPr>
        <w:t xml:space="preserve"> osob a Bulharska – </w:t>
      </w:r>
      <w:r w:rsidR="00E263FE">
        <w:rPr>
          <w:szCs w:val="24"/>
        </w:rPr>
        <w:t>25 784</w:t>
      </w:r>
      <w:r w:rsidR="00473DD2">
        <w:rPr>
          <w:szCs w:val="24"/>
        </w:rPr>
        <w:t>.</w:t>
      </w:r>
    </w:p>
    <w:p w:rsidR="00473DD2" w:rsidRDefault="00473DD2" w:rsidP="00881B08">
      <w:pPr>
        <w:spacing w:before="120" w:line="240" w:lineRule="auto"/>
        <w:rPr>
          <w:szCs w:val="24"/>
        </w:rPr>
      </w:pPr>
      <w:r w:rsidRPr="00473DD2">
        <w:rPr>
          <w:b/>
          <w:szCs w:val="24"/>
        </w:rPr>
        <w:t>Z občanů třetích zemí měli v roce 201</w:t>
      </w:r>
      <w:r w:rsidR="00E263FE">
        <w:rPr>
          <w:b/>
          <w:szCs w:val="24"/>
        </w:rPr>
        <w:t>6</w:t>
      </w:r>
      <w:r w:rsidRPr="00473DD2">
        <w:rPr>
          <w:b/>
          <w:szCs w:val="24"/>
        </w:rPr>
        <w:t xml:space="preserve"> dominantní zastoupení mezi zaměstnanci občané Ukrajiny</w:t>
      </w:r>
      <w:r w:rsidR="00011F37">
        <w:rPr>
          <w:b/>
          <w:szCs w:val="24"/>
        </w:rPr>
        <w:t>,</w:t>
      </w:r>
      <w:r w:rsidRPr="00473DD2">
        <w:rPr>
          <w:b/>
          <w:szCs w:val="24"/>
        </w:rPr>
        <w:t xml:space="preserve"> a to s počtem </w:t>
      </w:r>
      <w:r w:rsidR="00E263FE">
        <w:rPr>
          <w:b/>
          <w:szCs w:val="24"/>
        </w:rPr>
        <w:t>54 571</w:t>
      </w:r>
      <w:r w:rsidRPr="00473DD2">
        <w:rPr>
          <w:b/>
          <w:szCs w:val="24"/>
        </w:rPr>
        <w:t xml:space="preserve"> osob</w:t>
      </w:r>
      <w:r>
        <w:rPr>
          <w:szCs w:val="24"/>
        </w:rPr>
        <w:t>, kteří tak tvoří mezi zaměstnanci druhou nejpočetnější skupinu. Ostatní státní příslušníci byli zastoupeni řádově méně, tj. občané Rusk</w:t>
      </w:r>
      <w:r w:rsidR="00E263FE">
        <w:rPr>
          <w:szCs w:val="24"/>
        </w:rPr>
        <w:t>a</w:t>
      </w:r>
      <w:r>
        <w:rPr>
          <w:szCs w:val="24"/>
        </w:rPr>
        <w:t xml:space="preserve"> – </w:t>
      </w:r>
      <w:r w:rsidR="00E263FE">
        <w:rPr>
          <w:szCs w:val="24"/>
        </w:rPr>
        <w:t>8 290</w:t>
      </w:r>
      <w:r>
        <w:rPr>
          <w:szCs w:val="24"/>
        </w:rPr>
        <w:t xml:space="preserve"> osob, Vietnamu – </w:t>
      </w:r>
      <w:r w:rsidR="00E263FE">
        <w:rPr>
          <w:szCs w:val="24"/>
        </w:rPr>
        <w:t>6 565</w:t>
      </w:r>
      <w:r>
        <w:rPr>
          <w:szCs w:val="24"/>
        </w:rPr>
        <w:t xml:space="preserve"> osob.</w:t>
      </w:r>
    </w:p>
    <w:p w:rsidR="00017052" w:rsidRDefault="00473DD2" w:rsidP="00881B08">
      <w:pPr>
        <w:spacing w:before="120" w:line="240" w:lineRule="auto"/>
        <w:rPr>
          <w:szCs w:val="24"/>
        </w:rPr>
      </w:pPr>
      <w:r>
        <w:rPr>
          <w:szCs w:val="24"/>
        </w:rPr>
        <w:t>Z dlouhodobého hlediska nejvyšší nárůst vykazuje počet občanů Slovenska. Velmi výrazný je nárůst zejména po roce 2011. Oproti tomu počet státních příslušníků Ukrajiny rostl zejména v letech 2004 až 2008, kdy dosáhl svého dosavadního maxima (81 tis. osob) s následným poklesem. Teprve v posledních letech s obnoveným hospodářským růstem je znatelný opětovný nárůst této skupiny cizích státních příslušníků. Významný je rovněž nárůst občanů Rumunska a Bulharska po vstupu těchto zemí do EU.</w:t>
      </w:r>
    </w:p>
    <w:p w:rsidR="00017052" w:rsidRDefault="00017052" w:rsidP="00881B08">
      <w:pPr>
        <w:spacing w:before="120" w:line="240" w:lineRule="auto"/>
        <w:rPr>
          <w:szCs w:val="24"/>
        </w:rPr>
      </w:pPr>
    </w:p>
    <w:p w:rsidR="00134C4A" w:rsidRDefault="00134C4A" w:rsidP="00881B08">
      <w:pPr>
        <w:pStyle w:val="Titulek"/>
        <w:keepNext/>
      </w:pPr>
      <w:bookmarkStart w:id="92" w:name="_Toc476556293"/>
      <w:r>
        <w:t xml:space="preserve">Graf č.: </w:t>
      </w:r>
      <w:r w:rsidR="00AB7C96">
        <w:fldChar w:fldCharType="begin"/>
      </w:r>
      <w:r w:rsidR="00AB7C96">
        <w:instrText xml:space="preserve"> SEQ Graf_</w:instrText>
      </w:r>
      <w:r w:rsidR="00AB7C96">
        <w:instrText xml:space="preserve">č.: \* ARABIC </w:instrText>
      </w:r>
      <w:r w:rsidR="00AB7C96">
        <w:fldChar w:fldCharType="separate"/>
      </w:r>
      <w:r w:rsidR="004A5D48">
        <w:rPr>
          <w:noProof/>
        </w:rPr>
        <w:t>16</w:t>
      </w:r>
      <w:r w:rsidR="00AB7C96">
        <w:rPr>
          <w:noProof/>
        </w:rPr>
        <w:fldChar w:fldCharType="end"/>
      </w:r>
      <w:r>
        <w:t xml:space="preserve"> Cizinci evidovaní ÚP ČR (zaměstnanci), vývoj 2004 – 201</w:t>
      </w:r>
      <w:r w:rsidR="00A04A84">
        <w:t>6</w:t>
      </w:r>
      <w:bookmarkEnd w:id="92"/>
    </w:p>
    <w:p w:rsidR="00017052" w:rsidRDefault="000E641D" w:rsidP="00881B08">
      <w:pPr>
        <w:spacing w:before="120" w:line="240" w:lineRule="auto"/>
        <w:rPr>
          <w:szCs w:val="24"/>
        </w:rPr>
      </w:pPr>
      <w:r>
        <w:rPr>
          <w:noProof/>
          <w:lang w:eastAsia="cs-CZ"/>
        </w:rPr>
        <w:drawing>
          <wp:inline distT="0" distB="0" distL="0" distR="0" wp14:anchorId="321CE3EE" wp14:editId="1960FCE0">
            <wp:extent cx="5762847" cy="3732028"/>
            <wp:effectExtent l="0" t="0" r="9525" b="20955"/>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17052" w:rsidRDefault="00134C4A" w:rsidP="00AB0A51">
      <w:pPr>
        <w:spacing w:before="240" w:line="240" w:lineRule="auto"/>
        <w:rPr>
          <w:szCs w:val="24"/>
        </w:rPr>
      </w:pPr>
      <w:r>
        <w:rPr>
          <w:szCs w:val="24"/>
        </w:rPr>
        <w:t>Většina cizinců pracuje ve zpracovatelském průmyslu a to 29,</w:t>
      </w:r>
      <w:r w:rsidR="00E263FE">
        <w:rPr>
          <w:szCs w:val="24"/>
        </w:rPr>
        <w:t>4</w:t>
      </w:r>
      <w:r>
        <w:rPr>
          <w:szCs w:val="24"/>
        </w:rPr>
        <w:t xml:space="preserve"> %</w:t>
      </w:r>
      <w:r w:rsidR="00E263FE">
        <w:rPr>
          <w:szCs w:val="24"/>
        </w:rPr>
        <w:t>, z toho 80,5 % připadalo na občany EU.</w:t>
      </w:r>
      <w:r>
        <w:rPr>
          <w:szCs w:val="24"/>
        </w:rPr>
        <w:t xml:space="preserve"> V posledních </w:t>
      </w:r>
      <w:r w:rsidR="00193EA4">
        <w:rPr>
          <w:szCs w:val="24"/>
        </w:rPr>
        <w:t>letech</w:t>
      </w:r>
      <w:r>
        <w:rPr>
          <w:szCs w:val="24"/>
        </w:rPr>
        <w:t xml:space="preserve"> pak nabývá na významu sektor administrativních a podpůrných činností, v tomto sektoru bylo v roce 201</w:t>
      </w:r>
      <w:r w:rsidR="00E263FE">
        <w:rPr>
          <w:szCs w:val="24"/>
        </w:rPr>
        <w:t>6</w:t>
      </w:r>
      <w:r>
        <w:rPr>
          <w:szCs w:val="24"/>
        </w:rPr>
        <w:t xml:space="preserve"> zaměstnáno celkem </w:t>
      </w:r>
      <w:r w:rsidR="00E263FE">
        <w:rPr>
          <w:szCs w:val="24"/>
        </w:rPr>
        <w:t>15,6</w:t>
      </w:r>
      <w:r>
        <w:rPr>
          <w:szCs w:val="24"/>
        </w:rPr>
        <w:t xml:space="preserve"> % z celkového počtu cizinců evidovaných ÚP ČR, z toho </w:t>
      </w:r>
      <w:r w:rsidR="00E263FE">
        <w:rPr>
          <w:szCs w:val="24"/>
        </w:rPr>
        <w:t>79 </w:t>
      </w:r>
      <w:r>
        <w:rPr>
          <w:szCs w:val="24"/>
        </w:rPr>
        <w:t>% připadalo na občany EU. Z pohledu hlavních tříd zaměstnání, dominují mezi cizinci zejména pomocní a nekvalifikovaní pracovníci (třída 9) s</w:t>
      </w:r>
      <w:r w:rsidR="00E263FE">
        <w:rPr>
          <w:szCs w:val="24"/>
        </w:rPr>
        <w:t> 30,5</w:t>
      </w:r>
      <w:r>
        <w:rPr>
          <w:szCs w:val="24"/>
        </w:rPr>
        <w:t xml:space="preserve">% zastoupením následovaní obsluhou strojů a zařízení (třída 8) s </w:t>
      </w:r>
      <w:r w:rsidR="00E263FE">
        <w:rPr>
          <w:szCs w:val="24"/>
        </w:rPr>
        <w:t>19</w:t>
      </w:r>
      <w:r>
        <w:rPr>
          <w:szCs w:val="24"/>
        </w:rPr>
        <w:t xml:space="preserve"> %.</w:t>
      </w:r>
      <w:r w:rsidR="00E263FE">
        <w:rPr>
          <w:szCs w:val="24"/>
        </w:rPr>
        <w:t xml:space="preserve"> V obou třídách došlo v meziročním nárůstu, a to o 1,9 p. b. v případě třídy 9, resp. o </w:t>
      </w:r>
      <w:r w:rsidR="00D81F51">
        <w:rPr>
          <w:szCs w:val="24"/>
        </w:rPr>
        <w:t>1,4 p. b. v případě třídy 8.</w:t>
      </w:r>
    </w:p>
    <w:p w:rsidR="00134C4A" w:rsidRDefault="00134C4A" w:rsidP="00881B08">
      <w:pPr>
        <w:spacing w:before="120" w:line="240" w:lineRule="auto"/>
        <w:rPr>
          <w:szCs w:val="24"/>
        </w:rPr>
      </w:pPr>
    </w:p>
    <w:p w:rsidR="00134C4A" w:rsidRDefault="00134C4A" w:rsidP="00AB0A51">
      <w:pPr>
        <w:pStyle w:val="Titulek"/>
        <w:keepNext/>
        <w:rPr>
          <w:szCs w:val="24"/>
        </w:rPr>
      </w:pPr>
      <w:bookmarkStart w:id="93" w:name="_Toc476556294"/>
      <w:r>
        <w:t xml:space="preserve">Graf č.: </w:t>
      </w:r>
      <w:r w:rsidR="00AB7C96">
        <w:fldChar w:fldCharType="begin"/>
      </w:r>
      <w:r w:rsidR="00AB7C96">
        <w:instrText xml:space="preserve"> SEQ Graf_č.: \* ARABIC </w:instrText>
      </w:r>
      <w:r w:rsidR="00AB7C96">
        <w:fldChar w:fldCharType="separate"/>
      </w:r>
      <w:r w:rsidR="004A5D48">
        <w:rPr>
          <w:noProof/>
        </w:rPr>
        <w:t>17</w:t>
      </w:r>
      <w:r w:rsidR="00AB7C96">
        <w:rPr>
          <w:noProof/>
        </w:rPr>
        <w:fldChar w:fldCharType="end"/>
      </w:r>
      <w:r>
        <w:t xml:space="preserve"> Vývoj struktury cizinců evidovaných ÚP ČR (zaměstnanci) podle státního občanství, 2004 - 201</w:t>
      </w:r>
      <w:r w:rsidR="00A04A84">
        <w:t>6</w:t>
      </w:r>
      <w:bookmarkEnd w:id="93"/>
      <w:r w:rsidR="00A04A84" w:rsidRPr="00A04A84">
        <w:rPr>
          <w:noProof/>
          <w:lang w:eastAsia="cs-CZ"/>
        </w:rPr>
        <w:t xml:space="preserve"> </w:t>
      </w:r>
      <w:r w:rsidR="00A04A84">
        <w:rPr>
          <w:noProof/>
          <w:lang w:eastAsia="cs-CZ"/>
        </w:rPr>
        <w:drawing>
          <wp:inline distT="0" distB="0" distL="0" distR="0" wp14:anchorId="38D1E7EE" wp14:editId="67BB6508">
            <wp:extent cx="5762847" cy="3168502"/>
            <wp:effectExtent l="0" t="0" r="9525" b="13335"/>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E7C7C" w:rsidRDefault="005E7C7C" w:rsidP="00881B08">
      <w:pPr>
        <w:pStyle w:val="Nadpis3"/>
      </w:pPr>
      <w:bookmarkStart w:id="94" w:name="_Toc476556241"/>
      <w:r>
        <w:t>Cizinci – držitelé živnostenského oprávnění</w:t>
      </w:r>
      <w:bookmarkEnd w:id="94"/>
    </w:p>
    <w:p w:rsidR="005E7C7C" w:rsidRPr="005E7C7C" w:rsidRDefault="005E7C7C" w:rsidP="00881B08">
      <w:pPr>
        <w:spacing w:line="240" w:lineRule="auto"/>
      </w:pPr>
      <w:r>
        <w:t>V</w:t>
      </w:r>
      <w:r w:rsidR="00CB271C">
        <w:t xml:space="preserve"> této</w:t>
      </w:r>
      <w:r>
        <w:t xml:space="preserve"> skupině na rozdíl od cizinců-zaměstnanců převažují zejména občané třetích zemí, jejichž počet rostl i v době hospodářské recese. Částečně lze tento jev vysvětlit </w:t>
      </w:r>
      <w:r w:rsidR="00154D38">
        <w:t xml:space="preserve">snahou </w:t>
      </w:r>
      <w:r>
        <w:t>přizpůsobit se restriktivním opatřením vůči cizincům-zaměstnancům z třetích zemí na počátku hospodářské krize (přechod ze zaměstnaneckého poměru do oblasti podnikání). Od roku 2011 počet cizinců – občanů třetích zemí s živnostenským oprávněním klesá, naopak počet občanů EU s živnostenským oprávněním stoupá, celkové saldo je však negativní. V roce 2015 působilo na českém trhu práce 83 862 cizinců se živnostenským oprávněním. Nejčastěji zastoupení jsou občané Vietnamu (22 928) těsně následovaní Ukrajinci (22 796)</w:t>
      </w:r>
      <w:r w:rsidR="00CB271C">
        <w:t>.</w:t>
      </w:r>
    </w:p>
    <w:p w:rsidR="000B097A" w:rsidRDefault="000B097A" w:rsidP="00881B08">
      <w:pPr>
        <w:pStyle w:val="Nadpis3"/>
      </w:pPr>
      <w:bookmarkStart w:id="95" w:name="_Toc476556242"/>
      <w:r>
        <w:t>Zjednodušení přístupu občanů „třetích států“ na český trh práce</w:t>
      </w:r>
      <w:bookmarkEnd w:id="95"/>
    </w:p>
    <w:p w:rsidR="000B097A" w:rsidRDefault="000B097A" w:rsidP="00881B08">
      <w:pPr>
        <w:spacing w:before="120" w:line="240" w:lineRule="auto"/>
        <w:rPr>
          <w:szCs w:val="24"/>
        </w:rPr>
      </w:pPr>
      <w:r w:rsidRPr="005A7D7E">
        <w:rPr>
          <w:szCs w:val="24"/>
        </w:rPr>
        <w:t>V soul</w:t>
      </w:r>
      <w:r w:rsidR="00142437">
        <w:rPr>
          <w:szCs w:val="24"/>
        </w:rPr>
        <w:t xml:space="preserve">adu se zákonem o zaměstnanosti </w:t>
      </w:r>
      <w:r w:rsidRPr="005A7D7E">
        <w:rPr>
          <w:szCs w:val="24"/>
        </w:rPr>
        <w:t>jsou na volné pracovní pozice přednostně umísťován</w:t>
      </w:r>
      <w:r w:rsidR="00011F37">
        <w:rPr>
          <w:szCs w:val="24"/>
        </w:rPr>
        <w:t>i</w:t>
      </w:r>
      <w:r w:rsidRPr="005A7D7E">
        <w:rPr>
          <w:szCs w:val="24"/>
        </w:rPr>
        <w:t xml:space="preserve"> uchazeči o zaměstnání – občané ČR, případně občané EU nebo občané třetích zemí, kteří </w:t>
      </w:r>
      <w:r w:rsidR="00A14AD7">
        <w:rPr>
          <w:szCs w:val="24"/>
        </w:rPr>
        <w:t>mají podle zákona o zaměstnanosti volný přístup na trh práce.</w:t>
      </w:r>
      <w:r w:rsidRPr="005A7D7E">
        <w:rPr>
          <w:szCs w:val="24"/>
        </w:rPr>
        <w:t xml:space="preserve"> Teprve pokud volné pracovní místo nelze s ohledem na požadovanou kvalifikaci nebo nedostatek pracovních sil obsadit jinak, může takové místo obs</w:t>
      </w:r>
      <w:r w:rsidR="00137DAF">
        <w:rPr>
          <w:szCs w:val="24"/>
        </w:rPr>
        <w:t>adit cizinec z </w:t>
      </w:r>
      <w:r w:rsidRPr="005A7D7E">
        <w:rPr>
          <w:szCs w:val="24"/>
        </w:rPr>
        <w:t xml:space="preserve">tzv. třetích států, tedy i Ukrajiny. </w:t>
      </w:r>
    </w:p>
    <w:p w:rsidR="000B097A" w:rsidRDefault="000B097A" w:rsidP="00881B08">
      <w:pPr>
        <w:spacing w:before="120" w:line="240" w:lineRule="auto"/>
        <w:rPr>
          <w:rFonts w:cs="Arial"/>
          <w:bCs/>
          <w:i/>
          <w:szCs w:val="24"/>
        </w:rPr>
      </w:pPr>
      <w:r w:rsidRPr="00376552">
        <w:rPr>
          <w:szCs w:val="24"/>
        </w:rPr>
        <w:t xml:space="preserve">V současné době se potencionální ukrajinští žadatelé o pracovní oprávnění přihlašují na zastupitelském úřadě ČR prostřednictvím elektronického systému VISAPOINT. Zájem o různá pobytová oprávnění ze strany občanů Ukrajiny mnohonásobně překračuje kapacitu zastupitelských úřadů ČR na Ukrajině. V důsledku této skutečnosti jsou termíny pro podání žádosti, které se rezervují prostřednictvím rezervačního systému VISAPOINT, velmi rychle vyčerpány a je tedy velmi obtížné termín na podání žádosti zajistit. </w:t>
      </w:r>
      <w:r>
        <w:rPr>
          <w:szCs w:val="24"/>
        </w:rPr>
        <w:t xml:space="preserve">Z tohoto důvodu schválila vláda ČR dva projekty ukrajinské migrace: </w:t>
      </w:r>
      <w:r>
        <w:rPr>
          <w:rFonts w:cs="Arial"/>
          <w:bCs/>
          <w:i/>
          <w:szCs w:val="24"/>
        </w:rPr>
        <w:t xml:space="preserve">Projekt </w:t>
      </w:r>
      <w:r w:rsidRPr="005A7D7E">
        <w:rPr>
          <w:rFonts w:cs="Arial"/>
          <w:bCs/>
          <w:i/>
          <w:szCs w:val="24"/>
        </w:rPr>
        <w:t>Zvláštní postupy pro vysoce kvalifikované zaměstnance z</w:t>
      </w:r>
      <w:r>
        <w:rPr>
          <w:rFonts w:cs="Arial"/>
          <w:bCs/>
          <w:i/>
          <w:szCs w:val="24"/>
        </w:rPr>
        <w:t> </w:t>
      </w:r>
      <w:r w:rsidRPr="005A7D7E">
        <w:rPr>
          <w:rFonts w:cs="Arial"/>
          <w:bCs/>
          <w:i/>
          <w:szCs w:val="24"/>
        </w:rPr>
        <w:t>Ukrajiny</w:t>
      </w:r>
      <w:r>
        <w:rPr>
          <w:rFonts w:cs="Arial"/>
          <w:bCs/>
          <w:i/>
          <w:szCs w:val="24"/>
        </w:rPr>
        <w:t xml:space="preserve"> (dále jen „Projekt“)</w:t>
      </w:r>
      <w:r>
        <w:rPr>
          <w:rFonts w:cs="Arial"/>
          <w:bCs/>
          <w:szCs w:val="24"/>
        </w:rPr>
        <w:t xml:space="preserve"> a </w:t>
      </w:r>
      <w:r w:rsidRPr="005A7D7E">
        <w:rPr>
          <w:rFonts w:cs="Arial"/>
          <w:bCs/>
          <w:i/>
          <w:szCs w:val="24"/>
        </w:rPr>
        <w:t>Režim zvláštního zacházení pro kvalifikované zaměstnance z</w:t>
      </w:r>
      <w:r>
        <w:rPr>
          <w:rFonts w:cs="Arial"/>
          <w:bCs/>
          <w:i/>
          <w:szCs w:val="24"/>
        </w:rPr>
        <w:t> </w:t>
      </w:r>
      <w:r w:rsidRPr="005A7D7E">
        <w:rPr>
          <w:rFonts w:cs="Arial"/>
          <w:bCs/>
          <w:i/>
          <w:szCs w:val="24"/>
        </w:rPr>
        <w:t>Ukrajiny</w:t>
      </w:r>
      <w:r>
        <w:rPr>
          <w:rFonts w:cs="Arial"/>
          <w:bCs/>
          <w:i/>
          <w:szCs w:val="24"/>
        </w:rPr>
        <w:t xml:space="preserve"> (dále jen „Režim“). </w:t>
      </w:r>
      <w:r>
        <w:rPr>
          <w:szCs w:val="24"/>
        </w:rPr>
        <w:t>P</w:t>
      </w:r>
      <w:r w:rsidRPr="00376552">
        <w:rPr>
          <w:szCs w:val="24"/>
        </w:rPr>
        <w:t xml:space="preserve">rincip spočívá v tom, že budoucí zaměstnavatel se přihlašuje do </w:t>
      </w:r>
      <w:r>
        <w:rPr>
          <w:szCs w:val="24"/>
        </w:rPr>
        <w:t>P</w:t>
      </w:r>
      <w:r w:rsidRPr="00376552">
        <w:rPr>
          <w:szCs w:val="24"/>
        </w:rPr>
        <w:t xml:space="preserve">rojektu či Režimu již s vytipovanými konkrétními zaměstnanci, které následně zastupitelský úřad aktivně kontaktuje a domlouvá si </w:t>
      </w:r>
      <w:r>
        <w:rPr>
          <w:szCs w:val="24"/>
        </w:rPr>
        <w:br/>
      </w:r>
      <w:r w:rsidRPr="00376552">
        <w:rPr>
          <w:szCs w:val="24"/>
        </w:rPr>
        <w:t xml:space="preserve">s nimi termín setkání napřímo. Náběr žádostí o zaměstnanecké karty pro zaměstnavatele zařazené do </w:t>
      </w:r>
      <w:r>
        <w:rPr>
          <w:szCs w:val="24"/>
        </w:rPr>
        <w:t>P</w:t>
      </w:r>
      <w:r w:rsidRPr="00376552">
        <w:rPr>
          <w:szCs w:val="24"/>
        </w:rPr>
        <w:t>rojektu a R</w:t>
      </w:r>
      <w:r>
        <w:rPr>
          <w:szCs w:val="24"/>
        </w:rPr>
        <w:t>ežimu</w:t>
      </w:r>
      <w:r w:rsidRPr="00376552">
        <w:rPr>
          <w:szCs w:val="24"/>
        </w:rPr>
        <w:t xml:space="preserve"> je takto výrazně urychlen.</w:t>
      </w:r>
    </w:p>
    <w:p w:rsidR="000B097A" w:rsidRPr="00CB271C" w:rsidRDefault="000B097A" w:rsidP="00881B08">
      <w:pPr>
        <w:pStyle w:val="Odstavecseseznamem"/>
        <w:numPr>
          <w:ilvl w:val="0"/>
          <w:numId w:val="13"/>
        </w:numPr>
        <w:spacing w:before="120" w:line="240" w:lineRule="auto"/>
        <w:rPr>
          <w:rFonts w:cs="Arial"/>
          <w:bCs/>
          <w:i/>
          <w:szCs w:val="24"/>
        </w:rPr>
      </w:pPr>
      <w:r w:rsidRPr="00CB271C">
        <w:rPr>
          <w:rFonts w:cs="Arial"/>
          <w:bCs/>
          <w:i/>
          <w:szCs w:val="24"/>
        </w:rPr>
        <w:t>Projekt „Zvláštní postupy pro vysoce kvalifikované zaměstnance z Ukrajiny“</w:t>
      </w:r>
    </w:p>
    <w:p w:rsidR="000B097A" w:rsidRPr="005A7D7E" w:rsidRDefault="003D561C" w:rsidP="00881B08">
      <w:pPr>
        <w:spacing w:before="120" w:line="240" w:lineRule="auto"/>
        <w:rPr>
          <w:szCs w:val="24"/>
        </w:rPr>
      </w:pPr>
      <w:r>
        <w:rPr>
          <w:szCs w:val="24"/>
        </w:rPr>
        <w:t xml:space="preserve">Od 9. </w:t>
      </w:r>
      <w:r w:rsidR="00137DAF">
        <w:rPr>
          <w:szCs w:val="24"/>
        </w:rPr>
        <w:t>11.</w:t>
      </w:r>
      <w:r>
        <w:rPr>
          <w:szCs w:val="24"/>
        </w:rPr>
        <w:t xml:space="preserve"> 2015 je na základě usnesení vlády pilotně r</w:t>
      </w:r>
      <w:r w:rsidR="000B097A" w:rsidRPr="005A7D7E">
        <w:rPr>
          <w:szCs w:val="24"/>
        </w:rPr>
        <w:t xml:space="preserve">ealizován </w:t>
      </w:r>
      <w:r>
        <w:rPr>
          <w:szCs w:val="24"/>
        </w:rPr>
        <w:t xml:space="preserve">projekt „Zvláštní postupy pro vysoce kvalifikované zaměstnance z Ukrajiny“ se </w:t>
      </w:r>
      <w:r w:rsidR="000B097A" w:rsidRPr="005A7D7E">
        <w:rPr>
          <w:szCs w:val="24"/>
        </w:rPr>
        <w:t xml:space="preserve">stanovenou roční kvótou 500 zaměstnanců. Je určen pro specialisty, jejichž pracovní pozice je dle platného znění aktualizované Klasifikace zaměstnání (CZ-ISCO) zpravidla zařazena do hlavních tříd 1 – 3. Žádosti o zařazení do </w:t>
      </w:r>
      <w:r w:rsidR="000B097A">
        <w:rPr>
          <w:szCs w:val="24"/>
        </w:rPr>
        <w:t>P</w:t>
      </w:r>
      <w:r w:rsidR="000B097A" w:rsidRPr="005A7D7E">
        <w:rPr>
          <w:szCs w:val="24"/>
        </w:rPr>
        <w:t>rojektu přijímá Ministerstvo průmyslu a obchodu, pro zdravotnické profese pak Ministerstvo zdravotnictví.</w:t>
      </w:r>
      <w:r w:rsidR="000B097A">
        <w:rPr>
          <w:szCs w:val="24"/>
        </w:rPr>
        <w:t xml:space="preserve"> </w:t>
      </w:r>
      <w:r w:rsidR="000B097A" w:rsidRPr="005A7D7E">
        <w:rPr>
          <w:szCs w:val="24"/>
        </w:rPr>
        <w:t>Jedná</w:t>
      </w:r>
      <w:r w:rsidR="00142437">
        <w:rPr>
          <w:szCs w:val="24"/>
        </w:rPr>
        <w:t xml:space="preserve"> se většinou o specialisty IT </w:t>
      </w:r>
      <w:r w:rsidR="00193EA4">
        <w:rPr>
          <w:szCs w:val="24"/>
        </w:rPr>
        <w:t>a </w:t>
      </w:r>
      <w:r w:rsidR="000B097A" w:rsidRPr="005A7D7E">
        <w:rPr>
          <w:szCs w:val="24"/>
        </w:rPr>
        <w:t>specialisty v oblasti prodeje a nákupu, stavební in</w:t>
      </w:r>
      <w:r w:rsidR="00193EA4">
        <w:rPr>
          <w:szCs w:val="24"/>
        </w:rPr>
        <w:t>ženýry, strojírenské techniky a </w:t>
      </w:r>
      <w:r w:rsidR="000B097A" w:rsidRPr="005A7D7E">
        <w:rPr>
          <w:szCs w:val="24"/>
        </w:rPr>
        <w:t>další.</w:t>
      </w:r>
      <w:r w:rsidR="000B097A">
        <w:rPr>
          <w:szCs w:val="24"/>
        </w:rPr>
        <w:t xml:space="preserve"> V prvním roce fungování Projektu byla roční kapacita vyčerpána z </w:t>
      </w:r>
      <w:r w:rsidR="000B097A" w:rsidRPr="00665C0D">
        <w:rPr>
          <w:rFonts w:cs="Arial"/>
          <w:sz w:val="22"/>
        </w:rPr>
        <w:t>45,8%</w:t>
      </w:r>
      <w:r w:rsidR="000B097A">
        <w:rPr>
          <w:rFonts w:cs="Arial"/>
          <w:sz w:val="22"/>
        </w:rPr>
        <w:t>.</w:t>
      </w:r>
    </w:p>
    <w:p w:rsidR="000B097A" w:rsidRPr="00CB271C" w:rsidRDefault="000B097A" w:rsidP="00881B08">
      <w:pPr>
        <w:pStyle w:val="Odstavecseseznamem"/>
        <w:numPr>
          <w:ilvl w:val="0"/>
          <w:numId w:val="13"/>
        </w:numPr>
        <w:spacing w:before="120" w:line="240" w:lineRule="auto"/>
        <w:rPr>
          <w:rFonts w:cs="Arial"/>
          <w:bCs/>
          <w:i/>
          <w:szCs w:val="24"/>
        </w:rPr>
      </w:pPr>
      <w:r w:rsidRPr="00CB271C">
        <w:rPr>
          <w:rFonts w:cs="Arial"/>
          <w:bCs/>
          <w:i/>
          <w:szCs w:val="24"/>
        </w:rPr>
        <w:t>Režim zvláštního zacházení pro kvalifikované zaměstnance z Ukrajiny</w:t>
      </w:r>
    </w:p>
    <w:p w:rsidR="000B097A" w:rsidRPr="005A7D7E" w:rsidRDefault="000B097A" w:rsidP="00881B08">
      <w:pPr>
        <w:spacing w:before="120" w:line="240" w:lineRule="auto"/>
        <w:rPr>
          <w:szCs w:val="24"/>
        </w:rPr>
      </w:pPr>
      <w:r w:rsidRPr="005A7D7E">
        <w:rPr>
          <w:szCs w:val="24"/>
        </w:rPr>
        <w:t xml:space="preserve">Od 1. </w:t>
      </w:r>
      <w:r w:rsidR="00137DAF">
        <w:rPr>
          <w:szCs w:val="24"/>
        </w:rPr>
        <w:t>8.</w:t>
      </w:r>
      <w:r w:rsidRPr="005A7D7E">
        <w:rPr>
          <w:szCs w:val="24"/>
        </w:rPr>
        <w:t xml:space="preserve"> 2016 je na základě usnesení vlády realizován „Režim zvláštního zacházení pro kvalifikované zaměstnance z Ukrajiny“, jehož cílem je urychlit příchod ukrajinských občanů pro nedostatkové profese střední a nižší kvalifikace. Režim je určený primárně pro technické profese. </w:t>
      </w:r>
    </w:p>
    <w:p w:rsidR="000B097A" w:rsidRDefault="000B097A" w:rsidP="00881B08">
      <w:pPr>
        <w:spacing w:before="120" w:line="240" w:lineRule="auto"/>
        <w:rPr>
          <w:szCs w:val="24"/>
        </w:rPr>
      </w:pPr>
      <w:r w:rsidRPr="005A7D7E">
        <w:rPr>
          <w:szCs w:val="24"/>
        </w:rPr>
        <w:t xml:space="preserve">Žádosti o zařazení do Režimu přijímají podnikatelské reprezentace. Roční kvóta Režimu </w:t>
      </w:r>
      <w:r>
        <w:rPr>
          <w:szCs w:val="24"/>
        </w:rPr>
        <w:t>byla</w:t>
      </w:r>
      <w:r w:rsidRPr="005A7D7E">
        <w:rPr>
          <w:szCs w:val="24"/>
        </w:rPr>
        <w:t xml:space="preserve"> stanovena na 3 800 žádostí o zaměstnanecké karty. </w:t>
      </w:r>
      <w:r>
        <w:rPr>
          <w:szCs w:val="24"/>
        </w:rPr>
        <w:t>Vzhledem k velkému zájmu zaměstnavatelů (kvóta prvního roku byla v podstatě vyčerpána během prvního půl roku) bylo dne 8. 2. 2017 na jednání vlády rozhodnuto o navýšení personální systemizace Ministerstva zahraničních věcí a Ministerstva vnitra, které ve svém důsledku umožní zdvojnásobit roční kapacitu přijímaných žádostí.</w:t>
      </w:r>
      <w:r w:rsidRPr="005A7D7E">
        <w:rPr>
          <w:szCs w:val="24"/>
        </w:rPr>
        <w:t xml:space="preserve"> </w:t>
      </w:r>
    </w:p>
    <w:p w:rsidR="000B097A" w:rsidRPr="000B097A" w:rsidRDefault="000B097A" w:rsidP="00881B08">
      <w:pPr>
        <w:spacing w:line="240" w:lineRule="auto"/>
      </w:pPr>
    </w:p>
    <w:p w:rsidR="002E06B8" w:rsidRDefault="002E06B8" w:rsidP="00881B08">
      <w:pPr>
        <w:spacing w:line="240" w:lineRule="auto"/>
      </w:pPr>
    </w:p>
    <w:p w:rsidR="00495EFE" w:rsidRDefault="002E06B8" w:rsidP="00881B08">
      <w:pPr>
        <w:spacing w:after="200" w:line="240" w:lineRule="auto"/>
        <w:jc w:val="left"/>
        <w:sectPr w:rsidR="00495EFE" w:rsidSect="009E44F5">
          <w:footerReference w:type="default" r:id="rId35"/>
          <w:type w:val="continuous"/>
          <w:pgSz w:w="11906" w:h="16838"/>
          <w:pgMar w:top="1417" w:right="1417" w:bottom="1417" w:left="1417" w:header="708" w:footer="708" w:gutter="0"/>
          <w:cols w:space="708"/>
          <w:docGrid w:linePitch="360"/>
        </w:sectPr>
      </w:pPr>
      <w:r>
        <w:br w:type="page"/>
      </w:r>
    </w:p>
    <w:p w:rsidR="00184D13" w:rsidRDefault="00184D13" w:rsidP="0032573A">
      <w:pPr>
        <w:pStyle w:val="Nadpis1"/>
        <w:spacing w:before="0" w:line="240" w:lineRule="auto"/>
        <w:ind w:left="714" w:hanging="357"/>
        <w:rPr>
          <w:rStyle w:val="Nadpis1Char"/>
          <w:b/>
          <w:bCs/>
        </w:rPr>
      </w:pPr>
      <w:bookmarkStart w:id="96" w:name="_Toc476556243"/>
      <w:r w:rsidRPr="007F2863">
        <w:rPr>
          <w:rStyle w:val="Nadpis1Char"/>
          <w:b/>
          <w:bCs/>
        </w:rPr>
        <w:t>Plnění opatření</w:t>
      </w:r>
      <w:bookmarkEnd w:id="96"/>
    </w:p>
    <w:p w:rsidR="00495EFE" w:rsidRPr="00495EFE" w:rsidRDefault="00495EFE" w:rsidP="00495EFE"/>
    <w:tbl>
      <w:tblPr>
        <w:tblW w:w="14216" w:type="dxa"/>
        <w:tblInd w:w="-72" w:type="dxa"/>
        <w:tblCellMar>
          <w:left w:w="70" w:type="dxa"/>
          <w:right w:w="70" w:type="dxa"/>
        </w:tblCellMar>
        <w:tblLook w:val="04A0" w:firstRow="1" w:lastRow="0" w:firstColumn="1" w:lastColumn="0" w:noHBand="0" w:noVBand="1"/>
      </w:tblPr>
      <w:tblGrid>
        <w:gridCol w:w="607"/>
        <w:gridCol w:w="528"/>
        <w:gridCol w:w="283"/>
        <w:gridCol w:w="277"/>
        <w:gridCol w:w="985"/>
        <w:gridCol w:w="581"/>
        <w:gridCol w:w="1497"/>
        <w:gridCol w:w="1367"/>
        <w:gridCol w:w="2306"/>
        <w:gridCol w:w="447"/>
        <w:gridCol w:w="1946"/>
        <w:gridCol w:w="91"/>
        <w:gridCol w:w="1188"/>
        <w:gridCol w:w="2113"/>
      </w:tblGrid>
      <w:tr w:rsidR="00B3237D" w:rsidRPr="0036078A" w:rsidTr="0036078A">
        <w:trPr>
          <w:trHeight w:val="285"/>
        </w:trPr>
        <w:tc>
          <w:tcPr>
            <w:tcW w:w="1418" w:type="dxa"/>
            <w:gridSpan w:val="3"/>
            <w:tcBorders>
              <w:top w:val="double" w:sz="6" w:space="0" w:color="auto"/>
              <w:left w:val="double" w:sz="6" w:space="0" w:color="auto"/>
              <w:bottom w:val="double" w:sz="6" w:space="0" w:color="000000"/>
              <w:right w:val="nil"/>
            </w:tcBorders>
            <w:shd w:val="clear" w:color="000000" w:fill="8DB4E2"/>
            <w:noWrap/>
            <w:vAlign w:val="center"/>
            <w:hideMark/>
          </w:tcPr>
          <w:p w:rsidR="0032573A" w:rsidRPr="0032573A" w:rsidRDefault="0032573A" w:rsidP="0032573A">
            <w:pPr>
              <w:spacing w:line="240" w:lineRule="auto"/>
              <w:jc w:val="left"/>
              <w:rPr>
                <w:rFonts w:eastAsia="Times New Roman" w:cs="Arial"/>
                <w:b/>
                <w:bCs/>
                <w:color w:val="000000"/>
                <w:szCs w:val="24"/>
                <w:lang w:eastAsia="cs-CZ"/>
              </w:rPr>
            </w:pPr>
          </w:p>
        </w:tc>
        <w:tc>
          <w:tcPr>
            <w:tcW w:w="12798" w:type="dxa"/>
            <w:gridSpan w:val="11"/>
            <w:tcBorders>
              <w:top w:val="double" w:sz="6" w:space="0" w:color="auto"/>
              <w:left w:val="nil"/>
              <w:bottom w:val="double" w:sz="6" w:space="0" w:color="000000"/>
              <w:right w:val="double" w:sz="6" w:space="0" w:color="000000"/>
            </w:tcBorders>
            <w:shd w:val="clear" w:color="000000" w:fill="8DB4E2"/>
            <w:noWrap/>
            <w:vAlign w:val="center"/>
            <w:hideMark/>
          </w:tcPr>
          <w:p w:rsidR="0032573A" w:rsidRPr="0032573A" w:rsidRDefault="00A629BC" w:rsidP="00FE5B58">
            <w:pPr>
              <w:pStyle w:val="Nadpis2"/>
              <w:numPr>
                <w:ilvl w:val="0"/>
                <w:numId w:val="0"/>
              </w:numPr>
              <w:spacing w:before="0" w:after="0"/>
              <w:jc w:val="center"/>
              <w:rPr>
                <w:rFonts w:eastAsia="Times New Roman"/>
                <w:lang w:eastAsia="cs-CZ"/>
              </w:rPr>
            </w:pPr>
            <w:bookmarkStart w:id="97" w:name="_Toc476556244"/>
            <w:r>
              <w:rPr>
                <w:rFonts w:eastAsia="Times New Roman"/>
                <w:lang w:eastAsia="cs-CZ"/>
              </w:rPr>
              <w:t xml:space="preserve">Sk. 1: </w:t>
            </w:r>
            <w:r w:rsidR="0032573A" w:rsidRPr="0032573A">
              <w:rPr>
                <w:rFonts w:eastAsia="Times New Roman"/>
                <w:lang w:eastAsia="cs-CZ"/>
              </w:rPr>
              <w:t>Zvýšení motivace pracovní síly akceptovat zaměstnání</w:t>
            </w:r>
            <w:bookmarkEnd w:id="97"/>
          </w:p>
        </w:tc>
      </w:tr>
      <w:tr w:rsidR="00B3237D" w:rsidRPr="0036078A" w:rsidTr="0036078A">
        <w:trPr>
          <w:trHeight w:val="285"/>
        </w:trPr>
        <w:tc>
          <w:tcPr>
            <w:tcW w:w="607" w:type="dxa"/>
            <w:tcBorders>
              <w:top w:val="single" w:sz="8" w:space="0" w:color="auto"/>
              <w:left w:val="single" w:sz="8" w:space="0" w:color="auto"/>
              <w:bottom w:val="single" w:sz="4" w:space="0" w:color="auto"/>
              <w:right w:val="nil"/>
            </w:tcBorders>
            <w:shd w:val="clear" w:color="000000" w:fill="DCE6F1"/>
            <w:noWrap/>
            <w:vAlign w:val="center"/>
            <w:hideMark/>
          </w:tcPr>
          <w:p w:rsidR="00741467" w:rsidRPr="0032573A" w:rsidRDefault="00741467" w:rsidP="0032573A">
            <w:pPr>
              <w:spacing w:line="240" w:lineRule="auto"/>
              <w:jc w:val="center"/>
              <w:rPr>
                <w:rFonts w:eastAsia="Times New Roman" w:cs="Arial"/>
                <w:b/>
                <w:bCs/>
                <w:color w:val="000000"/>
                <w:szCs w:val="24"/>
                <w:lang w:eastAsia="cs-CZ"/>
              </w:rPr>
            </w:pPr>
            <w:r w:rsidRPr="0032573A">
              <w:rPr>
                <w:rFonts w:eastAsia="Times New Roman" w:cs="Arial"/>
                <w:b/>
                <w:bCs/>
                <w:color w:val="000000"/>
                <w:szCs w:val="24"/>
                <w:lang w:eastAsia="cs-CZ"/>
              </w:rPr>
              <w:t>1.1</w:t>
            </w:r>
          </w:p>
        </w:tc>
        <w:tc>
          <w:tcPr>
            <w:tcW w:w="1088" w:type="dxa"/>
            <w:gridSpan w:val="3"/>
            <w:tcBorders>
              <w:top w:val="single" w:sz="8" w:space="0" w:color="auto"/>
              <w:left w:val="single" w:sz="8" w:space="0" w:color="auto"/>
              <w:bottom w:val="single" w:sz="8" w:space="0" w:color="auto"/>
              <w:right w:val="nil"/>
            </w:tcBorders>
            <w:shd w:val="clear" w:color="auto" w:fill="auto"/>
            <w:noWrap/>
            <w:vAlign w:val="center"/>
            <w:hideMark/>
          </w:tcPr>
          <w:p w:rsidR="00741467" w:rsidRPr="0032573A" w:rsidRDefault="00741467" w:rsidP="0032573A">
            <w:pPr>
              <w:spacing w:line="240" w:lineRule="auto"/>
              <w:jc w:val="right"/>
              <w:rPr>
                <w:rFonts w:eastAsia="Times New Roman" w:cs="Arial"/>
                <w:b/>
                <w:bCs/>
                <w:color w:val="000000"/>
                <w:szCs w:val="24"/>
                <w:lang w:eastAsia="cs-CZ"/>
              </w:rPr>
            </w:pPr>
            <w:r w:rsidRPr="0032573A">
              <w:rPr>
                <w:rFonts w:eastAsia="Times New Roman" w:cs="Arial"/>
                <w:b/>
                <w:bCs/>
                <w:color w:val="000000"/>
                <w:szCs w:val="24"/>
                <w:lang w:eastAsia="cs-CZ"/>
              </w:rPr>
              <w:t>T:</w:t>
            </w:r>
          </w:p>
        </w:tc>
        <w:tc>
          <w:tcPr>
            <w:tcW w:w="985" w:type="dxa"/>
            <w:tcBorders>
              <w:top w:val="single" w:sz="8" w:space="0" w:color="auto"/>
              <w:left w:val="nil"/>
              <w:bottom w:val="single" w:sz="8" w:space="0" w:color="auto"/>
              <w:right w:val="nil"/>
            </w:tcBorders>
            <w:shd w:val="clear" w:color="auto" w:fill="auto"/>
            <w:noWrap/>
            <w:vAlign w:val="center"/>
            <w:hideMark/>
          </w:tcPr>
          <w:p w:rsidR="00741467" w:rsidRPr="0032573A" w:rsidRDefault="00741467" w:rsidP="0032573A">
            <w:pPr>
              <w:spacing w:line="240" w:lineRule="auto"/>
              <w:jc w:val="center"/>
              <w:rPr>
                <w:rFonts w:eastAsia="Times New Roman" w:cs="Arial"/>
                <w:b/>
                <w:bCs/>
                <w:color w:val="000000"/>
                <w:szCs w:val="24"/>
                <w:lang w:eastAsia="cs-CZ"/>
              </w:rPr>
            </w:pPr>
            <w:r w:rsidRPr="0032573A">
              <w:rPr>
                <w:rFonts w:eastAsia="Times New Roman" w:cs="Arial"/>
                <w:b/>
                <w:bCs/>
                <w:color w:val="000000"/>
                <w:szCs w:val="24"/>
                <w:lang w:eastAsia="cs-CZ"/>
              </w:rPr>
              <w:t>2016</w:t>
            </w:r>
          </w:p>
        </w:tc>
        <w:tc>
          <w:tcPr>
            <w:tcW w:w="2078" w:type="dxa"/>
            <w:gridSpan w:val="2"/>
            <w:tcBorders>
              <w:top w:val="single" w:sz="12" w:space="0" w:color="auto"/>
              <w:left w:val="single" w:sz="12" w:space="0" w:color="auto"/>
              <w:bottom w:val="single" w:sz="8" w:space="0" w:color="auto"/>
              <w:right w:val="nil"/>
            </w:tcBorders>
            <w:shd w:val="clear" w:color="auto" w:fill="auto"/>
            <w:noWrap/>
            <w:vAlign w:val="center"/>
            <w:hideMark/>
          </w:tcPr>
          <w:p w:rsidR="00741467" w:rsidRPr="0032573A" w:rsidRDefault="00741467" w:rsidP="0032573A">
            <w:pPr>
              <w:spacing w:line="240" w:lineRule="auto"/>
              <w:jc w:val="right"/>
              <w:rPr>
                <w:rFonts w:eastAsia="Times New Roman" w:cs="Arial"/>
                <w:b/>
                <w:bCs/>
                <w:color w:val="000000"/>
                <w:szCs w:val="24"/>
                <w:lang w:eastAsia="cs-CZ"/>
              </w:rPr>
            </w:pPr>
            <w:r w:rsidRPr="0032573A">
              <w:rPr>
                <w:rFonts w:eastAsia="Times New Roman" w:cs="Arial"/>
                <w:b/>
                <w:bCs/>
                <w:color w:val="000000"/>
                <w:szCs w:val="24"/>
                <w:lang w:eastAsia="cs-CZ"/>
              </w:rPr>
              <w:t>gesce:</w:t>
            </w:r>
          </w:p>
        </w:tc>
        <w:tc>
          <w:tcPr>
            <w:tcW w:w="1367" w:type="dxa"/>
            <w:tcBorders>
              <w:top w:val="single" w:sz="12" w:space="0" w:color="auto"/>
              <w:left w:val="nil"/>
              <w:bottom w:val="single" w:sz="8" w:space="0" w:color="auto"/>
              <w:right w:val="single" w:sz="12" w:space="0" w:color="auto"/>
            </w:tcBorders>
            <w:shd w:val="clear" w:color="auto" w:fill="auto"/>
            <w:noWrap/>
            <w:vAlign w:val="center"/>
            <w:hideMark/>
          </w:tcPr>
          <w:p w:rsidR="00741467" w:rsidRPr="0032573A" w:rsidRDefault="00741467" w:rsidP="0032573A">
            <w:pPr>
              <w:spacing w:line="240" w:lineRule="auto"/>
              <w:jc w:val="left"/>
              <w:rPr>
                <w:rFonts w:eastAsia="Times New Roman" w:cs="Arial"/>
                <w:b/>
                <w:bCs/>
                <w:color w:val="000000"/>
                <w:szCs w:val="24"/>
                <w:lang w:eastAsia="cs-CZ"/>
              </w:rPr>
            </w:pPr>
            <w:r w:rsidRPr="0032573A">
              <w:rPr>
                <w:rFonts w:eastAsia="Times New Roman" w:cs="Arial"/>
                <w:b/>
                <w:bCs/>
                <w:color w:val="000000"/>
                <w:szCs w:val="24"/>
                <w:lang w:eastAsia="cs-CZ"/>
              </w:rPr>
              <w:t>MPSV</w:t>
            </w:r>
          </w:p>
        </w:tc>
        <w:tc>
          <w:tcPr>
            <w:tcW w:w="2306" w:type="dxa"/>
            <w:tcBorders>
              <w:top w:val="single" w:sz="8" w:space="0" w:color="auto"/>
              <w:left w:val="nil"/>
              <w:bottom w:val="single" w:sz="8" w:space="0" w:color="auto"/>
            </w:tcBorders>
            <w:shd w:val="clear" w:color="auto" w:fill="auto"/>
            <w:noWrap/>
            <w:vAlign w:val="center"/>
          </w:tcPr>
          <w:p w:rsidR="00741467" w:rsidRPr="0032573A" w:rsidRDefault="00741467" w:rsidP="0064576D">
            <w:pPr>
              <w:spacing w:line="240" w:lineRule="auto"/>
              <w:jc w:val="right"/>
              <w:rPr>
                <w:rFonts w:eastAsia="Times New Roman" w:cs="Arial"/>
                <w:b/>
                <w:bCs/>
                <w:color w:val="000000"/>
                <w:szCs w:val="24"/>
                <w:lang w:eastAsia="cs-CZ"/>
              </w:rPr>
            </w:pPr>
            <w:r w:rsidRPr="0032573A">
              <w:rPr>
                <w:rFonts w:eastAsia="Times New Roman" w:cs="Arial"/>
                <w:b/>
                <w:bCs/>
                <w:color w:val="000000"/>
                <w:szCs w:val="24"/>
                <w:lang w:eastAsia="cs-CZ"/>
              </w:rPr>
              <w:t>povaha:</w:t>
            </w:r>
          </w:p>
        </w:tc>
        <w:tc>
          <w:tcPr>
            <w:tcW w:w="447" w:type="dxa"/>
            <w:tcBorders>
              <w:top w:val="single" w:sz="8" w:space="0" w:color="auto"/>
              <w:bottom w:val="single" w:sz="8" w:space="0" w:color="auto"/>
              <w:right w:val="single" w:sz="8" w:space="0" w:color="auto"/>
            </w:tcBorders>
            <w:shd w:val="clear" w:color="auto" w:fill="auto"/>
            <w:noWrap/>
            <w:vAlign w:val="center"/>
          </w:tcPr>
          <w:p w:rsidR="00741467" w:rsidRPr="0032573A" w:rsidRDefault="00741467" w:rsidP="0064576D">
            <w:pPr>
              <w:spacing w:line="240" w:lineRule="auto"/>
              <w:jc w:val="center"/>
              <w:rPr>
                <w:rFonts w:eastAsia="Times New Roman" w:cs="Arial"/>
                <w:b/>
                <w:bCs/>
                <w:color w:val="000000"/>
                <w:szCs w:val="24"/>
                <w:lang w:eastAsia="cs-CZ"/>
              </w:rPr>
            </w:pPr>
            <w:r w:rsidRPr="0032573A">
              <w:rPr>
                <w:rFonts w:eastAsia="Times New Roman" w:cs="Arial"/>
                <w:b/>
                <w:bCs/>
                <w:color w:val="000000"/>
                <w:szCs w:val="24"/>
                <w:lang w:eastAsia="cs-CZ"/>
              </w:rPr>
              <w:t>L</w:t>
            </w:r>
          </w:p>
        </w:tc>
        <w:tc>
          <w:tcPr>
            <w:tcW w:w="1946" w:type="dxa"/>
            <w:tcBorders>
              <w:left w:val="single" w:sz="8" w:space="0" w:color="auto"/>
              <w:bottom w:val="single" w:sz="8" w:space="0" w:color="auto"/>
            </w:tcBorders>
            <w:shd w:val="clear" w:color="auto" w:fill="auto"/>
            <w:noWrap/>
            <w:vAlign w:val="center"/>
          </w:tcPr>
          <w:p w:rsidR="00741467" w:rsidRPr="0032573A" w:rsidRDefault="00741467" w:rsidP="0032573A">
            <w:pPr>
              <w:spacing w:line="240" w:lineRule="auto"/>
              <w:jc w:val="right"/>
              <w:rPr>
                <w:rFonts w:eastAsia="Times New Roman" w:cs="Arial"/>
                <w:color w:val="000000"/>
                <w:szCs w:val="24"/>
                <w:lang w:eastAsia="cs-CZ"/>
              </w:rPr>
            </w:pPr>
          </w:p>
        </w:tc>
        <w:tc>
          <w:tcPr>
            <w:tcW w:w="3392" w:type="dxa"/>
            <w:gridSpan w:val="3"/>
            <w:tcBorders>
              <w:left w:val="nil"/>
              <w:bottom w:val="single" w:sz="8" w:space="0" w:color="auto"/>
            </w:tcBorders>
            <w:shd w:val="clear" w:color="auto" w:fill="auto"/>
            <w:noWrap/>
            <w:vAlign w:val="center"/>
          </w:tcPr>
          <w:p w:rsidR="00741467" w:rsidRPr="0032573A" w:rsidRDefault="00741467" w:rsidP="0032573A">
            <w:pPr>
              <w:spacing w:line="240" w:lineRule="auto"/>
              <w:jc w:val="right"/>
              <w:rPr>
                <w:rFonts w:eastAsia="Times New Roman" w:cs="Arial"/>
                <w:b/>
                <w:bCs/>
                <w:color w:val="000000"/>
                <w:szCs w:val="24"/>
                <w:lang w:eastAsia="cs-CZ"/>
              </w:rPr>
            </w:pPr>
          </w:p>
        </w:tc>
      </w:tr>
      <w:tr w:rsidR="0036078A" w:rsidRPr="0036078A" w:rsidTr="0036078A">
        <w:trPr>
          <w:trHeight w:val="327"/>
        </w:trPr>
        <w:tc>
          <w:tcPr>
            <w:tcW w:w="607"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36078A" w:rsidRPr="0032573A" w:rsidRDefault="0036078A" w:rsidP="0032573A">
            <w:pPr>
              <w:spacing w:line="240" w:lineRule="auto"/>
              <w:jc w:val="center"/>
              <w:rPr>
                <w:rFonts w:eastAsia="Times New Roman" w:cs="Arial"/>
                <w:b/>
                <w:bCs/>
                <w:color w:val="000000"/>
                <w:szCs w:val="24"/>
                <w:lang w:eastAsia="cs-CZ"/>
              </w:rPr>
            </w:pPr>
            <w:r w:rsidRPr="0032573A">
              <w:rPr>
                <w:rFonts w:eastAsia="Times New Roman" w:cs="Arial"/>
                <w:b/>
                <w:bCs/>
                <w:color w:val="000000"/>
                <w:szCs w:val="24"/>
                <w:lang w:eastAsia="cs-CZ"/>
              </w:rPr>
              <w:t>Veřejná služba</w:t>
            </w:r>
          </w:p>
        </w:tc>
        <w:tc>
          <w:tcPr>
            <w:tcW w:w="13609" w:type="dxa"/>
            <w:gridSpan w:val="13"/>
            <w:tcBorders>
              <w:top w:val="single" w:sz="8" w:space="0" w:color="auto"/>
              <w:left w:val="nil"/>
              <w:right w:val="single" w:sz="8" w:space="0" w:color="auto"/>
            </w:tcBorders>
            <w:shd w:val="clear" w:color="auto" w:fill="auto"/>
            <w:noWrap/>
            <w:vAlign w:val="center"/>
          </w:tcPr>
          <w:p w:rsidR="0036078A" w:rsidRPr="0032573A" w:rsidRDefault="0036078A" w:rsidP="0036078A">
            <w:pPr>
              <w:spacing w:line="240" w:lineRule="auto"/>
              <w:jc w:val="center"/>
              <w:rPr>
                <w:rFonts w:eastAsia="Times New Roman" w:cs="Arial"/>
                <w:color w:val="000000"/>
                <w:szCs w:val="24"/>
                <w:lang w:eastAsia="cs-CZ"/>
              </w:rPr>
            </w:pPr>
            <w:r w:rsidRPr="0032573A">
              <w:rPr>
                <w:rFonts w:eastAsia="Times New Roman" w:cs="Arial"/>
                <w:b/>
                <w:bCs/>
                <w:color w:val="000000"/>
                <w:szCs w:val="24"/>
                <w:u w:val="single"/>
                <w:lang w:eastAsia="cs-CZ"/>
              </w:rPr>
              <w:t>Popis</w:t>
            </w:r>
          </w:p>
        </w:tc>
      </w:tr>
      <w:tr w:rsidR="00B3237D" w:rsidRPr="0036078A" w:rsidTr="00AA6B8B">
        <w:trPr>
          <w:trHeight w:val="594"/>
        </w:trPr>
        <w:tc>
          <w:tcPr>
            <w:tcW w:w="607" w:type="dxa"/>
            <w:vMerge/>
            <w:tcBorders>
              <w:top w:val="nil"/>
              <w:left w:val="single" w:sz="8" w:space="0" w:color="auto"/>
              <w:bottom w:val="single" w:sz="8" w:space="0" w:color="000000"/>
              <w:right w:val="single" w:sz="8" w:space="0" w:color="auto"/>
            </w:tcBorders>
            <w:vAlign w:val="center"/>
            <w:hideMark/>
          </w:tcPr>
          <w:p w:rsidR="00741467" w:rsidRPr="0032573A" w:rsidRDefault="00741467" w:rsidP="0032573A">
            <w:pPr>
              <w:spacing w:line="240" w:lineRule="auto"/>
              <w:jc w:val="left"/>
              <w:rPr>
                <w:rFonts w:eastAsia="Times New Roman" w:cs="Arial"/>
                <w:b/>
                <w:bCs/>
                <w:color w:val="000000"/>
                <w:szCs w:val="24"/>
                <w:lang w:eastAsia="cs-CZ"/>
              </w:rPr>
            </w:pPr>
          </w:p>
        </w:tc>
        <w:tc>
          <w:tcPr>
            <w:tcW w:w="13609" w:type="dxa"/>
            <w:gridSpan w:val="13"/>
            <w:tcBorders>
              <w:left w:val="nil"/>
              <w:bottom w:val="double" w:sz="6" w:space="0" w:color="auto"/>
              <w:right w:val="single" w:sz="8" w:space="0" w:color="auto"/>
            </w:tcBorders>
            <w:shd w:val="clear" w:color="auto" w:fill="auto"/>
            <w:vAlign w:val="center"/>
            <w:hideMark/>
          </w:tcPr>
          <w:p w:rsidR="00741467" w:rsidRPr="0032573A" w:rsidRDefault="00741467" w:rsidP="0032573A">
            <w:pPr>
              <w:spacing w:line="240" w:lineRule="auto"/>
              <w:rPr>
                <w:rFonts w:eastAsia="Times New Roman" w:cs="Arial"/>
                <w:color w:val="000000"/>
                <w:szCs w:val="24"/>
                <w:lang w:eastAsia="cs-CZ"/>
              </w:rPr>
            </w:pPr>
            <w:r w:rsidRPr="0032573A">
              <w:rPr>
                <w:rFonts w:eastAsia="Times New Roman" w:cs="Arial"/>
                <w:color w:val="000000"/>
                <w:szCs w:val="24"/>
                <w:lang w:eastAsia="cs-CZ"/>
              </w:rPr>
              <w:t>Opětovné zavedení bonifikace výkonu veřejné služby s cílem aktivizovat osoby dlouhodobě nezaměstnané, resp. osoby nacházející se v hmotné nouzi s cílem podpořit uchování, resp. znovuzískání nezbytných pracovních návyků</w:t>
            </w:r>
          </w:p>
        </w:tc>
      </w:tr>
      <w:tr w:rsidR="00B3237D" w:rsidRPr="0036078A" w:rsidTr="008957A5">
        <w:trPr>
          <w:trHeight w:val="330"/>
        </w:trPr>
        <w:tc>
          <w:tcPr>
            <w:tcW w:w="607" w:type="dxa"/>
            <w:vMerge/>
            <w:tcBorders>
              <w:top w:val="nil"/>
              <w:left w:val="single" w:sz="8" w:space="0" w:color="auto"/>
              <w:bottom w:val="single" w:sz="8" w:space="0" w:color="000000"/>
              <w:right w:val="double" w:sz="6" w:space="0" w:color="auto"/>
            </w:tcBorders>
            <w:vAlign w:val="center"/>
            <w:hideMark/>
          </w:tcPr>
          <w:p w:rsidR="00741467" w:rsidRPr="0032573A" w:rsidRDefault="00741467" w:rsidP="0032573A">
            <w:pPr>
              <w:spacing w:line="240" w:lineRule="auto"/>
              <w:jc w:val="left"/>
              <w:rPr>
                <w:rFonts w:eastAsia="Times New Roman" w:cs="Arial"/>
                <w:b/>
                <w:bCs/>
                <w:color w:val="000000"/>
                <w:szCs w:val="24"/>
                <w:lang w:eastAsia="cs-CZ"/>
              </w:rPr>
            </w:pPr>
          </w:p>
        </w:tc>
        <w:tc>
          <w:tcPr>
            <w:tcW w:w="528" w:type="dxa"/>
            <w:tcBorders>
              <w:top w:val="double" w:sz="6" w:space="0" w:color="auto"/>
              <w:left w:val="double" w:sz="6" w:space="0" w:color="auto"/>
              <w:bottom w:val="double" w:sz="6" w:space="0" w:color="auto"/>
              <w:right w:val="nil"/>
            </w:tcBorders>
            <w:shd w:val="clear" w:color="000000" w:fill="00B050"/>
            <w:noWrap/>
            <w:vAlign w:val="center"/>
          </w:tcPr>
          <w:p w:rsidR="00741467" w:rsidRPr="0032573A" w:rsidRDefault="00741467" w:rsidP="0032573A">
            <w:pPr>
              <w:spacing w:line="240" w:lineRule="auto"/>
              <w:jc w:val="center"/>
              <w:rPr>
                <w:rFonts w:eastAsia="Times New Roman" w:cs="Arial"/>
                <w:color w:val="000000"/>
                <w:szCs w:val="24"/>
                <w:lang w:eastAsia="cs-CZ"/>
              </w:rPr>
            </w:pPr>
          </w:p>
        </w:tc>
        <w:tc>
          <w:tcPr>
            <w:tcW w:w="2126" w:type="dxa"/>
            <w:gridSpan w:val="4"/>
            <w:tcBorders>
              <w:top w:val="double" w:sz="6" w:space="0" w:color="auto"/>
              <w:left w:val="nil"/>
              <w:bottom w:val="double" w:sz="6" w:space="0" w:color="auto"/>
              <w:right w:val="double" w:sz="6" w:space="0" w:color="auto"/>
            </w:tcBorders>
            <w:shd w:val="clear" w:color="000000" w:fill="00B050"/>
            <w:vAlign w:val="center"/>
            <w:hideMark/>
          </w:tcPr>
          <w:p w:rsidR="00741467" w:rsidRPr="0032573A" w:rsidRDefault="00741467" w:rsidP="0032573A">
            <w:pPr>
              <w:spacing w:line="240" w:lineRule="auto"/>
              <w:jc w:val="left"/>
              <w:rPr>
                <w:rFonts w:eastAsia="Times New Roman" w:cs="Arial"/>
                <w:b/>
                <w:bCs/>
                <w:color w:val="000000"/>
                <w:szCs w:val="24"/>
                <w:lang w:eastAsia="cs-CZ"/>
              </w:rPr>
            </w:pPr>
            <w:r w:rsidRPr="0032573A">
              <w:rPr>
                <w:rFonts w:eastAsia="Times New Roman" w:cs="Arial"/>
                <w:b/>
                <w:bCs/>
                <w:color w:val="000000"/>
                <w:szCs w:val="24"/>
                <w:lang w:eastAsia="cs-CZ"/>
              </w:rPr>
              <w:t>Splněno</w:t>
            </w:r>
          </w:p>
        </w:tc>
        <w:tc>
          <w:tcPr>
            <w:tcW w:w="7654" w:type="dxa"/>
            <w:gridSpan w:val="6"/>
            <w:tcBorders>
              <w:top w:val="double" w:sz="6" w:space="0" w:color="auto"/>
              <w:left w:val="double" w:sz="6" w:space="0" w:color="auto"/>
              <w:bottom w:val="nil"/>
              <w:right w:val="nil"/>
            </w:tcBorders>
            <w:shd w:val="clear" w:color="auto" w:fill="auto"/>
            <w:vAlign w:val="center"/>
            <w:hideMark/>
          </w:tcPr>
          <w:p w:rsidR="00741467" w:rsidRPr="0032573A" w:rsidRDefault="00741467" w:rsidP="0032573A">
            <w:pPr>
              <w:spacing w:line="240" w:lineRule="auto"/>
              <w:jc w:val="center"/>
              <w:rPr>
                <w:rFonts w:eastAsia="Times New Roman" w:cs="Arial"/>
                <w:b/>
                <w:bCs/>
                <w:color w:val="000000"/>
                <w:szCs w:val="24"/>
                <w:u w:val="single"/>
                <w:lang w:eastAsia="cs-CZ"/>
              </w:rPr>
            </w:pPr>
            <w:r w:rsidRPr="0032573A">
              <w:rPr>
                <w:rFonts w:eastAsia="Times New Roman" w:cs="Arial"/>
                <w:b/>
                <w:bCs/>
                <w:color w:val="000000"/>
                <w:szCs w:val="24"/>
                <w:u w:val="single"/>
                <w:lang w:eastAsia="cs-CZ"/>
              </w:rPr>
              <w:t>Plnění</w:t>
            </w:r>
          </w:p>
        </w:tc>
        <w:tc>
          <w:tcPr>
            <w:tcW w:w="1188" w:type="dxa"/>
            <w:tcBorders>
              <w:top w:val="nil"/>
              <w:left w:val="single" w:sz="8" w:space="0" w:color="auto"/>
              <w:bottom w:val="single" w:sz="8" w:space="0" w:color="auto"/>
              <w:right w:val="nil"/>
            </w:tcBorders>
            <w:shd w:val="clear" w:color="auto" w:fill="auto"/>
            <w:vAlign w:val="center"/>
            <w:hideMark/>
          </w:tcPr>
          <w:p w:rsidR="00741467" w:rsidRPr="0032573A" w:rsidRDefault="00741467" w:rsidP="0032573A">
            <w:pPr>
              <w:spacing w:line="240" w:lineRule="auto"/>
              <w:jc w:val="right"/>
              <w:rPr>
                <w:rFonts w:eastAsia="Times New Roman" w:cs="Arial"/>
                <w:color w:val="000000"/>
                <w:szCs w:val="24"/>
                <w:lang w:eastAsia="cs-CZ"/>
              </w:rPr>
            </w:pPr>
            <w:r w:rsidRPr="0032573A">
              <w:rPr>
                <w:rFonts w:eastAsia="Times New Roman" w:cs="Arial"/>
                <w:color w:val="000000"/>
                <w:szCs w:val="24"/>
                <w:lang w:eastAsia="cs-CZ"/>
              </w:rPr>
              <w:t>k datu</w:t>
            </w:r>
          </w:p>
        </w:tc>
        <w:tc>
          <w:tcPr>
            <w:tcW w:w="2113" w:type="dxa"/>
            <w:tcBorders>
              <w:top w:val="nil"/>
              <w:left w:val="nil"/>
              <w:bottom w:val="single" w:sz="8" w:space="0" w:color="auto"/>
              <w:right w:val="single" w:sz="8" w:space="0" w:color="auto"/>
            </w:tcBorders>
            <w:shd w:val="clear" w:color="auto" w:fill="auto"/>
            <w:vAlign w:val="center"/>
            <w:hideMark/>
          </w:tcPr>
          <w:p w:rsidR="00741467" w:rsidRPr="0032573A" w:rsidRDefault="00741467" w:rsidP="0032573A">
            <w:pPr>
              <w:spacing w:line="240" w:lineRule="auto"/>
              <w:jc w:val="center"/>
              <w:rPr>
                <w:rFonts w:eastAsia="Times New Roman" w:cs="Arial"/>
                <w:b/>
                <w:bCs/>
                <w:color w:val="000000"/>
                <w:szCs w:val="24"/>
                <w:u w:val="single"/>
                <w:lang w:eastAsia="cs-CZ"/>
              </w:rPr>
            </w:pPr>
            <w:r w:rsidRPr="0032573A">
              <w:rPr>
                <w:rFonts w:eastAsia="Times New Roman" w:cs="Arial"/>
                <w:b/>
                <w:bCs/>
                <w:color w:val="000000"/>
                <w:szCs w:val="24"/>
                <w:u w:val="single"/>
                <w:lang w:eastAsia="cs-CZ"/>
              </w:rPr>
              <w:t>31.</w:t>
            </w:r>
            <w:r w:rsidRPr="0036078A">
              <w:rPr>
                <w:rFonts w:eastAsia="Times New Roman" w:cs="Arial"/>
                <w:b/>
                <w:bCs/>
                <w:color w:val="000000"/>
                <w:szCs w:val="24"/>
                <w:u w:val="single"/>
                <w:lang w:eastAsia="cs-CZ"/>
              </w:rPr>
              <w:t xml:space="preserve"> </w:t>
            </w:r>
            <w:r w:rsidRPr="0032573A">
              <w:rPr>
                <w:rFonts w:eastAsia="Times New Roman" w:cs="Arial"/>
                <w:b/>
                <w:bCs/>
                <w:color w:val="000000"/>
                <w:szCs w:val="24"/>
                <w:u w:val="single"/>
                <w:lang w:eastAsia="cs-CZ"/>
              </w:rPr>
              <w:t>12.</w:t>
            </w:r>
            <w:r w:rsidRPr="0036078A">
              <w:rPr>
                <w:rFonts w:eastAsia="Times New Roman" w:cs="Arial"/>
                <w:b/>
                <w:bCs/>
                <w:color w:val="000000"/>
                <w:szCs w:val="24"/>
                <w:u w:val="single"/>
                <w:lang w:eastAsia="cs-CZ"/>
              </w:rPr>
              <w:t xml:space="preserve"> </w:t>
            </w:r>
            <w:r w:rsidRPr="0032573A">
              <w:rPr>
                <w:rFonts w:eastAsia="Times New Roman" w:cs="Arial"/>
                <w:b/>
                <w:bCs/>
                <w:color w:val="000000"/>
                <w:szCs w:val="24"/>
                <w:u w:val="single"/>
                <w:lang w:eastAsia="cs-CZ"/>
              </w:rPr>
              <w:t>2016</w:t>
            </w:r>
          </w:p>
        </w:tc>
      </w:tr>
      <w:tr w:rsidR="00B3237D" w:rsidRPr="0036078A" w:rsidTr="007C41BF">
        <w:trPr>
          <w:trHeight w:val="2951"/>
        </w:trPr>
        <w:tc>
          <w:tcPr>
            <w:tcW w:w="607" w:type="dxa"/>
            <w:vMerge/>
            <w:tcBorders>
              <w:top w:val="nil"/>
              <w:left w:val="single" w:sz="8" w:space="0" w:color="auto"/>
              <w:bottom w:val="single" w:sz="8" w:space="0" w:color="000000"/>
              <w:right w:val="single" w:sz="8" w:space="0" w:color="auto"/>
            </w:tcBorders>
            <w:vAlign w:val="center"/>
            <w:hideMark/>
          </w:tcPr>
          <w:p w:rsidR="00741467" w:rsidRPr="0032573A" w:rsidRDefault="00741467" w:rsidP="0032573A">
            <w:pPr>
              <w:spacing w:line="240" w:lineRule="auto"/>
              <w:jc w:val="left"/>
              <w:rPr>
                <w:rFonts w:eastAsia="Times New Roman" w:cs="Arial"/>
                <w:b/>
                <w:bCs/>
                <w:color w:val="000000"/>
                <w:szCs w:val="24"/>
                <w:lang w:eastAsia="cs-CZ"/>
              </w:rPr>
            </w:pPr>
          </w:p>
        </w:tc>
        <w:tc>
          <w:tcPr>
            <w:tcW w:w="528" w:type="dxa"/>
            <w:tcBorders>
              <w:top w:val="nil"/>
              <w:left w:val="nil"/>
              <w:bottom w:val="nil"/>
              <w:right w:val="single" w:sz="4" w:space="0" w:color="auto"/>
            </w:tcBorders>
            <w:shd w:val="clear" w:color="auto" w:fill="auto"/>
            <w:textDirection w:val="btLr"/>
            <w:vAlign w:val="center"/>
            <w:hideMark/>
          </w:tcPr>
          <w:p w:rsidR="00741467" w:rsidRPr="0032573A" w:rsidRDefault="00741467" w:rsidP="0032573A">
            <w:pPr>
              <w:spacing w:line="240" w:lineRule="auto"/>
              <w:jc w:val="center"/>
              <w:rPr>
                <w:rFonts w:eastAsia="Times New Roman" w:cs="Arial"/>
                <w:color w:val="000000"/>
                <w:szCs w:val="24"/>
                <w:lang w:eastAsia="cs-CZ"/>
              </w:rPr>
            </w:pPr>
            <w:r w:rsidRPr="0032573A">
              <w:rPr>
                <w:rFonts w:eastAsia="Times New Roman" w:cs="Arial"/>
                <w:color w:val="000000"/>
                <w:szCs w:val="24"/>
                <w:lang w:eastAsia="cs-CZ"/>
              </w:rPr>
              <w:t xml:space="preserve">předchozí </w:t>
            </w:r>
          </w:p>
        </w:tc>
        <w:tc>
          <w:tcPr>
            <w:tcW w:w="13081" w:type="dxa"/>
            <w:gridSpan w:val="12"/>
            <w:tcBorders>
              <w:top w:val="nil"/>
              <w:left w:val="nil"/>
              <w:bottom w:val="nil"/>
              <w:right w:val="single" w:sz="8" w:space="0" w:color="000000"/>
            </w:tcBorders>
            <w:shd w:val="clear" w:color="auto" w:fill="auto"/>
            <w:hideMark/>
          </w:tcPr>
          <w:p w:rsidR="00741467" w:rsidRPr="0032573A" w:rsidRDefault="00741467" w:rsidP="007C41BF">
            <w:pPr>
              <w:spacing w:before="120" w:after="120" w:line="240" w:lineRule="auto"/>
              <w:rPr>
                <w:rFonts w:eastAsia="Times New Roman" w:cs="Arial"/>
                <w:color w:val="000000"/>
                <w:szCs w:val="24"/>
                <w:lang w:eastAsia="cs-CZ"/>
              </w:rPr>
            </w:pPr>
            <w:r w:rsidRPr="0032573A">
              <w:rPr>
                <w:rFonts w:eastAsia="Times New Roman" w:cs="Arial"/>
                <w:color w:val="000000"/>
                <w:szCs w:val="24"/>
                <w:lang w:eastAsia="cs-CZ"/>
              </w:rPr>
              <w:t xml:space="preserve">Dne 1. </w:t>
            </w:r>
            <w:r w:rsidR="00AA6B8B">
              <w:rPr>
                <w:rFonts w:eastAsia="Times New Roman" w:cs="Arial"/>
                <w:color w:val="000000"/>
                <w:szCs w:val="24"/>
                <w:lang w:eastAsia="cs-CZ"/>
              </w:rPr>
              <w:t>11.</w:t>
            </w:r>
            <w:r w:rsidRPr="0032573A">
              <w:rPr>
                <w:rFonts w:eastAsia="Times New Roman" w:cs="Arial"/>
                <w:color w:val="000000"/>
                <w:szCs w:val="24"/>
                <w:lang w:eastAsia="cs-CZ"/>
              </w:rPr>
              <w:t xml:space="preserve"> 2016 podepsal prezident návrh zákona, kterým se mění zákon č. 111/2006 Sb., o pomoci v hmotné nouzi, ve znění pozdějších předpisů, (sněmovní tisk č. 156) na znovuobnovení institutu ve</w:t>
            </w:r>
            <w:r w:rsidR="00AA6B8B">
              <w:rPr>
                <w:rFonts w:eastAsia="Times New Roman" w:cs="Arial"/>
                <w:color w:val="000000"/>
                <w:szCs w:val="24"/>
                <w:lang w:eastAsia="cs-CZ"/>
              </w:rPr>
              <w:t>řejné služby v systému pomoci v </w:t>
            </w:r>
            <w:r w:rsidRPr="0032573A">
              <w:rPr>
                <w:rFonts w:eastAsia="Times New Roman" w:cs="Arial"/>
                <w:color w:val="000000"/>
                <w:szCs w:val="24"/>
                <w:lang w:eastAsia="cs-CZ"/>
              </w:rPr>
              <w:t>hmotné nouzi.</w:t>
            </w:r>
            <w:r w:rsidR="00F74BAF">
              <w:rPr>
                <w:rFonts w:eastAsia="Times New Roman" w:cs="Arial"/>
                <w:color w:val="000000"/>
                <w:szCs w:val="24"/>
                <w:lang w:eastAsia="cs-CZ"/>
              </w:rPr>
              <w:t xml:space="preserve"> </w:t>
            </w:r>
            <w:r w:rsidRPr="0032573A">
              <w:rPr>
                <w:rFonts w:eastAsia="Times New Roman" w:cs="Arial"/>
                <w:color w:val="000000"/>
                <w:szCs w:val="24"/>
                <w:lang w:eastAsia="cs-CZ"/>
              </w:rPr>
              <w:t>Zákon zavádí hodnocení možnosti zvýšit si příjem vlastní prací a motivační zvýhodnění osob vykonávajících veřejnou službu. To znamená, že aktivním osobám bude možné dávky zvýšit a méně aktivním či neaktivním osobám zase naopak snížit. Pokud osoba, která pobírá příspěvek na živobytí, odpracuje na veřejné službě více jak 30 hodin měsíčně, zvýší se jí příspěvek na živobytí oproti současné výši (zpravidla výši životního minima 3 410 Kč) o 605 Kč (tedy na 4 015 Kč). Veřejnou službu bude nabízet osobám ÚP ČR, který bude moci přenést něk</w:t>
            </w:r>
            <w:r w:rsidR="00754536">
              <w:rPr>
                <w:rFonts w:eastAsia="Times New Roman" w:cs="Arial"/>
                <w:color w:val="000000"/>
                <w:szCs w:val="24"/>
                <w:lang w:eastAsia="cs-CZ"/>
              </w:rPr>
              <w:t>teré kompetence v souvislosti s </w:t>
            </w:r>
            <w:r w:rsidRPr="0032573A">
              <w:rPr>
                <w:rFonts w:eastAsia="Times New Roman" w:cs="Arial"/>
                <w:color w:val="000000"/>
                <w:szCs w:val="24"/>
                <w:lang w:eastAsia="cs-CZ"/>
              </w:rPr>
              <w:t>veřejnou službou na obce, popřípadě i na jiné subjekty.</w:t>
            </w:r>
            <w:r w:rsidR="00AA6B8B">
              <w:rPr>
                <w:rFonts w:eastAsia="Times New Roman" w:cs="Arial"/>
                <w:color w:val="000000"/>
                <w:szCs w:val="24"/>
                <w:lang w:eastAsia="cs-CZ"/>
              </w:rPr>
              <w:t xml:space="preserve"> </w:t>
            </w:r>
            <w:r w:rsidRPr="0032573A">
              <w:rPr>
                <w:rFonts w:eastAsia="Times New Roman" w:cs="Arial"/>
                <w:color w:val="000000"/>
                <w:szCs w:val="24"/>
                <w:lang w:eastAsia="cs-CZ"/>
              </w:rPr>
              <w:t>MPSV bude s ohledem na aktuální vývoj na trhu práce hledat další způsoby, jak bonifikovat ty osoby v hmotné nouzi, u nichž existuje prokazatelná snaha zlepšit vlastní situaci výkonem veřejné služby či dalším aktivním hledáním pracovního uplatnění.</w:t>
            </w:r>
          </w:p>
        </w:tc>
      </w:tr>
      <w:tr w:rsidR="00B3237D" w:rsidRPr="0036078A" w:rsidTr="006E5B81">
        <w:trPr>
          <w:trHeight w:val="1823"/>
        </w:trPr>
        <w:tc>
          <w:tcPr>
            <w:tcW w:w="607" w:type="dxa"/>
            <w:vMerge/>
            <w:tcBorders>
              <w:top w:val="nil"/>
              <w:left w:val="single" w:sz="8" w:space="0" w:color="auto"/>
              <w:bottom w:val="single" w:sz="8" w:space="0" w:color="000000"/>
              <w:right w:val="single" w:sz="8" w:space="0" w:color="auto"/>
            </w:tcBorders>
            <w:vAlign w:val="center"/>
            <w:hideMark/>
          </w:tcPr>
          <w:p w:rsidR="00741467" w:rsidRPr="0032573A" w:rsidRDefault="00741467" w:rsidP="0032573A">
            <w:pPr>
              <w:spacing w:line="240" w:lineRule="auto"/>
              <w:jc w:val="left"/>
              <w:rPr>
                <w:rFonts w:eastAsia="Times New Roman" w:cs="Arial"/>
                <w:b/>
                <w:bCs/>
                <w:color w:val="000000"/>
                <w:szCs w:val="24"/>
                <w:lang w:eastAsia="cs-CZ"/>
              </w:rPr>
            </w:pPr>
          </w:p>
        </w:tc>
        <w:tc>
          <w:tcPr>
            <w:tcW w:w="528" w:type="dxa"/>
            <w:tcBorders>
              <w:top w:val="single" w:sz="4" w:space="0" w:color="auto"/>
              <w:left w:val="nil"/>
              <w:bottom w:val="single" w:sz="8" w:space="0" w:color="auto"/>
              <w:right w:val="single" w:sz="4" w:space="0" w:color="auto"/>
            </w:tcBorders>
            <w:shd w:val="clear" w:color="auto" w:fill="auto"/>
            <w:textDirection w:val="btLr"/>
            <w:vAlign w:val="center"/>
            <w:hideMark/>
          </w:tcPr>
          <w:p w:rsidR="00741467" w:rsidRPr="0032573A" w:rsidRDefault="00741467" w:rsidP="0032573A">
            <w:pPr>
              <w:spacing w:line="240" w:lineRule="auto"/>
              <w:jc w:val="center"/>
              <w:rPr>
                <w:rFonts w:eastAsia="Times New Roman" w:cs="Arial"/>
                <w:color w:val="000000"/>
                <w:szCs w:val="24"/>
                <w:lang w:eastAsia="cs-CZ"/>
              </w:rPr>
            </w:pPr>
            <w:r w:rsidRPr="0032573A">
              <w:rPr>
                <w:rFonts w:eastAsia="Times New Roman" w:cs="Arial"/>
                <w:color w:val="000000"/>
                <w:szCs w:val="24"/>
                <w:lang w:eastAsia="cs-CZ"/>
              </w:rPr>
              <w:t>sledované období</w:t>
            </w:r>
          </w:p>
        </w:tc>
        <w:tc>
          <w:tcPr>
            <w:tcW w:w="13081" w:type="dxa"/>
            <w:gridSpan w:val="12"/>
            <w:tcBorders>
              <w:top w:val="single" w:sz="4" w:space="0" w:color="auto"/>
              <w:left w:val="nil"/>
              <w:bottom w:val="single" w:sz="8" w:space="0" w:color="auto"/>
              <w:right w:val="single" w:sz="8" w:space="0" w:color="000000"/>
            </w:tcBorders>
            <w:shd w:val="clear" w:color="auto" w:fill="auto"/>
            <w:hideMark/>
          </w:tcPr>
          <w:p w:rsidR="00741467" w:rsidRPr="0032573A" w:rsidRDefault="00741467" w:rsidP="001A4515">
            <w:pPr>
              <w:spacing w:before="120" w:after="120" w:line="240" w:lineRule="auto"/>
              <w:rPr>
                <w:rFonts w:eastAsia="Times New Roman" w:cs="Arial"/>
                <w:color w:val="000000"/>
                <w:szCs w:val="24"/>
                <w:lang w:eastAsia="cs-CZ"/>
              </w:rPr>
            </w:pPr>
            <w:r w:rsidRPr="0032573A">
              <w:rPr>
                <w:rFonts w:eastAsia="Times New Roman" w:cs="Arial"/>
                <w:color w:val="000000"/>
                <w:szCs w:val="24"/>
                <w:lang w:eastAsia="cs-CZ"/>
              </w:rPr>
              <w:t>Dne 14. listopadu 2016 byl ve Sbírce zákonů v částce 147 publikován zákon č. 367/20</w:t>
            </w:r>
            <w:r w:rsidR="00AA6B8B">
              <w:rPr>
                <w:rFonts w:eastAsia="Times New Roman" w:cs="Arial"/>
                <w:color w:val="000000"/>
                <w:szCs w:val="24"/>
                <w:lang w:eastAsia="cs-CZ"/>
              </w:rPr>
              <w:t>16 Sb., kterým se mění zákon č. </w:t>
            </w:r>
            <w:r w:rsidRPr="0032573A">
              <w:rPr>
                <w:rFonts w:eastAsia="Times New Roman" w:cs="Arial"/>
                <w:color w:val="000000"/>
                <w:szCs w:val="24"/>
                <w:lang w:eastAsia="cs-CZ"/>
              </w:rPr>
              <w:t xml:space="preserve">111/2006 Sb., o pomoci v hmotné nouzi, ve znění pozdějších předpisů. Účinnost výše uvedeného předpisu nastala dne 1. </w:t>
            </w:r>
            <w:r w:rsidR="00AA6B8B">
              <w:rPr>
                <w:rFonts w:eastAsia="Times New Roman" w:cs="Arial"/>
                <w:color w:val="000000"/>
                <w:szCs w:val="24"/>
                <w:lang w:eastAsia="cs-CZ"/>
              </w:rPr>
              <w:t>2.</w:t>
            </w:r>
            <w:r w:rsidRPr="0032573A">
              <w:rPr>
                <w:rFonts w:eastAsia="Times New Roman" w:cs="Arial"/>
                <w:color w:val="000000"/>
                <w:szCs w:val="24"/>
                <w:lang w:eastAsia="cs-CZ"/>
              </w:rPr>
              <w:t xml:space="preserve"> 2017. </w:t>
            </w:r>
            <w:r w:rsidR="007C41BF" w:rsidRPr="007C41BF">
              <w:rPr>
                <w:rFonts w:eastAsia="Times New Roman" w:cs="Arial"/>
                <w:color w:val="000000"/>
                <w:szCs w:val="24"/>
                <w:lang w:eastAsia="cs-CZ"/>
              </w:rPr>
              <w:t>Hlavním principem této úpravy je, že osoba dlouhodobě závislá na dávkách pomoci v hmotné nouzi (tj. osoba pobírá příspěvek na živobytí déle jak 6 měsíců) má nárok na příspěvek na živobytí ve výši existenčního minima (2 200 Kč), nikoliv životního minima, nicméně je-li aktivní, má nárok na dávku ve výši životního minima (3 410 Kč), případně vyšší. Za aktivitu se přitom považuje výdělečná činnost, nárok na podporu v nezaměstna</w:t>
            </w:r>
            <w:r w:rsidR="00754536">
              <w:rPr>
                <w:rFonts w:eastAsia="Times New Roman" w:cs="Arial"/>
                <w:color w:val="000000"/>
                <w:szCs w:val="24"/>
                <w:lang w:eastAsia="cs-CZ"/>
              </w:rPr>
              <w:t>nosti či rekvalifikaci, účast v </w:t>
            </w:r>
            <w:r w:rsidR="007C41BF" w:rsidRPr="007C41BF">
              <w:rPr>
                <w:rFonts w:eastAsia="Times New Roman" w:cs="Arial"/>
                <w:color w:val="000000"/>
                <w:szCs w:val="24"/>
                <w:lang w:eastAsia="cs-CZ"/>
              </w:rPr>
              <w:t>projektech organizovaných ÚP ČR nebo výkon veřejné služby (nevyžaduje se u osob, které aktivní v tomto smyslu být nemohou – senioři, zdravotně postižení apod., a kterých se snížení příspěvku na živobytí po 6 měsících nedotkne). Přičemž pokud příjemce příspěvku na živobytí odpracuje na veřejné službě alespoň 30 hodin měsíčně, zvýší se mu příspěvek na živobytí ještě o 605 Kč (tedy na 4 015 Kč). Až 300 Kč navíc pak mohou ještě dostat ti, kteří prokáží, že mají zvýšené náklady s hledáním zaměstnání nebo s výkonem veřejné služby (celkově až 4 315 Kč). Úprava tedy podporuje příjemce dávek pomoci v hmotné nouzi, kteří jsou aktivní, oproti příjemcům, kteří aktivní být mohou, ale nejsou</w:t>
            </w:r>
            <w:r w:rsidR="00F047F0">
              <w:rPr>
                <w:rFonts w:eastAsia="Times New Roman" w:cs="Arial"/>
                <w:color w:val="000000"/>
                <w:szCs w:val="24"/>
                <w:lang w:eastAsia="cs-CZ"/>
              </w:rPr>
              <w:t>,</w:t>
            </w:r>
            <w:r w:rsidR="007C41BF" w:rsidRPr="007C41BF">
              <w:rPr>
                <w:rFonts w:eastAsia="Times New Roman" w:cs="Arial"/>
                <w:color w:val="000000"/>
                <w:szCs w:val="24"/>
                <w:lang w:eastAsia="cs-CZ"/>
              </w:rPr>
              <w:t xml:space="preserve"> a celkově motivuje příjemce dávek pomoci v hmotné nouzi k hledání a nalezení zaměstnání jako základního zdroje příjmu</w:t>
            </w:r>
            <w:r w:rsidR="00F047F0">
              <w:rPr>
                <w:rFonts w:eastAsia="Times New Roman" w:cs="Arial"/>
                <w:color w:val="000000"/>
                <w:szCs w:val="24"/>
                <w:lang w:eastAsia="cs-CZ"/>
              </w:rPr>
              <w:t>.</w:t>
            </w:r>
            <w:r w:rsidR="007C41BF" w:rsidRPr="007C41BF">
              <w:rPr>
                <w:rFonts w:eastAsia="Times New Roman" w:cs="Arial"/>
                <w:color w:val="000000"/>
                <w:szCs w:val="24"/>
                <w:lang w:eastAsia="cs-CZ"/>
              </w:rPr>
              <w:t xml:space="preserve"> </w:t>
            </w:r>
            <w:r w:rsidRPr="0032573A">
              <w:rPr>
                <w:rFonts w:eastAsia="Times New Roman" w:cs="Arial"/>
                <w:color w:val="000000"/>
                <w:szCs w:val="24"/>
                <w:lang w:eastAsia="cs-CZ"/>
              </w:rPr>
              <w:t>MPSV společně s GŘ ÚP</w:t>
            </w:r>
            <w:r w:rsidR="00AA6B8B">
              <w:rPr>
                <w:rFonts w:eastAsia="Times New Roman" w:cs="Arial"/>
                <w:color w:val="000000"/>
                <w:szCs w:val="24"/>
                <w:lang w:eastAsia="cs-CZ"/>
              </w:rPr>
              <w:t xml:space="preserve"> ČR</w:t>
            </w:r>
            <w:r w:rsidRPr="0032573A">
              <w:rPr>
                <w:rFonts w:eastAsia="Times New Roman" w:cs="Arial"/>
                <w:color w:val="000000"/>
                <w:szCs w:val="24"/>
                <w:lang w:eastAsia="cs-CZ"/>
              </w:rPr>
              <w:t xml:space="preserve"> začalo zajišťovat podmínky pro řádnou implementaci novely v praxi v podobě přípravy metodických mater</w:t>
            </w:r>
            <w:r w:rsidR="001A4515">
              <w:rPr>
                <w:rFonts w:eastAsia="Times New Roman" w:cs="Arial"/>
                <w:color w:val="000000"/>
                <w:szCs w:val="24"/>
                <w:lang w:eastAsia="cs-CZ"/>
              </w:rPr>
              <w:t xml:space="preserve">iálů, školení zaměstnanců ÚP ČR a </w:t>
            </w:r>
            <w:r w:rsidRPr="0032573A">
              <w:rPr>
                <w:rFonts w:eastAsia="Times New Roman" w:cs="Arial"/>
                <w:color w:val="000000"/>
                <w:szCs w:val="24"/>
                <w:lang w:eastAsia="cs-CZ"/>
              </w:rPr>
              <w:t>zapracování nové úpravy do informačního systému. MPSV připravilo metodický materiál k novele zákona v tom smyslu, aby se co nejvíce</w:t>
            </w:r>
            <w:r w:rsidR="001A4515">
              <w:rPr>
                <w:rFonts w:eastAsia="Times New Roman" w:cs="Arial"/>
                <w:color w:val="000000"/>
                <w:szCs w:val="24"/>
                <w:lang w:eastAsia="cs-CZ"/>
              </w:rPr>
              <w:t xml:space="preserve"> osob pobírající dávky pomoci v </w:t>
            </w:r>
            <w:r w:rsidRPr="0032573A">
              <w:rPr>
                <w:rFonts w:eastAsia="Times New Roman" w:cs="Arial"/>
                <w:color w:val="000000"/>
                <w:szCs w:val="24"/>
                <w:lang w:eastAsia="cs-CZ"/>
              </w:rPr>
              <w:t>hmotné nouzi mohlo aktivizovat pomocí veřejné služby a dalších nástrojů aktivizace a byly za to náležitě bonifikovány.</w:t>
            </w:r>
          </w:p>
        </w:tc>
      </w:tr>
    </w:tbl>
    <w:p w:rsidR="00193EA4" w:rsidRDefault="00193EA4">
      <w:pPr>
        <w:spacing w:after="200"/>
        <w:jc w:val="left"/>
      </w:pPr>
      <w:r>
        <w:br w:type="page"/>
      </w:r>
    </w:p>
    <w:tbl>
      <w:tblPr>
        <w:tblW w:w="14216" w:type="dxa"/>
        <w:tblInd w:w="-72" w:type="dxa"/>
        <w:tblCellMar>
          <w:left w:w="70" w:type="dxa"/>
          <w:right w:w="70" w:type="dxa"/>
        </w:tblCellMar>
        <w:tblLook w:val="04A0" w:firstRow="1" w:lastRow="0" w:firstColumn="1" w:lastColumn="0" w:noHBand="0" w:noVBand="1"/>
      </w:tblPr>
      <w:tblGrid>
        <w:gridCol w:w="607"/>
        <w:gridCol w:w="550"/>
        <w:gridCol w:w="1523"/>
        <w:gridCol w:w="914"/>
        <w:gridCol w:w="92"/>
        <w:gridCol w:w="1701"/>
        <w:gridCol w:w="1843"/>
        <w:gridCol w:w="1276"/>
        <w:gridCol w:w="2663"/>
        <w:gridCol w:w="934"/>
        <w:gridCol w:w="2113"/>
      </w:tblGrid>
      <w:tr w:rsidR="0036078A" w:rsidRPr="001C77E3" w:rsidTr="001C77E3">
        <w:trPr>
          <w:trHeight w:val="285"/>
        </w:trPr>
        <w:tc>
          <w:tcPr>
            <w:tcW w:w="607" w:type="dxa"/>
            <w:tcBorders>
              <w:top w:val="single" w:sz="8" w:space="0" w:color="auto"/>
              <w:left w:val="single" w:sz="8" w:space="0" w:color="auto"/>
              <w:bottom w:val="single" w:sz="4" w:space="0" w:color="auto"/>
              <w:right w:val="nil"/>
            </w:tcBorders>
            <w:shd w:val="clear" w:color="000000" w:fill="DCE6F1"/>
            <w:noWrap/>
            <w:vAlign w:val="center"/>
            <w:hideMark/>
          </w:tcPr>
          <w:p w:rsidR="00B3237D" w:rsidRPr="006961A0" w:rsidRDefault="00B3237D" w:rsidP="006961A0">
            <w:pPr>
              <w:spacing w:line="240" w:lineRule="auto"/>
              <w:jc w:val="center"/>
              <w:rPr>
                <w:rFonts w:eastAsia="Times New Roman" w:cs="Arial"/>
                <w:b/>
                <w:bCs/>
                <w:color w:val="000000"/>
                <w:szCs w:val="20"/>
                <w:lang w:eastAsia="cs-CZ"/>
              </w:rPr>
            </w:pPr>
            <w:r w:rsidRPr="006961A0">
              <w:rPr>
                <w:rFonts w:eastAsia="Times New Roman" w:cs="Arial"/>
                <w:b/>
                <w:bCs/>
                <w:color w:val="000000"/>
                <w:szCs w:val="20"/>
                <w:lang w:eastAsia="cs-CZ"/>
              </w:rPr>
              <w:t>1.2</w:t>
            </w:r>
          </w:p>
        </w:tc>
        <w:tc>
          <w:tcPr>
            <w:tcW w:w="550" w:type="dxa"/>
            <w:tcBorders>
              <w:top w:val="single" w:sz="8" w:space="0" w:color="auto"/>
              <w:left w:val="single" w:sz="8" w:space="0" w:color="auto"/>
              <w:bottom w:val="single" w:sz="8" w:space="0" w:color="auto"/>
              <w:right w:val="nil"/>
            </w:tcBorders>
            <w:shd w:val="clear" w:color="auto" w:fill="auto"/>
            <w:noWrap/>
            <w:vAlign w:val="center"/>
            <w:hideMark/>
          </w:tcPr>
          <w:p w:rsidR="00B3237D" w:rsidRPr="006961A0" w:rsidRDefault="00B3237D" w:rsidP="006961A0">
            <w:pPr>
              <w:spacing w:line="240" w:lineRule="auto"/>
              <w:jc w:val="right"/>
              <w:rPr>
                <w:rFonts w:eastAsia="Times New Roman" w:cs="Arial"/>
                <w:b/>
                <w:bCs/>
                <w:color w:val="000000"/>
                <w:szCs w:val="20"/>
                <w:lang w:eastAsia="cs-CZ"/>
              </w:rPr>
            </w:pPr>
            <w:r w:rsidRPr="006961A0">
              <w:rPr>
                <w:rFonts w:eastAsia="Times New Roman" w:cs="Arial"/>
                <w:b/>
                <w:bCs/>
                <w:color w:val="000000"/>
                <w:szCs w:val="20"/>
                <w:lang w:eastAsia="cs-CZ"/>
              </w:rPr>
              <w:t>T:</w:t>
            </w:r>
          </w:p>
        </w:tc>
        <w:tc>
          <w:tcPr>
            <w:tcW w:w="1523" w:type="dxa"/>
            <w:tcBorders>
              <w:top w:val="single" w:sz="8" w:space="0" w:color="auto"/>
              <w:left w:val="nil"/>
              <w:bottom w:val="single" w:sz="8" w:space="0" w:color="auto"/>
              <w:right w:val="nil"/>
            </w:tcBorders>
            <w:shd w:val="clear" w:color="auto" w:fill="auto"/>
            <w:noWrap/>
            <w:vAlign w:val="center"/>
            <w:hideMark/>
          </w:tcPr>
          <w:p w:rsidR="00B3237D" w:rsidRPr="006961A0" w:rsidRDefault="00B3237D" w:rsidP="006961A0">
            <w:pPr>
              <w:spacing w:line="240" w:lineRule="auto"/>
              <w:jc w:val="center"/>
              <w:rPr>
                <w:rFonts w:eastAsia="Times New Roman" w:cs="Arial"/>
                <w:b/>
                <w:bCs/>
                <w:color w:val="000000"/>
                <w:szCs w:val="20"/>
                <w:lang w:eastAsia="cs-CZ"/>
              </w:rPr>
            </w:pPr>
            <w:r w:rsidRPr="006961A0">
              <w:rPr>
                <w:rFonts w:eastAsia="Times New Roman" w:cs="Arial"/>
                <w:b/>
                <w:bCs/>
                <w:color w:val="000000"/>
                <w:szCs w:val="20"/>
                <w:lang w:eastAsia="cs-CZ"/>
              </w:rPr>
              <w:t>2016</w:t>
            </w:r>
          </w:p>
        </w:tc>
        <w:tc>
          <w:tcPr>
            <w:tcW w:w="914" w:type="dxa"/>
            <w:tcBorders>
              <w:top w:val="single" w:sz="12" w:space="0" w:color="auto"/>
              <w:left w:val="single" w:sz="12" w:space="0" w:color="auto"/>
              <w:bottom w:val="single" w:sz="8" w:space="0" w:color="auto"/>
              <w:right w:val="nil"/>
            </w:tcBorders>
            <w:shd w:val="clear" w:color="auto" w:fill="auto"/>
            <w:noWrap/>
            <w:vAlign w:val="center"/>
            <w:hideMark/>
          </w:tcPr>
          <w:p w:rsidR="00B3237D" w:rsidRPr="006961A0" w:rsidRDefault="00B3237D" w:rsidP="006961A0">
            <w:pPr>
              <w:spacing w:line="240" w:lineRule="auto"/>
              <w:jc w:val="right"/>
              <w:rPr>
                <w:rFonts w:eastAsia="Times New Roman" w:cs="Arial"/>
                <w:b/>
                <w:bCs/>
                <w:color w:val="000000"/>
                <w:szCs w:val="20"/>
                <w:lang w:eastAsia="cs-CZ"/>
              </w:rPr>
            </w:pPr>
            <w:r w:rsidRPr="006961A0">
              <w:rPr>
                <w:rFonts w:eastAsia="Times New Roman" w:cs="Arial"/>
                <w:b/>
                <w:bCs/>
                <w:color w:val="000000"/>
                <w:szCs w:val="20"/>
                <w:lang w:eastAsia="cs-CZ"/>
              </w:rPr>
              <w:t>gesce:</w:t>
            </w:r>
          </w:p>
        </w:tc>
        <w:tc>
          <w:tcPr>
            <w:tcW w:w="1793" w:type="dxa"/>
            <w:gridSpan w:val="2"/>
            <w:tcBorders>
              <w:top w:val="single" w:sz="12" w:space="0" w:color="auto"/>
              <w:left w:val="nil"/>
              <w:bottom w:val="single" w:sz="8" w:space="0" w:color="auto"/>
              <w:right w:val="single" w:sz="12" w:space="0" w:color="auto"/>
            </w:tcBorders>
            <w:shd w:val="clear" w:color="auto" w:fill="auto"/>
            <w:noWrap/>
            <w:vAlign w:val="center"/>
            <w:hideMark/>
          </w:tcPr>
          <w:p w:rsidR="00B3237D" w:rsidRPr="006961A0" w:rsidRDefault="00B3237D" w:rsidP="006961A0">
            <w:pPr>
              <w:spacing w:line="240" w:lineRule="auto"/>
              <w:jc w:val="left"/>
              <w:rPr>
                <w:rFonts w:eastAsia="Times New Roman" w:cs="Arial"/>
                <w:b/>
                <w:bCs/>
                <w:color w:val="000000"/>
                <w:szCs w:val="20"/>
                <w:lang w:eastAsia="cs-CZ"/>
              </w:rPr>
            </w:pPr>
            <w:r w:rsidRPr="006961A0">
              <w:rPr>
                <w:rFonts w:eastAsia="Times New Roman" w:cs="Arial"/>
                <w:b/>
                <w:bCs/>
                <w:color w:val="000000"/>
                <w:szCs w:val="20"/>
                <w:lang w:eastAsia="cs-CZ"/>
              </w:rPr>
              <w:t>MPSV</w:t>
            </w:r>
          </w:p>
        </w:tc>
        <w:tc>
          <w:tcPr>
            <w:tcW w:w="1843" w:type="dxa"/>
            <w:tcBorders>
              <w:top w:val="single" w:sz="8" w:space="0" w:color="auto"/>
              <w:left w:val="nil"/>
              <w:bottom w:val="single" w:sz="8" w:space="0" w:color="auto"/>
            </w:tcBorders>
            <w:shd w:val="clear" w:color="auto" w:fill="auto"/>
            <w:noWrap/>
            <w:vAlign w:val="center"/>
          </w:tcPr>
          <w:p w:rsidR="00B3237D" w:rsidRPr="006961A0" w:rsidRDefault="00B3237D" w:rsidP="0064576D">
            <w:pPr>
              <w:spacing w:line="240" w:lineRule="auto"/>
              <w:jc w:val="right"/>
              <w:rPr>
                <w:rFonts w:eastAsia="Times New Roman" w:cs="Arial"/>
                <w:b/>
                <w:bCs/>
                <w:color w:val="000000"/>
                <w:szCs w:val="20"/>
                <w:lang w:eastAsia="cs-CZ"/>
              </w:rPr>
            </w:pPr>
            <w:r w:rsidRPr="006961A0">
              <w:rPr>
                <w:rFonts w:eastAsia="Times New Roman" w:cs="Arial"/>
                <w:b/>
                <w:bCs/>
                <w:color w:val="000000"/>
                <w:szCs w:val="20"/>
                <w:lang w:eastAsia="cs-CZ"/>
              </w:rPr>
              <w:t>povaha:</w:t>
            </w:r>
          </w:p>
        </w:tc>
        <w:tc>
          <w:tcPr>
            <w:tcW w:w="1276" w:type="dxa"/>
            <w:tcBorders>
              <w:top w:val="single" w:sz="4" w:space="0" w:color="auto"/>
              <w:bottom w:val="single" w:sz="8" w:space="0" w:color="auto"/>
              <w:right w:val="single" w:sz="4" w:space="0" w:color="auto"/>
            </w:tcBorders>
            <w:shd w:val="clear" w:color="auto" w:fill="auto"/>
            <w:noWrap/>
            <w:vAlign w:val="center"/>
          </w:tcPr>
          <w:p w:rsidR="00B3237D" w:rsidRPr="001C77E3" w:rsidRDefault="00B3237D" w:rsidP="006961A0">
            <w:pPr>
              <w:spacing w:line="240" w:lineRule="auto"/>
              <w:jc w:val="left"/>
              <w:rPr>
                <w:rFonts w:eastAsia="Times New Roman" w:cs="Arial"/>
                <w:b/>
                <w:bCs/>
                <w:color w:val="000000"/>
                <w:szCs w:val="20"/>
                <w:lang w:eastAsia="cs-CZ"/>
              </w:rPr>
            </w:pPr>
            <w:r w:rsidRPr="006961A0">
              <w:rPr>
                <w:rFonts w:eastAsia="Times New Roman" w:cs="Arial"/>
                <w:b/>
                <w:bCs/>
                <w:color w:val="000000"/>
                <w:szCs w:val="20"/>
                <w:lang w:eastAsia="cs-CZ"/>
              </w:rPr>
              <w:t>L</w:t>
            </w:r>
          </w:p>
        </w:tc>
        <w:tc>
          <w:tcPr>
            <w:tcW w:w="2663" w:type="dxa"/>
            <w:tcBorders>
              <w:left w:val="nil"/>
              <w:bottom w:val="single" w:sz="8" w:space="0" w:color="auto"/>
            </w:tcBorders>
            <w:shd w:val="clear" w:color="auto" w:fill="auto"/>
            <w:vAlign w:val="center"/>
          </w:tcPr>
          <w:p w:rsidR="00B3237D" w:rsidRPr="006961A0" w:rsidRDefault="00B3237D" w:rsidP="006961A0">
            <w:pPr>
              <w:spacing w:line="240" w:lineRule="auto"/>
              <w:jc w:val="left"/>
              <w:rPr>
                <w:rFonts w:eastAsia="Times New Roman" w:cs="Arial"/>
                <w:b/>
                <w:bCs/>
                <w:color w:val="000000"/>
                <w:szCs w:val="20"/>
                <w:lang w:eastAsia="cs-CZ"/>
              </w:rPr>
            </w:pPr>
          </w:p>
        </w:tc>
        <w:tc>
          <w:tcPr>
            <w:tcW w:w="934" w:type="dxa"/>
            <w:tcBorders>
              <w:bottom w:val="single" w:sz="8" w:space="0" w:color="auto"/>
            </w:tcBorders>
            <w:shd w:val="clear" w:color="auto" w:fill="auto"/>
            <w:noWrap/>
            <w:vAlign w:val="center"/>
          </w:tcPr>
          <w:p w:rsidR="00B3237D" w:rsidRPr="006961A0" w:rsidRDefault="00B3237D" w:rsidP="006961A0">
            <w:pPr>
              <w:spacing w:line="240" w:lineRule="auto"/>
              <w:jc w:val="right"/>
              <w:rPr>
                <w:rFonts w:eastAsia="Times New Roman" w:cs="Arial"/>
                <w:color w:val="000000"/>
                <w:szCs w:val="20"/>
                <w:lang w:eastAsia="cs-CZ"/>
              </w:rPr>
            </w:pPr>
          </w:p>
        </w:tc>
        <w:tc>
          <w:tcPr>
            <w:tcW w:w="2113" w:type="dxa"/>
            <w:tcBorders>
              <w:bottom w:val="single" w:sz="8" w:space="0" w:color="auto"/>
            </w:tcBorders>
            <w:shd w:val="clear" w:color="auto" w:fill="auto"/>
            <w:noWrap/>
            <w:vAlign w:val="center"/>
          </w:tcPr>
          <w:p w:rsidR="00B3237D" w:rsidRPr="006961A0" w:rsidRDefault="00B3237D" w:rsidP="006961A0">
            <w:pPr>
              <w:spacing w:line="240" w:lineRule="auto"/>
              <w:jc w:val="right"/>
              <w:rPr>
                <w:rFonts w:eastAsia="Times New Roman" w:cs="Arial"/>
                <w:b/>
                <w:bCs/>
                <w:color w:val="000000"/>
                <w:szCs w:val="20"/>
                <w:lang w:eastAsia="cs-CZ"/>
              </w:rPr>
            </w:pPr>
          </w:p>
        </w:tc>
      </w:tr>
      <w:tr w:rsidR="001C77E3" w:rsidRPr="001C77E3" w:rsidTr="0064576D">
        <w:trPr>
          <w:trHeight w:val="338"/>
        </w:trPr>
        <w:tc>
          <w:tcPr>
            <w:tcW w:w="607"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1C77E3" w:rsidRPr="006961A0" w:rsidRDefault="001C77E3" w:rsidP="006961A0">
            <w:pPr>
              <w:spacing w:line="240" w:lineRule="auto"/>
              <w:jc w:val="center"/>
              <w:rPr>
                <w:rFonts w:eastAsia="Times New Roman" w:cs="Arial"/>
                <w:b/>
                <w:bCs/>
                <w:color w:val="000000"/>
                <w:szCs w:val="20"/>
                <w:lang w:eastAsia="cs-CZ"/>
              </w:rPr>
            </w:pPr>
            <w:r w:rsidRPr="006961A0">
              <w:rPr>
                <w:rFonts w:eastAsia="Times New Roman" w:cs="Arial"/>
                <w:b/>
                <w:bCs/>
                <w:color w:val="000000"/>
                <w:szCs w:val="20"/>
                <w:lang w:eastAsia="cs-CZ"/>
              </w:rPr>
              <w:t>Revize nekolidujícího zaměstnání</w:t>
            </w:r>
          </w:p>
        </w:tc>
        <w:tc>
          <w:tcPr>
            <w:tcW w:w="13609" w:type="dxa"/>
            <w:gridSpan w:val="10"/>
            <w:tcBorders>
              <w:top w:val="single" w:sz="8" w:space="0" w:color="auto"/>
              <w:left w:val="nil"/>
              <w:bottom w:val="single" w:sz="8" w:space="0" w:color="auto"/>
              <w:right w:val="single" w:sz="8" w:space="0" w:color="auto"/>
            </w:tcBorders>
            <w:shd w:val="clear" w:color="auto" w:fill="auto"/>
            <w:noWrap/>
            <w:vAlign w:val="center"/>
          </w:tcPr>
          <w:p w:rsidR="001C77E3" w:rsidRPr="006961A0" w:rsidRDefault="001C77E3" w:rsidP="001C77E3">
            <w:pPr>
              <w:spacing w:line="240" w:lineRule="auto"/>
              <w:jc w:val="center"/>
              <w:rPr>
                <w:rFonts w:eastAsia="Times New Roman" w:cs="Arial"/>
                <w:color w:val="000000"/>
                <w:szCs w:val="20"/>
                <w:lang w:eastAsia="cs-CZ"/>
              </w:rPr>
            </w:pPr>
            <w:r w:rsidRPr="006961A0">
              <w:rPr>
                <w:rFonts w:eastAsia="Times New Roman" w:cs="Arial"/>
                <w:b/>
                <w:bCs/>
                <w:color w:val="000000"/>
                <w:szCs w:val="20"/>
                <w:u w:val="single"/>
                <w:lang w:eastAsia="cs-CZ"/>
              </w:rPr>
              <w:t>Popis</w:t>
            </w:r>
          </w:p>
        </w:tc>
      </w:tr>
      <w:tr w:rsidR="00B3237D" w:rsidRPr="001C77E3" w:rsidTr="001C77E3">
        <w:trPr>
          <w:trHeight w:val="2100"/>
        </w:trPr>
        <w:tc>
          <w:tcPr>
            <w:tcW w:w="607" w:type="dxa"/>
            <w:vMerge/>
            <w:tcBorders>
              <w:top w:val="nil"/>
              <w:left w:val="single" w:sz="8" w:space="0" w:color="auto"/>
              <w:bottom w:val="single" w:sz="8" w:space="0" w:color="000000"/>
              <w:right w:val="single" w:sz="8" w:space="0" w:color="auto"/>
            </w:tcBorders>
            <w:vAlign w:val="center"/>
            <w:hideMark/>
          </w:tcPr>
          <w:p w:rsidR="006961A0" w:rsidRPr="006961A0" w:rsidRDefault="006961A0" w:rsidP="006961A0">
            <w:pPr>
              <w:spacing w:line="240" w:lineRule="auto"/>
              <w:jc w:val="left"/>
              <w:rPr>
                <w:rFonts w:eastAsia="Times New Roman" w:cs="Arial"/>
                <w:b/>
                <w:bCs/>
                <w:color w:val="000000"/>
                <w:szCs w:val="20"/>
                <w:lang w:eastAsia="cs-CZ"/>
              </w:rPr>
            </w:pPr>
          </w:p>
        </w:tc>
        <w:tc>
          <w:tcPr>
            <w:tcW w:w="13609" w:type="dxa"/>
            <w:gridSpan w:val="10"/>
            <w:tcBorders>
              <w:left w:val="nil"/>
              <w:bottom w:val="double" w:sz="6" w:space="0" w:color="auto"/>
              <w:right w:val="single" w:sz="8" w:space="0" w:color="000000"/>
            </w:tcBorders>
            <w:shd w:val="clear" w:color="auto" w:fill="auto"/>
            <w:vAlign w:val="center"/>
            <w:hideMark/>
          </w:tcPr>
          <w:p w:rsidR="006961A0" w:rsidRPr="006961A0" w:rsidRDefault="006961A0" w:rsidP="006E5B81">
            <w:pPr>
              <w:spacing w:before="120" w:after="120" w:line="240" w:lineRule="auto"/>
              <w:rPr>
                <w:rFonts w:eastAsia="Times New Roman" w:cs="Arial"/>
                <w:color w:val="000000"/>
                <w:szCs w:val="20"/>
                <w:lang w:eastAsia="cs-CZ"/>
              </w:rPr>
            </w:pPr>
            <w:r w:rsidRPr="006961A0">
              <w:rPr>
                <w:rFonts w:eastAsia="Times New Roman" w:cs="Arial"/>
                <w:color w:val="000000"/>
                <w:szCs w:val="20"/>
                <w:lang w:eastAsia="cs-CZ"/>
              </w:rPr>
              <w:t>Částečné zaměstnávání v souběhu s vedením v evidenci uchazečů o zaměstnání je umožněno od počátku účinnosti zákona o zaměstnanosti, tj. ode dne 1. 10. 2004. Cílem této právní úpravy bylo umožnit zachová</w:t>
            </w:r>
            <w:r w:rsidR="001A4515">
              <w:rPr>
                <w:rFonts w:eastAsia="Times New Roman" w:cs="Arial"/>
                <w:color w:val="000000"/>
                <w:szCs w:val="20"/>
                <w:lang w:eastAsia="cs-CZ"/>
              </w:rPr>
              <w:t>ní pracovních návyků uchazeče o </w:t>
            </w:r>
            <w:r w:rsidRPr="006961A0">
              <w:rPr>
                <w:rFonts w:eastAsia="Times New Roman" w:cs="Arial"/>
                <w:color w:val="000000"/>
                <w:szCs w:val="20"/>
                <w:lang w:eastAsia="cs-CZ"/>
              </w:rPr>
              <w:t>zaměstnání, případně jejich získání, a podpoření snahy o zvýšení příjmu vlastní prací. Z aktuálních dat vyplývá, že počet vykonávaných nekolidujících zaměstnání se zvyšuje, při tom jsou vykonávány uchazeči o zaměstnání, kteří neztratili pracovní návyky</w:t>
            </w:r>
            <w:r w:rsidR="006E5B81">
              <w:rPr>
                <w:rFonts w:eastAsia="Times New Roman" w:cs="Arial"/>
                <w:color w:val="000000"/>
                <w:szCs w:val="20"/>
                <w:lang w:eastAsia="cs-CZ"/>
              </w:rPr>
              <w:t xml:space="preserve">. </w:t>
            </w:r>
            <w:r w:rsidRPr="006961A0">
              <w:rPr>
                <w:rFonts w:eastAsia="Times New Roman" w:cs="Arial"/>
                <w:color w:val="000000"/>
                <w:szCs w:val="20"/>
                <w:lang w:eastAsia="cs-CZ"/>
              </w:rPr>
              <w:t>MPSV připraví variantní řešení regulace nekolidujícího zaměstnání tak, aby byla zachována jeho funkčnost, ale zároveň došlo k eliminaci jeho negativních dopadů na zprostředkování zaměstnání. Variabilita možného řešení se pohybuje od úplného zrušení nekolidujícího zaměstnání (nepravděpodobné) po jeho regulaci v oblasti maximální možné odměny, rozsahu či formy využívaného pracovněprávního vztahu.</w:t>
            </w:r>
          </w:p>
        </w:tc>
      </w:tr>
      <w:tr w:rsidR="00EE055B" w:rsidRPr="001C77E3" w:rsidTr="009B7658">
        <w:trPr>
          <w:trHeight w:val="287"/>
        </w:trPr>
        <w:tc>
          <w:tcPr>
            <w:tcW w:w="607" w:type="dxa"/>
            <w:vMerge/>
            <w:tcBorders>
              <w:top w:val="nil"/>
              <w:left w:val="single" w:sz="8" w:space="0" w:color="auto"/>
              <w:bottom w:val="single" w:sz="8" w:space="0" w:color="000000"/>
              <w:right w:val="double" w:sz="6" w:space="0" w:color="auto"/>
            </w:tcBorders>
            <w:vAlign w:val="center"/>
            <w:hideMark/>
          </w:tcPr>
          <w:p w:rsidR="00EE055B" w:rsidRPr="006961A0" w:rsidRDefault="00EE055B" w:rsidP="006961A0">
            <w:pPr>
              <w:spacing w:line="240" w:lineRule="auto"/>
              <w:jc w:val="left"/>
              <w:rPr>
                <w:rFonts w:eastAsia="Times New Roman" w:cs="Arial"/>
                <w:b/>
                <w:bCs/>
                <w:color w:val="000000"/>
                <w:szCs w:val="20"/>
                <w:lang w:eastAsia="cs-CZ"/>
              </w:rPr>
            </w:pPr>
          </w:p>
        </w:tc>
        <w:tc>
          <w:tcPr>
            <w:tcW w:w="3079" w:type="dxa"/>
            <w:gridSpan w:val="4"/>
            <w:tcBorders>
              <w:top w:val="double" w:sz="6" w:space="0" w:color="auto"/>
              <w:left w:val="double" w:sz="6" w:space="0" w:color="auto"/>
              <w:bottom w:val="double" w:sz="6" w:space="0" w:color="auto"/>
              <w:right w:val="double" w:sz="6" w:space="0" w:color="auto"/>
            </w:tcBorders>
            <w:shd w:val="clear" w:color="000000" w:fill="F2DCDB"/>
            <w:noWrap/>
            <w:vAlign w:val="center"/>
          </w:tcPr>
          <w:p w:rsidR="00EE055B" w:rsidRPr="006961A0" w:rsidRDefault="00EE055B" w:rsidP="00EE055B">
            <w:pPr>
              <w:spacing w:line="240" w:lineRule="auto"/>
              <w:jc w:val="center"/>
              <w:rPr>
                <w:rFonts w:eastAsia="Times New Roman" w:cs="Arial"/>
                <w:b/>
                <w:bCs/>
                <w:color w:val="000000"/>
                <w:szCs w:val="20"/>
                <w:lang w:eastAsia="cs-CZ"/>
              </w:rPr>
            </w:pPr>
            <w:r w:rsidRPr="006961A0">
              <w:rPr>
                <w:rFonts w:eastAsia="Times New Roman" w:cs="Arial"/>
                <w:b/>
                <w:bCs/>
                <w:color w:val="000000"/>
                <w:szCs w:val="20"/>
                <w:lang w:eastAsia="cs-CZ"/>
              </w:rPr>
              <w:t>Řešeno</w:t>
            </w:r>
          </w:p>
        </w:tc>
        <w:tc>
          <w:tcPr>
            <w:tcW w:w="7483" w:type="dxa"/>
            <w:gridSpan w:val="4"/>
            <w:tcBorders>
              <w:top w:val="double" w:sz="6" w:space="0" w:color="auto"/>
              <w:left w:val="double" w:sz="6" w:space="0" w:color="auto"/>
              <w:bottom w:val="nil"/>
              <w:right w:val="nil"/>
            </w:tcBorders>
            <w:shd w:val="clear" w:color="auto" w:fill="auto"/>
            <w:vAlign w:val="center"/>
            <w:hideMark/>
          </w:tcPr>
          <w:p w:rsidR="00EE055B" w:rsidRPr="006961A0" w:rsidRDefault="00EE055B" w:rsidP="00B3237D">
            <w:pPr>
              <w:spacing w:line="240" w:lineRule="auto"/>
              <w:jc w:val="center"/>
              <w:rPr>
                <w:rFonts w:eastAsia="Times New Roman" w:cs="Arial"/>
                <w:b/>
                <w:bCs/>
                <w:color w:val="000000"/>
                <w:szCs w:val="20"/>
                <w:u w:val="single"/>
                <w:lang w:eastAsia="cs-CZ"/>
              </w:rPr>
            </w:pPr>
            <w:r w:rsidRPr="006961A0">
              <w:rPr>
                <w:rFonts w:eastAsia="Times New Roman" w:cs="Arial"/>
                <w:b/>
                <w:bCs/>
                <w:color w:val="000000"/>
                <w:szCs w:val="20"/>
                <w:u w:val="single"/>
                <w:lang w:eastAsia="cs-CZ"/>
              </w:rPr>
              <w:t>Plnění</w:t>
            </w:r>
          </w:p>
        </w:tc>
        <w:tc>
          <w:tcPr>
            <w:tcW w:w="934" w:type="dxa"/>
            <w:tcBorders>
              <w:top w:val="nil"/>
              <w:left w:val="single" w:sz="8" w:space="0" w:color="auto"/>
              <w:bottom w:val="single" w:sz="8" w:space="0" w:color="auto"/>
              <w:right w:val="nil"/>
            </w:tcBorders>
            <w:shd w:val="clear" w:color="auto" w:fill="auto"/>
            <w:vAlign w:val="center"/>
            <w:hideMark/>
          </w:tcPr>
          <w:p w:rsidR="00EE055B" w:rsidRPr="006961A0" w:rsidRDefault="00EE055B" w:rsidP="00B3237D">
            <w:pPr>
              <w:spacing w:line="240" w:lineRule="auto"/>
              <w:jc w:val="right"/>
              <w:rPr>
                <w:rFonts w:eastAsia="Times New Roman" w:cs="Arial"/>
                <w:color w:val="000000"/>
                <w:szCs w:val="20"/>
                <w:lang w:eastAsia="cs-CZ"/>
              </w:rPr>
            </w:pPr>
            <w:r w:rsidRPr="006961A0">
              <w:rPr>
                <w:rFonts w:eastAsia="Times New Roman" w:cs="Arial"/>
                <w:color w:val="000000"/>
                <w:szCs w:val="20"/>
                <w:lang w:eastAsia="cs-CZ"/>
              </w:rPr>
              <w:t>k datu</w:t>
            </w:r>
          </w:p>
        </w:tc>
        <w:tc>
          <w:tcPr>
            <w:tcW w:w="2113" w:type="dxa"/>
            <w:tcBorders>
              <w:top w:val="nil"/>
              <w:left w:val="nil"/>
              <w:bottom w:val="single" w:sz="8" w:space="0" w:color="auto"/>
              <w:right w:val="single" w:sz="8" w:space="0" w:color="auto"/>
            </w:tcBorders>
            <w:shd w:val="clear" w:color="auto" w:fill="auto"/>
            <w:vAlign w:val="center"/>
            <w:hideMark/>
          </w:tcPr>
          <w:p w:rsidR="00EE055B" w:rsidRPr="006961A0" w:rsidRDefault="00EE055B" w:rsidP="00B3237D">
            <w:pPr>
              <w:spacing w:line="240" w:lineRule="auto"/>
              <w:jc w:val="center"/>
              <w:rPr>
                <w:rFonts w:eastAsia="Times New Roman" w:cs="Arial"/>
                <w:b/>
                <w:bCs/>
                <w:color w:val="000000"/>
                <w:szCs w:val="20"/>
                <w:u w:val="single"/>
                <w:lang w:eastAsia="cs-CZ"/>
              </w:rPr>
            </w:pPr>
            <w:r w:rsidRPr="006961A0">
              <w:rPr>
                <w:rFonts w:eastAsia="Times New Roman" w:cs="Arial"/>
                <w:b/>
                <w:bCs/>
                <w:color w:val="000000"/>
                <w:szCs w:val="20"/>
                <w:u w:val="single"/>
                <w:lang w:eastAsia="cs-CZ"/>
              </w:rPr>
              <w:t>31.</w:t>
            </w:r>
            <w:r w:rsidRPr="001C77E3">
              <w:rPr>
                <w:rFonts w:eastAsia="Times New Roman" w:cs="Arial"/>
                <w:b/>
                <w:bCs/>
                <w:color w:val="000000"/>
                <w:szCs w:val="20"/>
                <w:u w:val="single"/>
                <w:lang w:eastAsia="cs-CZ"/>
              </w:rPr>
              <w:t xml:space="preserve"> </w:t>
            </w:r>
            <w:r w:rsidRPr="006961A0">
              <w:rPr>
                <w:rFonts w:eastAsia="Times New Roman" w:cs="Arial"/>
                <w:b/>
                <w:bCs/>
                <w:color w:val="000000"/>
                <w:szCs w:val="20"/>
                <w:u w:val="single"/>
                <w:lang w:eastAsia="cs-CZ"/>
              </w:rPr>
              <w:t>12.</w:t>
            </w:r>
            <w:r w:rsidRPr="001C77E3">
              <w:rPr>
                <w:rFonts w:eastAsia="Times New Roman" w:cs="Arial"/>
                <w:b/>
                <w:bCs/>
                <w:color w:val="000000"/>
                <w:szCs w:val="20"/>
                <w:u w:val="single"/>
                <w:lang w:eastAsia="cs-CZ"/>
              </w:rPr>
              <w:t xml:space="preserve"> </w:t>
            </w:r>
            <w:r w:rsidRPr="006961A0">
              <w:rPr>
                <w:rFonts w:eastAsia="Times New Roman" w:cs="Arial"/>
                <w:b/>
                <w:bCs/>
                <w:color w:val="000000"/>
                <w:szCs w:val="20"/>
                <w:u w:val="single"/>
                <w:lang w:eastAsia="cs-CZ"/>
              </w:rPr>
              <w:t>2016</w:t>
            </w:r>
          </w:p>
        </w:tc>
      </w:tr>
      <w:tr w:rsidR="00B3237D" w:rsidRPr="001C77E3" w:rsidTr="006E5B81">
        <w:trPr>
          <w:trHeight w:val="3921"/>
        </w:trPr>
        <w:tc>
          <w:tcPr>
            <w:tcW w:w="607" w:type="dxa"/>
            <w:vMerge/>
            <w:tcBorders>
              <w:top w:val="nil"/>
              <w:left w:val="single" w:sz="8" w:space="0" w:color="auto"/>
              <w:bottom w:val="single" w:sz="8" w:space="0" w:color="000000"/>
              <w:right w:val="single" w:sz="8" w:space="0" w:color="auto"/>
            </w:tcBorders>
            <w:vAlign w:val="center"/>
            <w:hideMark/>
          </w:tcPr>
          <w:p w:rsidR="006961A0" w:rsidRPr="006961A0" w:rsidRDefault="006961A0" w:rsidP="006961A0">
            <w:pPr>
              <w:spacing w:line="240" w:lineRule="auto"/>
              <w:jc w:val="left"/>
              <w:rPr>
                <w:rFonts w:eastAsia="Times New Roman" w:cs="Arial"/>
                <w:b/>
                <w:bCs/>
                <w:color w:val="000000"/>
                <w:szCs w:val="20"/>
                <w:lang w:eastAsia="cs-CZ"/>
              </w:rPr>
            </w:pPr>
          </w:p>
        </w:tc>
        <w:tc>
          <w:tcPr>
            <w:tcW w:w="550" w:type="dxa"/>
            <w:tcBorders>
              <w:top w:val="nil"/>
              <w:left w:val="nil"/>
              <w:bottom w:val="nil"/>
              <w:right w:val="single" w:sz="4" w:space="0" w:color="auto"/>
            </w:tcBorders>
            <w:shd w:val="clear" w:color="auto" w:fill="auto"/>
            <w:textDirection w:val="btLr"/>
            <w:vAlign w:val="center"/>
            <w:hideMark/>
          </w:tcPr>
          <w:p w:rsidR="006961A0" w:rsidRPr="006961A0" w:rsidRDefault="006961A0" w:rsidP="006961A0">
            <w:pPr>
              <w:spacing w:line="240" w:lineRule="auto"/>
              <w:jc w:val="center"/>
              <w:rPr>
                <w:rFonts w:eastAsia="Times New Roman" w:cs="Arial"/>
                <w:color w:val="000000"/>
                <w:szCs w:val="20"/>
                <w:lang w:eastAsia="cs-CZ"/>
              </w:rPr>
            </w:pPr>
            <w:r w:rsidRPr="006961A0">
              <w:rPr>
                <w:rFonts w:eastAsia="Times New Roman" w:cs="Arial"/>
                <w:color w:val="000000"/>
                <w:szCs w:val="20"/>
                <w:lang w:eastAsia="cs-CZ"/>
              </w:rPr>
              <w:t xml:space="preserve">předchozí </w:t>
            </w:r>
          </w:p>
        </w:tc>
        <w:tc>
          <w:tcPr>
            <w:tcW w:w="13059" w:type="dxa"/>
            <w:gridSpan w:val="9"/>
            <w:tcBorders>
              <w:top w:val="nil"/>
              <w:left w:val="nil"/>
              <w:bottom w:val="nil"/>
              <w:right w:val="single" w:sz="8" w:space="0" w:color="000000"/>
            </w:tcBorders>
            <w:shd w:val="clear" w:color="auto" w:fill="auto"/>
            <w:vAlign w:val="center"/>
            <w:hideMark/>
          </w:tcPr>
          <w:p w:rsidR="006961A0" w:rsidRPr="006961A0" w:rsidRDefault="006961A0" w:rsidP="001A4515">
            <w:pPr>
              <w:spacing w:before="120" w:after="120" w:line="240" w:lineRule="auto"/>
              <w:rPr>
                <w:rFonts w:eastAsia="Times New Roman" w:cs="Arial"/>
                <w:color w:val="000000"/>
                <w:szCs w:val="20"/>
                <w:lang w:eastAsia="cs-CZ"/>
              </w:rPr>
            </w:pPr>
            <w:r w:rsidRPr="006961A0">
              <w:rPr>
                <w:rFonts w:eastAsia="Times New Roman" w:cs="Arial"/>
                <w:color w:val="000000"/>
                <w:szCs w:val="20"/>
                <w:lang w:eastAsia="cs-CZ"/>
              </w:rPr>
              <w:t>Podle kvalifikovaného odhadu z celkového počtu nekolidujícího zaměstnání činí cca 95 % výkon činnosti na základě DPP. Takovýto výkon zaměstnání poskytuje „oslabenou ochranu“. Zaměstnanci činní na základě DPP jsou účastni nemocenského pojištění jen tehdy, pokud jim byl zúčtován započitatelný příjem v částce vyšší než 10 000 Kč. Nekolidující zaměstnání na základě DPP bývá rovněž vykonáváno dlouhodobě, mnohdy po dobu 3 a více let. Takovýto způsob výkonu nekolidujícího zaměstnání nesměřuje k vytvoření podmínek pro trvalé uplatnění uchazeče o zaměstnání na trhu práce</w:t>
            </w:r>
            <w:r w:rsidR="006E5B81">
              <w:rPr>
                <w:rFonts w:eastAsia="Times New Roman" w:cs="Arial"/>
                <w:color w:val="000000"/>
                <w:szCs w:val="20"/>
                <w:lang w:eastAsia="cs-CZ"/>
              </w:rPr>
              <w:t xml:space="preserve">. </w:t>
            </w:r>
            <w:r w:rsidRPr="006961A0">
              <w:rPr>
                <w:rFonts w:eastAsia="Times New Roman" w:cs="Arial"/>
                <w:color w:val="000000"/>
                <w:szCs w:val="20"/>
                <w:lang w:eastAsia="cs-CZ"/>
              </w:rPr>
              <w:t>MPSV proto navrhlo zrušení možnosti vykonávat nekolidující zaměstnání na základě DPP. Podle navrhované právní úpravy překážkou pro zařazení do evidence uchazečů o zaměstnání</w:t>
            </w:r>
            <w:r w:rsidR="00DA58DC">
              <w:rPr>
                <w:rFonts w:eastAsia="Times New Roman" w:cs="Arial"/>
                <w:color w:val="000000"/>
                <w:szCs w:val="20"/>
                <w:lang w:eastAsia="cs-CZ"/>
              </w:rPr>
              <w:t>,</w:t>
            </w:r>
            <w:r w:rsidRPr="006961A0">
              <w:rPr>
                <w:rFonts w:eastAsia="Times New Roman" w:cs="Arial"/>
                <w:color w:val="000000"/>
                <w:szCs w:val="20"/>
                <w:lang w:eastAsia="cs-CZ"/>
              </w:rPr>
              <w:t xml:space="preserve"> resp. vedení v evidenci uchazečů o zaměstnání</w:t>
            </w:r>
            <w:r w:rsidR="00DA58DC">
              <w:rPr>
                <w:rFonts w:eastAsia="Times New Roman" w:cs="Arial"/>
                <w:color w:val="000000"/>
                <w:szCs w:val="20"/>
                <w:lang w:eastAsia="cs-CZ"/>
              </w:rPr>
              <w:t>,</w:t>
            </w:r>
            <w:r w:rsidRPr="006961A0">
              <w:rPr>
                <w:rFonts w:eastAsia="Times New Roman" w:cs="Arial"/>
                <w:color w:val="000000"/>
                <w:szCs w:val="20"/>
                <w:lang w:eastAsia="cs-CZ"/>
              </w:rPr>
              <w:t xml:space="preserve"> bude ta skutečnost, že uchazeč o zaměstnání je v právním vztahu vzniklém k výkonu činnosti na základě DPP. Nadále bude ponechána možnost částečného zaměstnávání v souběhu </w:t>
            </w:r>
            <w:r w:rsidR="001A4515">
              <w:rPr>
                <w:rFonts w:eastAsia="Times New Roman" w:cs="Arial"/>
                <w:color w:val="000000"/>
                <w:szCs w:val="20"/>
                <w:lang w:eastAsia="cs-CZ"/>
              </w:rPr>
              <w:t>s vedením v evidenci uchazečů o </w:t>
            </w:r>
            <w:r w:rsidRPr="006961A0">
              <w:rPr>
                <w:rFonts w:eastAsia="Times New Roman" w:cs="Arial"/>
                <w:color w:val="000000"/>
                <w:szCs w:val="20"/>
                <w:lang w:eastAsia="cs-CZ"/>
              </w:rPr>
              <w:t>zaměstnání avšak pouze na základě pracovního nebo služebního poměru nebo na základě dohody o pracovní činnosti</w:t>
            </w:r>
            <w:r w:rsidR="006E5B81">
              <w:rPr>
                <w:rFonts w:eastAsia="Times New Roman" w:cs="Arial"/>
                <w:color w:val="000000"/>
                <w:szCs w:val="20"/>
                <w:lang w:eastAsia="cs-CZ"/>
              </w:rPr>
              <w:t xml:space="preserve">. </w:t>
            </w:r>
            <w:r w:rsidRPr="006961A0">
              <w:rPr>
                <w:rFonts w:eastAsia="Times New Roman" w:cs="Arial"/>
                <w:color w:val="000000"/>
                <w:szCs w:val="20"/>
                <w:lang w:eastAsia="cs-CZ"/>
              </w:rPr>
              <w:t>Tímto bude i nadále naplňován sledovaný cíl tohoto institutu, který slouží k zachování případně získání pracovních návyků uchazeče o zaměstnání, a podpoření snahy o zvýšení příjmu vlastní prací</w:t>
            </w:r>
            <w:r w:rsidR="006E5B81">
              <w:rPr>
                <w:rFonts w:eastAsia="Times New Roman" w:cs="Arial"/>
                <w:color w:val="000000"/>
                <w:szCs w:val="20"/>
                <w:lang w:eastAsia="cs-CZ"/>
              </w:rPr>
              <w:t xml:space="preserve">. </w:t>
            </w:r>
            <w:r w:rsidRPr="006961A0">
              <w:rPr>
                <w:rFonts w:eastAsia="Times New Roman" w:cs="Arial"/>
                <w:color w:val="000000"/>
                <w:szCs w:val="20"/>
                <w:lang w:eastAsia="cs-CZ"/>
              </w:rPr>
              <w:t xml:space="preserve">Navrhovaná úprava se v současné době nachází v </w:t>
            </w:r>
            <w:r w:rsidR="001A4515">
              <w:rPr>
                <w:rFonts w:eastAsia="Times New Roman" w:cs="Arial"/>
                <w:color w:val="000000"/>
                <w:szCs w:val="20"/>
                <w:lang w:eastAsia="cs-CZ"/>
              </w:rPr>
              <w:t>PS</w:t>
            </w:r>
            <w:r w:rsidRPr="006961A0">
              <w:rPr>
                <w:rFonts w:eastAsia="Times New Roman" w:cs="Arial"/>
                <w:color w:val="000000"/>
                <w:szCs w:val="20"/>
                <w:lang w:eastAsia="cs-CZ"/>
              </w:rPr>
              <w:t xml:space="preserve"> </w:t>
            </w:r>
            <w:r w:rsidR="001A4515">
              <w:rPr>
                <w:rFonts w:eastAsia="Times New Roman" w:cs="Arial"/>
                <w:color w:val="000000"/>
                <w:szCs w:val="20"/>
                <w:lang w:eastAsia="cs-CZ"/>
              </w:rPr>
              <w:t>P</w:t>
            </w:r>
            <w:r w:rsidRPr="006961A0">
              <w:rPr>
                <w:rFonts w:eastAsia="Times New Roman" w:cs="Arial"/>
                <w:color w:val="000000"/>
                <w:szCs w:val="20"/>
                <w:lang w:eastAsia="cs-CZ"/>
              </w:rPr>
              <w:t>ČR - Sněmovní tisk č. 911</w:t>
            </w:r>
          </w:p>
        </w:tc>
      </w:tr>
      <w:tr w:rsidR="00B3237D" w:rsidRPr="001C77E3" w:rsidTr="006E5B81">
        <w:trPr>
          <w:trHeight w:val="1109"/>
        </w:trPr>
        <w:tc>
          <w:tcPr>
            <w:tcW w:w="607" w:type="dxa"/>
            <w:vMerge/>
            <w:tcBorders>
              <w:top w:val="nil"/>
              <w:left w:val="single" w:sz="8" w:space="0" w:color="auto"/>
              <w:bottom w:val="single" w:sz="8" w:space="0" w:color="000000"/>
              <w:right w:val="single" w:sz="8" w:space="0" w:color="auto"/>
            </w:tcBorders>
            <w:vAlign w:val="center"/>
            <w:hideMark/>
          </w:tcPr>
          <w:p w:rsidR="006961A0" w:rsidRPr="006961A0" w:rsidRDefault="006961A0" w:rsidP="006961A0">
            <w:pPr>
              <w:spacing w:line="240" w:lineRule="auto"/>
              <w:jc w:val="left"/>
              <w:rPr>
                <w:rFonts w:eastAsia="Times New Roman" w:cs="Arial"/>
                <w:b/>
                <w:bCs/>
                <w:color w:val="000000"/>
                <w:szCs w:val="20"/>
                <w:lang w:eastAsia="cs-CZ"/>
              </w:rPr>
            </w:pPr>
          </w:p>
        </w:tc>
        <w:tc>
          <w:tcPr>
            <w:tcW w:w="550" w:type="dxa"/>
            <w:tcBorders>
              <w:top w:val="single" w:sz="4" w:space="0" w:color="auto"/>
              <w:left w:val="nil"/>
              <w:bottom w:val="single" w:sz="8" w:space="0" w:color="auto"/>
              <w:right w:val="single" w:sz="4" w:space="0" w:color="auto"/>
            </w:tcBorders>
            <w:shd w:val="clear" w:color="auto" w:fill="auto"/>
            <w:textDirection w:val="btLr"/>
            <w:vAlign w:val="center"/>
            <w:hideMark/>
          </w:tcPr>
          <w:p w:rsidR="006961A0" w:rsidRPr="006961A0" w:rsidRDefault="006961A0" w:rsidP="006961A0">
            <w:pPr>
              <w:spacing w:line="240" w:lineRule="auto"/>
              <w:jc w:val="center"/>
              <w:rPr>
                <w:rFonts w:eastAsia="Times New Roman" w:cs="Arial"/>
                <w:color w:val="000000"/>
                <w:szCs w:val="20"/>
                <w:lang w:eastAsia="cs-CZ"/>
              </w:rPr>
            </w:pPr>
            <w:r w:rsidRPr="006961A0">
              <w:rPr>
                <w:rFonts w:eastAsia="Times New Roman" w:cs="Arial"/>
                <w:color w:val="000000"/>
                <w:szCs w:val="20"/>
                <w:lang w:eastAsia="cs-CZ"/>
              </w:rPr>
              <w:t>sledované období</w:t>
            </w:r>
          </w:p>
        </w:tc>
        <w:tc>
          <w:tcPr>
            <w:tcW w:w="13059" w:type="dxa"/>
            <w:gridSpan w:val="9"/>
            <w:tcBorders>
              <w:top w:val="single" w:sz="4" w:space="0" w:color="auto"/>
              <w:left w:val="nil"/>
              <w:bottom w:val="single" w:sz="8" w:space="0" w:color="auto"/>
              <w:right w:val="single" w:sz="8" w:space="0" w:color="000000"/>
            </w:tcBorders>
            <w:shd w:val="clear" w:color="auto" w:fill="auto"/>
            <w:vAlign w:val="center"/>
            <w:hideMark/>
          </w:tcPr>
          <w:p w:rsidR="006961A0" w:rsidRPr="006961A0" w:rsidRDefault="003D561C" w:rsidP="003D561C">
            <w:pPr>
              <w:spacing w:line="240" w:lineRule="auto"/>
              <w:rPr>
                <w:rFonts w:eastAsia="Times New Roman" w:cs="Arial"/>
                <w:color w:val="000000"/>
                <w:szCs w:val="20"/>
                <w:lang w:eastAsia="cs-CZ"/>
              </w:rPr>
            </w:pPr>
            <w:r>
              <w:rPr>
                <w:rFonts w:eastAsia="Times New Roman" w:cs="Arial"/>
                <w:color w:val="000000"/>
                <w:szCs w:val="20"/>
                <w:lang w:eastAsia="cs-CZ"/>
              </w:rPr>
              <w:t>Sněmovní tisk 911 byl dne 2. 12. 2016 projednán na 53. schůzi PS PČR v 1. čtení a přikázán k projednání výborům (usnesení č. 1442)</w:t>
            </w:r>
          </w:p>
        </w:tc>
      </w:tr>
    </w:tbl>
    <w:p w:rsidR="0032573A" w:rsidRDefault="0032573A" w:rsidP="00484D3B">
      <w:pPr>
        <w:spacing w:line="240" w:lineRule="auto"/>
      </w:pPr>
    </w:p>
    <w:p w:rsidR="006C69D7" w:rsidRDefault="006C69D7" w:rsidP="00484D3B">
      <w:pPr>
        <w:spacing w:line="240" w:lineRule="auto"/>
      </w:pPr>
    </w:p>
    <w:tbl>
      <w:tblPr>
        <w:tblW w:w="14089" w:type="dxa"/>
        <w:tblInd w:w="55" w:type="dxa"/>
        <w:tblLayout w:type="fixed"/>
        <w:tblCellMar>
          <w:left w:w="70" w:type="dxa"/>
          <w:right w:w="70" w:type="dxa"/>
        </w:tblCellMar>
        <w:tblLook w:val="04A0" w:firstRow="1" w:lastRow="0" w:firstColumn="1" w:lastColumn="0" w:noHBand="0" w:noVBand="1"/>
      </w:tblPr>
      <w:tblGrid>
        <w:gridCol w:w="618"/>
        <w:gridCol w:w="645"/>
        <w:gridCol w:w="28"/>
        <w:gridCol w:w="1242"/>
        <w:gridCol w:w="941"/>
        <w:gridCol w:w="1097"/>
        <w:gridCol w:w="1415"/>
        <w:gridCol w:w="5203"/>
        <w:gridCol w:w="1000"/>
        <w:gridCol w:w="1900"/>
      </w:tblGrid>
      <w:tr w:rsidR="005F0059" w:rsidRPr="00670437" w:rsidTr="000718F9">
        <w:trPr>
          <w:trHeight w:val="285"/>
        </w:trPr>
        <w:tc>
          <w:tcPr>
            <w:tcW w:w="618" w:type="dxa"/>
            <w:tcBorders>
              <w:top w:val="single" w:sz="8" w:space="0" w:color="auto"/>
              <w:left w:val="single" w:sz="8" w:space="0" w:color="auto"/>
              <w:bottom w:val="single" w:sz="4" w:space="0" w:color="auto"/>
              <w:right w:val="nil"/>
            </w:tcBorders>
            <w:shd w:val="clear" w:color="000000" w:fill="DCE6F1"/>
            <w:noWrap/>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1.3a</w:t>
            </w:r>
          </w:p>
        </w:tc>
        <w:tc>
          <w:tcPr>
            <w:tcW w:w="645" w:type="dxa"/>
            <w:tcBorders>
              <w:top w:val="single" w:sz="8" w:space="0" w:color="auto"/>
              <w:left w:val="single" w:sz="8" w:space="0" w:color="auto"/>
              <w:bottom w:val="single" w:sz="8" w:space="0" w:color="auto"/>
              <w:right w:val="nil"/>
            </w:tcBorders>
            <w:shd w:val="clear" w:color="auto" w:fill="auto"/>
            <w:noWrap/>
            <w:vAlign w:val="center"/>
            <w:hideMark/>
          </w:tcPr>
          <w:p w:rsidR="00670437" w:rsidRPr="00670437" w:rsidRDefault="00670437"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T:</w:t>
            </w:r>
          </w:p>
        </w:tc>
        <w:tc>
          <w:tcPr>
            <w:tcW w:w="1270" w:type="dxa"/>
            <w:gridSpan w:val="2"/>
            <w:tcBorders>
              <w:top w:val="single" w:sz="8" w:space="0" w:color="auto"/>
              <w:left w:val="nil"/>
              <w:bottom w:val="single" w:sz="8" w:space="0" w:color="auto"/>
              <w:right w:val="nil"/>
            </w:tcBorders>
            <w:shd w:val="clear" w:color="auto" w:fill="auto"/>
            <w:noWrap/>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průběžně</w:t>
            </w:r>
          </w:p>
        </w:tc>
        <w:tc>
          <w:tcPr>
            <w:tcW w:w="941" w:type="dxa"/>
            <w:tcBorders>
              <w:top w:val="single" w:sz="12" w:space="0" w:color="auto"/>
              <w:left w:val="single" w:sz="12" w:space="0" w:color="auto"/>
              <w:bottom w:val="single" w:sz="8" w:space="0" w:color="auto"/>
              <w:right w:val="nil"/>
            </w:tcBorders>
            <w:shd w:val="clear" w:color="auto" w:fill="auto"/>
            <w:noWrap/>
            <w:vAlign w:val="center"/>
            <w:hideMark/>
          </w:tcPr>
          <w:p w:rsidR="00670437" w:rsidRPr="00670437" w:rsidRDefault="00670437"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gesce:</w:t>
            </w:r>
          </w:p>
        </w:tc>
        <w:tc>
          <w:tcPr>
            <w:tcW w:w="1097" w:type="dxa"/>
            <w:tcBorders>
              <w:top w:val="single" w:sz="12" w:space="0" w:color="auto"/>
              <w:left w:val="nil"/>
              <w:bottom w:val="single" w:sz="8" w:space="0" w:color="auto"/>
              <w:right w:val="single" w:sz="4" w:space="0" w:color="auto"/>
            </w:tcBorders>
            <w:shd w:val="clear" w:color="auto" w:fill="auto"/>
            <w:noWrap/>
            <w:vAlign w:val="center"/>
            <w:hideMark/>
          </w:tcPr>
          <w:p w:rsidR="00670437" w:rsidRPr="00670437" w:rsidRDefault="00670437" w:rsidP="00670437">
            <w:pPr>
              <w:spacing w:line="240" w:lineRule="auto"/>
              <w:jc w:val="left"/>
              <w:rPr>
                <w:rFonts w:eastAsia="Times New Roman" w:cs="Arial"/>
                <w:b/>
                <w:bCs/>
                <w:color w:val="000000"/>
                <w:szCs w:val="24"/>
                <w:lang w:eastAsia="cs-CZ"/>
              </w:rPr>
            </w:pPr>
            <w:r w:rsidRPr="00670437">
              <w:rPr>
                <w:rFonts w:eastAsia="Times New Roman" w:cs="Arial"/>
                <w:b/>
                <w:bCs/>
                <w:color w:val="000000"/>
                <w:szCs w:val="24"/>
                <w:lang w:eastAsia="cs-CZ"/>
              </w:rPr>
              <w:t>MPSV</w:t>
            </w:r>
          </w:p>
        </w:tc>
        <w:tc>
          <w:tcPr>
            <w:tcW w:w="1415" w:type="dxa"/>
            <w:tcBorders>
              <w:left w:val="single" w:sz="4" w:space="0" w:color="auto"/>
              <w:bottom w:val="single" w:sz="8" w:space="0" w:color="auto"/>
            </w:tcBorders>
            <w:shd w:val="clear" w:color="auto" w:fill="auto"/>
            <w:noWrap/>
            <w:vAlign w:val="center"/>
          </w:tcPr>
          <w:p w:rsidR="00670437" w:rsidRPr="00670437" w:rsidRDefault="00670437" w:rsidP="00670437">
            <w:pPr>
              <w:spacing w:line="240" w:lineRule="auto"/>
              <w:jc w:val="right"/>
              <w:rPr>
                <w:rFonts w:eastAsia="Times New Roman" w:cs="Arial"/>
                <w:color w:val="000000"/>
                <w:szCs w:val="24"/>
                <w:lang w:eastAsia="cs-CZ"/>
              </w:rPr>
            </w:pPr>
          </w:p>
        </w:tc>
        <w:tc>
          <w:tcPr>
            <w:tcW w:w="5203" w:type="dxa"/>
            <w:tcBorders>
              <w:bottom w:val="single" w:sz="8" w:space="0" w:color="auto"/>
            </w:tcBorders>
            <w:shd w:val="clear" w:color="auto" w:fill="auto"/>
            <w:noWrap/>
            <w:vAlign w:val="center"/>
          </w:tcPr>
          <w:p w:rsidR="00670437" w:rsidRPr="00670437" w:rsidRDefault="00670437" w:rsidP="00670437">
            <w:pPr>
              <w:spacing w:line="240" w:lineRule="auto"/>
              <w:jc w:val="right"/>
              <w:rPr>
                <w:rFonts w:eastAsia="Times New Roman" w:cs="Arial"/>
                <w:color w:val="000000"/>
                <w:szCs w:val="24"/>
                <w:lang w:eastAsia="cs-CZ"/>
              </w:rPr>
            </w:pPr>
          </w:p>
        </w:tc>
        <w:tc>
          <w:tcPr>
            <w:tcW w:w="1000" w:type="dxa"/>
            <w:tcBorders>
              <w:bottom w:val="single" w:sz="8" w:space="0" w:color="auto"/>
            </w:tcBorders>
            <w:shd w:val="clear" w:color="auto" w:fill="auto"/>
            <w:noWrap/>
            <w:vAlign w:val="center"/>
          </w:tcPr>
          <w:p w:rsidR="00670437" w:rsidRPr="00670437" w:rsidRDefault="00670437" w:rsidP="00670437">
            <w:pPr>
              <w:spacing w:line="240" w:lineRule="auto"/>
              <w:jc w:val="right"/>
              <w:rPr>
                <w:rFonts w:eastAsia="Times New Roman" w:cs="Arial"/>
                <w:color w:val="000000"/>
                <w:szCs w:val="24"/>
                <w:lang w:eastAsia="cs-CZ"/>
              </w:rPr>
            </w:pPr>
          </w:p>
        </w:tc>
        <w:tc>
          <w:tcPr>
            <w:tcW w:w="1900" w:type="dxa"/>
            <w:tcBorders>
              <w:bottom w:val="single" w:sz="8" w:space="0" w:color="auto"/>
            </w:tcBorders>
            <w:shd w:val="clear" w:color="auto" w:fill="auto"/>
            <w:noWrap/>
            <w:vAlign w:val="center"/>
          </w:tcPr>
          <w:p w:rsidR="00670437" w:rsidRPr="00670437" w:rsidRDefault="00670437" w:rsidP="00670437">
            <w:pPr>
              <w:spacing w:line="240" w:lineRule="auto"/>
              <w:jc w:val="right"/>
              <w:rPr>
                <w:rFonts w:eastAsia="Times New Roman" w:cs="Arial"/>
                <w:b/>
                <w:bCs/>
                <w:color w:val="000000"/>
                <w:szCs w:val="24"/>
                <w:lang w:eastAsia="cs-CZ"/>
              </w:rPr>
            </w:pPr>
          </w:p>
        </w:tc>
      </w:tr>
      <w:tr w:rsidR="005F0059" w:rsidRPr="00670437" w:rsidTr="000718F9">
        <w:trPr>
          <w:trHeight w:val="285"/>
        </w:trPr>
        <w:tc>
          <w:tcPr>
            <w:tcW w:w="618"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Zvýšení minimální mzdy</w:t>
            </w:r>
          </w:p>
        </w:tc>
        <w:tc>
          <w:tcPr>
            <w:tcW w:w="1915" w:type="dxa"/>
            <w:gridSpan w:val="3"/>
            <w:tcBorders>
              <w:top w:val="single" w:sz="8" w:space="0" w:color="auto"/>
              <w:left w:val="nil"/>
              <w:bottom w:val="single" w:sz="8" w:space="0" w:color="auto"/>
              <w:right w:val="nil"/>
            </w:tcBorders>
            <w:shd w:val="clear" w:color="auto" w:fill="auto"/>
            <w:noWrap/>
            <w:vAlign w:val="center"/>
            <w:hideMark/>
          </w:tcPr>
          <w:p w:rsidR="00670437" w:rsidRPr="00670437" w:rsidRDefault="00670437"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povaha:</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L</w:t>
            </w:r>
          </w:p>
        </w:tc>
        <w:tc>
          <w:tcPr>
            <w:tcW w:w="7715" w:type="dxa"/>
            <w:gridSpan w:val="3"/>
            <w:tcBorders>
              <w:top w:val="single" w:sz="8" w:space="0" w:color="auto"/>
              <w:left w:val="single" w:sz="8" w:space="0" w:color="auto"/>
              <w:right w:val="nil"/>
            </w:tcBorders>
            <w:shd w:val="clear" w:color="auto" w:fill="auto"/>
            <w:noWrap/>
            <w:vAlign w:val="center"/>
            <w:hideMark/>
          </w:tcPr>
          <w:p w:rsidR="00670437" w:rsidRPr="00670437" w:rsidRDefault="00670437"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Popis</w:t>
            </w:r>
          </w:p>
        </w:tc>
        <w:tc>
          <w:tcPr>
            <w:tcW w:w="1000" w:type="dxa"/>
            <w:tcBorders>
              <w:top w:val="single" w:sz="8" w:space="0" w:color="auto"/>
              <w:left w:val="nil"/>
              <w:right w:val="nil"/>
            </w:tcBorders>
            <w:shd w:val="clear" w:color="auto" w:fill="auto"/>
            <w:noWrap/>
            <w:vAlign w:val="center"/>
          </w:tcPr>
          <w:p w:rsidR="00670437" w:rsidRPr="00670437" w:rsidRDefault="00670437" w:rsidP="00670437">
            <w:pPr>
              <w:spacing w:line="240" w:lineRule="auto"/>
              <w:jc w:val="center"/>
              <w:rPr>
                <w:rFonts w:eastAsia="Times New Roman" w:cs="Arial"/>
                <w:b/>
                <w:bCs/>
                <w:color w:val="000000"/>
                <w:szCs w:val="24"/>
                <w:u w:val="single"/>
                <w:lang w:eastAsia="cs-CZ"/>
              </w:rPr>
            </w:pPr>
          </w:p>
        </w:tc>
        <w:tc>
          <w:tcPr>
            <w:tcW w:w="1900" w:type="dxa"/>
            <w:tcBorders>
              <w:top w:val="single" w:sz="8" w:space="0" w:color="auto"/>
              <w:left w:val="nil"/>
              <w:right w:val="single" w:sz="8" w:space="0" w:color="auto"/>
            </w:tcBorders>
            <w:shd w:val="clear" w:color="auto" w:fill="auto"/>
            <w:noWrap/>
            <w:vAlign w:val="center"/>
          </w:tcPr>
          <w:p w:rsidR="00670437" w:rsidRPr="00670437" w:rsidRDefault="00670437" w:rsidP="00670437">
            <w:pPr>
              <w:spacing w:line="240" w:lineRule="auto"/>
              <w:jc w:val="center"/>
              <w:rPr>
                <w:rFonts w:eastAsia="Times New Roman" w:cs="Arial"/>
                <w:b/>
                <w:bCs/>
                <w:color w:val="000000"/>
                <w:szCs w:val="24"/>
                <w:u w:val="single"/>
                <w:lang w:eastAsia="cs-CZ"/>
              </w:rPr>
            </w:pPr>
          </w:p>
        </w:tc>
      </w:tr>
      <w:tr w:rsidR="00670437" w:rsidRPr="00670437" w:rsidTr="005F0059">
        <w:trPr>
          <w:trHeight w:val="1125"/>
        </w:trPr>
        <w:tc>
          <w:tcPr>
            <w:tcW w:w="618" w:type="dxa"/>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13471" w:type="dxa"/>
            <w:gridSpan w:val="9"/>
            <w:tcBorders>
              <w:top w:val="nil"/>
              <w:left w:val="nil"/>
              <w:bottom w:val="double" w:sz="6" w:space="0" w:color="auto"/>
              <w:right w:val="single" w:sz="8" w:space="0" w:color="000000"/>
            </w:tcBorders>
            <w:shd w:val="clear" w:color="auto" w:fill="auto"/>
            <w:vAlign w:val="center"/>
            <w:hideMark/>
          </w:tcPr>
          <w:p w:rsidR="00670437" w:rsidRPr="00670437" w:rsidRDefault="00670437" w:rsidP="00670437">
            <w:pPr>
              <w:spacing w:line="240" w:lineRule="auto"/>
              <w:rPr>
                <w:rFonts w:eastAsia="Times New Roman" w:cs="Arial"/>
                <w:color w:val="000000"/>
                <w:szCs w:val="24"/>
                <w:lang w:eastAsia="cs-CZ"/>
              </w:rPr>
            </w:pPr>
            <w:r w:rsidRPr="00670437">
              <w:rPr>
                <w:rFonts w:eastAsia="Times New Roman" w:cs="Arial"/>
                <w:color w:val="000000"/>
                <w:szCs w:val="24"/>
                <w:lang w:eastAsia="cs-CZ"/>
              </w:rPr>
              <w:t>Odměna za vykonanou práci je primárním zdrojem motivace k akceptaci zaměstnání. V souladu s programovým prohlášením vlády proto po projednání se sociálními partnery bude vláda pokračovat v přibližování úrovně minimální mzdy vytčené hranici 40 % průměrné mzdy. Zvyšování minimální mzdy bude prováděno v závislosti na udržení konkurenceschopnosti českého hospodářství. Opatření je úzce provázáno s opatřením 1.3b</w:t>
            </w:r>
          </w:p>
        </w:tc>
      </w:tr>
      <w:tr w:rsidR="001A4515" w:rsidRPr="00670437" w:rsidTr="009B7658">
        <w:trPr>
          <w:trHeight w:val="285"/>
        </w:trPr>
        <w:tc>
          <w:tcPr>
            <w:tcW w:w="618" w:type="dxa"/>
            <w:vMerge/>
            <w:tcBorders>
              <w:top w:val="nil"/>
              <w:left w:val="single" w:sz="8" w:space="0" w:color="auto"/>
              <w:bottom w:val="single" w:sz="8" w:space="0" w:color="000000"/>
              <w:right w:val="double" w:sz="6" w:space="0" w:color="auto"/>
            </w:tcBorders>
            <w:vAlign w:val="center"/>
            <w:hideMark/>
          </w:tcPr>
          <w:p w:rsidR="001A4515" w:rsidRPr="00670437" w:rsidRDefault="001A4515" w:rsidP="00670437">
            <w:pPr>
              <w:spacing w:line="240" w:lineRule="auto"/>
              <w:jc w:val="left"/>
              <w:rPr>
                <w:rFonts w:eastAsia="Times New Roman" w:cs="Arial"/>
                <w:b/>
                <w:bCs/>
                <w:color w:val="000000"/>
                <w:szCs w:val="24"/>
                <w:lang w:eastAsia="cs-CZ"/>
              </w:rPr>
            </w:pPr>
          </w:p>
        </w:tc>
        <w:tc>
          <w:tcPr>
            <w:tcW w:w="2856" w:type="dxa"/>
            <w:gridSpan w:val="4"/>
            <w:tcBorders>
              <w:top w:val="double" w:sz="6" w:space="0" w:color="auto"/>
              <w:left w:val="double" w:sz="6" w:space="0" w:color="auto"/>
              <w:bottom w:val="double" w:sz="6" w:space="0" w:color="auto"/>
              <w:right w:val="double" w:sz="6" w:space="0" w:color="auto"/>
            </w:tcBorders>
            <w:shd w:val="clear" w:color="000000" w:fill="D8E4BC"/>
            <w:noWrap/>
            <w:vAlign w:val="center"/>
            <w:hideMark/>
          </w:tcPr>
          <w:p w:rsidR="001A4515" w:rsidRPr="00670437" w:rsidRDefault="001A4515" w:rsidP="001A4515">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Průběž</w:t>
            </w:r>
            <w:r>
              <w:rPr>
                <w:rFonts w:eastAsia="Times New Roman" w:cs="Arial"/>
                <w:b/>
                <w:bCs/>
                <w:color w:val="000000"/>
                <w:szCs w:val="24"/>
                <w:lang w:eastAsia="cs-CZ"/>
              </w:rPr>
              <w:t>ně</w:t>
            </w:r>
            <w:r w:rsidRPr="00670437">
              <w:rPr>
                <w:rFonts w:eastAsia="Times New Roman" w:cs="Arial"/>
                <w:b/>
                <w:bCs/>
                <w:color w:val="000000"/>
                <w:szCs w:val="24"/>
                <w:lang w:eastAsia="cs-CZ"/>
              </w:rPr>
              <w:t xml:space="preserve"> plněno</w:t>
            </w:r>
          </w:p>
        </w:tc>
        <w:tc>
          <w:tcPr>
            <w:tcW w:w="7715" w:type="dxa"/>
            <w:gridSpan w:val="3"/>
            <w:tcBorders>
              <w:top w:val="double" w:sz="6" w:space="0" w:color="auto"/>
              <w:left w:val="double" w:sz="6" w:space="0" w:color="auto"/>
              <w:bottom w:val="nil"/>
              <w:right w:val="nil"/>
            </w:tcBorders>
            <w:shd w:val="clear" w:color="auto" w:fill="auto"/>
            <w:vAlign w:val="center"/>
            <w:hideMark/>
          </w:tcPr>
          <w:p w:rsidR="001A4515" w:rsidRPr="00670437" w:rsidRDefault="001A4515"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Plnění</w:t>
            </w:r>
          </w:p>
        </w:tc>
        <w:tc>
          <w:tcPr>
            <w:tcW w:w="1000" w:type="dxa"/>
            <w:tcBorders>
              <w:top w:val="nil"/>
              <w:left w:val="single" w:sz="8" w:space="0" w:color="auto"/>
              <w:bottom w:val="single" w:sz="8" w:space="0" w:color="auto"/>
              <w:right w:val="nil"/>
            </w:tcBorders>
            <w:shd w:val="clear" w:color="auto" w:fill="auto"/>
            <w:vAlign w:val="center"/>
            <w:hideMark/>
          </w:tcPr>
          <w:p w:rsidR="001A4515" w:rsidRPr="00670437" w:rsidRDefault="001A4515" w:rsidP="00670437">
            <w:pPr>
              <w:spacing w:line="240" w:lineRule="auto"/>
              <w:jc w:val="right"/>
              <w:rPr>
                <w:rFonts w:eastAsia="Times New Roman" w:cs="Arial"/>
                <w:color w:val="000000"/>
                <w:szCs w:val="24"/>
                <w:lang w:eastAsia="cs-CZ"/>
              </w:rPr>
            </w:pPr>
            <w:r w:rsidRPr="00670437">
              <w:rPr>
                <w:rFonts w:eastAsia="Times New Roman" w:cs="Arial"/>
                <w:color w:val="000000"/>
                <w:szCs w:val="24"/>
                <w:lang w:eastAsia="cs-CZ"/>
              </w:rPr>
              <w:t>k datu</w:t>
            </w:r>
          </w:p>
        </w:tc>
        <w:tc>
          <w:tcPr>
            <w:tcW w:w="1900" w:type="dxa"/>
            <w:tcBorders>
              <w:top w:val="nil"/>
              <w:left w:val="nil"/>
              <w:bottom w:val="single" w:sz="8" w:space="0" w:color="auto"/>
              <w:right w:val="single" w:sz="8" w:space="0" w:color="auto"/>
            </w:tcBorders>
            <w:shd w:val="clear" w:color="auto" w:fill="auto"/>
            <w:vAlign w:val="center"/>
            <w:hideMark/>
          </w:tcPr>
          <w:p w:rsidR="001A4515" w:rsidRPr="00670437" w:rsidRDefault="001A4515"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31.</w:t>
            </w:r>
            <w:r>
              <w:rPr>
                <w:rFonts w:eastAsia="Times New Roman" w:cs="Arial"/>
                <w:b/>
                <w:bCs/>
                <w:color w:val="000000"/>
                <w:szCs w:val="24"/>
                <w:u w:val="single"/>
                <w:lang w:eastAsia="cs-CZ"/>
              </w:rPr>
              <w:t xml:space="preserve"> </w:t>
            </w:r>
            <w:r w:rsidRPr="00670437">
              <w:rPr>
                <w:rFonts w:eastAsia="Times New Roman" w:cs="Arial"/>
                <w:b/>
                <w:bCs/>
                <w:color w:val="000000"/>
                <w:szCs w:val="24"/>
                <w:u w:val="single"/>
                <w:lang w:eastAsia="cs-CZ"/>
              </w:rPr>
              <w:t>12.</w:t>
            </w:r>
            <w:r>
              <w:rPr>
                <w:rFonts w:eastAsia="Times New Roman" w:cs="Arial"/>
                <w:b/>
                <w:bCs/>
                <w:color w:val="000000"/>
                <w:szCs w:val="24"/>
                <w:u w:val="single"/>
                <w:lang w:eastAsia="cs-CZ"/>
              </w:rPr>
              <w:t xml:space="preserve"> </w:t>
            </w:r>
            <w:r w:rsidRPr="00670437">
              <w:rPr>
                <w:rFonts w:eastAsia="Times New Roman" w:cs="Arial"/>
                <w:b/>
                <w:bCs/>
                <w:color w:val="000000"/>
                <w:szCs w:val="24"/>
                <w:u w:val="single"/>
                <w:lang w:eastAsia="cs-CZ"/>
              </w:rPr>
              <w:t>2016</w:t>
            </w:r>
          </w:p>
        </w:tc>
      </w:tr>
      <w:tr w:rsidR="00670437" w:rsidRPr="00670437" w:rsidTr="008957A5">
        <w:trPr>
          <w:trHeight w:val="3630"/>
        </w:trPr>
        <w:tc>
          <w:tcPr>
            <w:tcW w:w="618" w:type="dxa"/>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673" w:type="dxa"/>
            <w:gridSpan w:val="2"/>
            <w:tcBorders>
              <w:top w:val="nil"/>
              <w:left w:val="nil"/>
              <w:bottom w:val="nil"/>
              <w:right w:val="single" w:sz="4" w:space="0" w:color="auto"/>
            </w:tcBorders>
            <w:shd w:val="clear" w:color="auto" w:fill="auto"/>
            <w:textDirection w:val="btLr"/>
            <w:vAlign w:val="center"/>
            <w:hideMark/>
          </w:tcPr>
          <w:p w:rsidR="00670437" w:rsidRPr="00670437" w:rsidRDefault="00670437" w:rsidP="00670437">
            <w:pPr>
              <w:spacing w:line="240" w:lineRule="auto"/>
              <w:jc w:val="center"/>
              <w:rPr>
                <w:rFonts w:eastAsia="Times New Roman" w:cs="Arial"/>
                <w:color w:val="000000"/>
                <w:szCs w:val="24"/>
                <w:lang w:eastAsia="cs-CZ"/>
              </w:rPr>
            </w:pPr>
            <w:r w:rsidRPr="00670437">
              <w:rPr>
                <w:rFonts w:eastAsia="Times New Roman" w:cs="Arial"/>
                <w:color w:val="000000"/>
                <w:szCs w:val="24"/>
                <w:lang w:eastAsia="cs-CZ"/>
              </w:rPr>
              <w:t xml:space="preserve">předchozí </w:t>
            </w:r>
          </w:p>
        </w:tc>
        <w:tc>
          <w:tcPr>
            <w:tcW w:w="12798" w:type="dxa"/>
            <w:gridSpan w:val="7"/>
            <w:tcBorders>
              <w:top w:val="nil"/>
              <w:left w:val="nil"/>
              <w:bottom w:val="nil"/>
              <w:right w:val="single" w:sz="8" w:space="0" w:color="000000"/>
            </w:tcBorders>
            <w:shd w:val="clear" w:color="auto" w:fill="auto"/>
            <w:vAlign w:val="center"/>
            <w:hideMark/>
          </w:tcPr>
          <w:p w:rsidR="005F0059" w:rsidRDefault="00670437" w:rsidP="005F0059">
            <w:pPr>
              <w:spacing w:before="120" w:after="120" w:line="240" w:lineRule="auto"/>
              <w:rPr>
                <w:rFonts w:eastAsia="Times New Roman" w:cs="Arial"/>
                <w:color w:val="000000"/>
                <w:szCs w:val="24"/>
                <w:lang w:eastAsia="cs-CZ"/>
              </w:rPr>
            </w:pPr>
            <w:r w:rsidRPr="00670437">
              <w:rPr>
                <w:rFonts w:eastAsia="Times New Roman" w:cs="Arial"/>
                <w:color w:val="000000"/>
                <w:szCs w:val="24"/>
                <w:lang w:eastAsia="cs-CZ"/>
              </w:rPr>
              <w:t>Dne 5. října 2016 přijala vláda České republiky nařízení č. 336/2016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 Nařízení obsahuje:</w:t>
            </w:r>
          </w:p>
          <w:p w:rsidR="005F0059" w:rsidRDefault="00670437" w:rsidP="005F0059">
            <w:pPr>
              <w:pStyle w:val="Odstavecseseznamem"/>
              <w:numPr>
                <w:ilvl w:val="0"/>
                <w:numId w:val="13"/>
              </w:numPr>
              <w:spacing w:before="120" w:after="120" w:line="240" w:lineRule="auto"/>
              <w:rPr>
                <w:rFonts w:eastAsia="Times New Roman" w:cs="Arial"/>
                <w:color w:val="000000"/>
                <w:szCs w:val="24"/>
                <w:lang w:eastAsia="cs-CZ"/>
              </w:rPr>
            </w:pPr>
            <w:r w:rsidRPr="005F0059">
              <w:rPr>
                <w:rFonts w:eastAsia="Times New Roman" w:cs="Arial"/>
                <w:color w:val="000000"/>
                <w:szCs w:val="24"/>
                <w:lang w:eastAsia="cs-CZ"/>
              </w:rPr>
              <w:t>Zvýšení základní měsíční sazby minimální mzdy z 9 900 Kč na 11 000 Kč za současného zvýšení hodinové sazby minimální mzdy 58,70 Kč na 66 Kč. Minimální mzda tak dle předpokladů bude v roce 2017 činit 38,2 % průměrné mzdy. Míra navýšení úrovně minimální mzdy představuje kompromis mezi stanovisky zástupců sociálních partnerů vyjádřenými na 130. Plenární schůzi RHSD ČR.</w:t>
            </w:r>
          </w:p>
          <w:p w:rsidR="005F0059" w:rsidRDefault="00670437" w:rsidP="005F0059">
            <w:pPr>
              <w:pStyle w:val="Odstavecseseznamem"/>
              <w:numPr>
                <w:ilvl w:val="0"/>
                <w:numId w:val="13"/>
              </w:numPr>
              <w:spacing w:before="120" w:after="120" w:line="240" w:lineRule="auto"/>
              <w:rPr>
                <w:rFonts w:eastAsia="Times New Roman" w:cs="Arial"/>
                <w:color w:val="000000"/>
                <w:szCs w:val="24"/>
                <w:lang w:eastAsia="cs-CZ"/>
              </w:rPr>
            </w:pPr>
            <w:r w:rsidRPr="005F0059">
              <w:rPr>
                <w:rFonts w:eastAsia="Times New Roman" w:cs="Arial"/>
                <w:color w:val="000000"/>
                <w:szCs w:val="24"/>
                <w:lang w:eastAsia="cs-CZ"/>
              </w:rPr>
              <w:t>Valorizaci nejnižších úrovní zaručené mzdy</w:t>
            </w:r>
            <w:r w:rsidR="005F0059">
              <w:rPr>
                <w:rFonts w:eastAsia="Times New Roman" w:cs="Arial"/>
                <w:color w:val="000000"/>
                <w:szCs w:val="24"/>
                <w:lang w:eastAsia="cs-CZ"/>
              </w:rPr>
              <w:t>.</w:t>
            </w:r>
          </w:p>
          <w:p w:rsidR="005F0059" w:rsidRDefault="00670437" w:rsidP="005F0059">
            <w:pPr>
              <w:pStyle w:val="Odstavecseseznamem"/>
              <w:numPr>
                <w:ilvl w:val="0"/>
                <w:numId w:val="13"/>
              </w:numPr>
              <w:spacing w:before="120" w:after="120" w:line="240" w:lineRule="auto"/>
              <w:rPr>
                <w:rFonts w:eastAsia="Times New Roman" w:cs="Arial"/>
                <w:color w:val="000000"/>
                <w:szCs w:val="24"/>
                <w:lang w:eastAsia="cs-CZ"/>
              </w:rPr>
            </w:pPr>
            <w:r w:rsidRPr="005F0059">
              <w:rPr>
                <w:rFonts w:eastAsia="Times New Roman" w:cs="Arial"/>
                <w:color w:val="000000"/>
                <w:szCs w:val="24"/>
                <w:lang w:eastAsia="cs-CZ"/>
              </w:rPr>
              <w:t xml:space="preserve">Zrušení nižší sazby minimální mzdy a nejnižších úrovní zaručené mzdy u </w:t>
            </w:r>
            <w:r w:rsidR="005F0059">
              <w:rPr>
                <w:rFonts w:eastAsia="Times New Roman" w:cs="Arial"/>
                <w:color w:val="000000"/>
                <w:szCs w:val="24"/>
                <w:lang w:eastAsia="cs-CZ"/>
              </w:rPr>
              <w:t>poživatelů invalidních důchodů.</w:t>
            </w:r>
          </w:p>
          <w:p w:rsidR="005F0059" w:rsidRDefault="00670437" w:rsidP="005F0059">
            <w:pPr>
              <w:pStyle w:val="Odstavecseseznamem"/>
              <w:numPr>
                <w:ilvl w:val="0"/>
                <w:numId w:val="13"/>
              </w:numPr>
              <w:spacing w:before="120" w:after="120" w:line="240" w:lineRule="auto"/>
              <w:rPr>
                <w:rFonts w:eastAsia="Times New Roman" w:cs="Arial"/>
                <w:color w:val="000000"/>
                <w:szCs w:val="24"/>
                <w:lang w:eastAsia="cs-CZ"/>
              </w:rPr>
            </w:pPr>
            <w:r w:rsidRPr="005F0059">
              <w:rPr>
                <w:rFonts w:eastAsia="Times New Roman" w:cs="Arial"/>
                <w:color w:val="000000"/>
                <w:szCs w:val="24"/>
                <w:lang w:eastAsia="cs-CZ"/>
              </w:rPr>
              <w:t>Dopad výše uvedeného zrušení nižší sazby minimální mzdy a nejnižších úrovní zaručené mzdy u poživatelů invalidních důchodů bude kompenzován zvýšením příspěvku na podporu zaměstnávání osob se zdravotním postižením.</w:t>
            </w:r>
          </w:p>
          <w:p w:rsidR="00670437" w:rsidRPr="005F0059" w:rsidRDefault="00670437" w:rsidP="005F0059">
            <w:pPr>
              <w:spacing w:before="120" w:after="120" w:line="240" w:lineRule="auto"/>
              <w:rPr>
                <w:rFonts w:eastAsia="Times New Roman" w:cs="Arial"/>
                <w:color w:val="000000"/>
                <w:szCs w:val="24"/>
                <w:lang w:eastAsia="cs-CZ"/>
              </w:rPr>
            </w:pPr>
            <w:r w:rsidRPr="005F0059">
              <w:rPr>
                <w:rFonts w:eastAsia="Times New Roman" w:cs="Arial"/>
                <w:color w:val="000000"/>
                <w:szCs w:val="24"/>
                <w:lang w:eastAsia="cs-CZ"/>
              </w:rPr>
              <w:t>Účinnost změn je od 1. 1. 2017</w:t>
            </w:r>
          </w:p>
        </w:tc>
      </w:tr>
      <w:tr w:rsidR="00670437" w:rsidRPr="00670437" w:rsidTr="008957A5">
        <w:trPr>
          <w:trHeight w:val="1099"/>
        </w:trPr>
        <w:tc>
          <w:tcPr>
            <w:tcW w:w="618" w:type="dxa"/>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673"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670437" w:rsidRPr="00670437" w:rsidRDefault="00670437" w:rsidP="00670437">
            <w:pPr>
              <w:spacing w:line="240" w:lineRule="auto"/>
              <w:jc w:val="center"/>
              <w:rPr>
                <w:rFonts w:eastAsia="Times New Roman" w:cs="Arial"/>
                <w:color w:val="000000"/>
                <w:szCs w:val="24"/>
                <w:lang w:eastAsia="cs-CZ"/>
              </w:rPr>
            </w:pPr>
            <w:r w:rsidRPr="00670437">
              <w:rPr>
                <w:rFonts w:eastAsia="Times New Roman" w:cs="Arial"/>
                <w:color w:val="000000"/>
                <w:szCs w:val="24"/>
                <w:lang w:eastAsia="cs-CZ"/>
              </w:rPr>
              <w:t>sledované období</w:t>
            </w:r>
          </w:p>
        </w:tc>
        <w:tc>
          <w:tcPr>
            <w:tcW w:w="12798" w:type="dxa"/>
            <w:gridSpan w:val="7"/>
            <w:tcBorders>
              <w:top w:val="single" w:sz="4" w:space="0" w:color="auto"/>
              <w:left w:val="nil"/>
              <w:bottom w:val="single" w:sz="8" w:space="0" w:color="auto"/>
              <w:right w:val="single" w:sz="8" w:space="0" w:color="000000"/>
            </w:tcBorders>
            <w:shd w:val="clear" w:color="auto" w:fill="auto"/>
            <w:vAlign w:val="center"/>
            <w:hideMark/>
          </w:tcPr>
          <w:p w:rsidR="00670437" w:rsidRPr="00670437" w:rsidRDefault="00670437" w:rsidP="005F0059">
            <w:pPr>
              <w:spacing w:before="120" w:after="120" w:line="240" w:lineRule="auto"/>
              <w:rPr>
                <w:rFonts w:eastAsia="Times New Roman" w:cs="Arial"/>
                <w:color w:val="000000"/>
                <w:szCs w:val="24"/>
                <w:lang w:eastAsia="cs-CZ"/>
              </w:rPr>
            </w:pPr>
            <w:r w:rsidRPr="00670437">
              <w:rPr>
                <w:rFonts w:eastAsia="Times New Roman" w:cs="Arial"/>
                <w:color w:val="000000"/>
                <w:szCs w:val="24"/>
                <w:lang w:eastAsia="cs-CZ"/>
              </w:rPr>
              <w:t>nedošlo ke změně, od 1. 1. 2017 nabyly účinnosti uvedené změny právní úpravy</w:t>
            </w:r>
          </w:p>
        </w:tc>
      </w:tr>
    </w:tbl>
    <w:p w:rsidR="00FE60DE" w:rsidRDefault="00FE60DE"/>
    <w:p w:rsidR="00FE60DE" w:rsidRDefault="00FE60DE"/>
    <w:p w:rsidR="00FE60DE" w:rsidRDefault="00FE60DE"/>
    <w:p w:rsidR="00FE60DE" w:rsidRDefault="00FE60DE"/>
    <w:tbl>
      <w:tblPr>
        <w:tblW w:w="14216" w:type="dxa"/>
        <w:tblInd w:w="-72" w:type="dxa"/>
        <w:tblLayout w:type="fixed"/>
        <w:tblCellMar>
          <w:left w:w="70" w:type="dxa"/>
          <w:right w:w="70" w:type="dxa"/>
        </w:tblCellMar>
        <w:tblLook w:val="04A0" w:firstRow="1" w:lastRow="0" w:firstColumn="1" w:lastColumn="0" w:noHBand="0" w:noVBand="1"/>
      </w:tblPr>
      <w:tblGrid>
        <w:gridCol w:w="127"/>
        <w:gridCol w:w="618"/>
        <w:gridCol w:w="531"/>
        <w:gridCol w:w="284"/>
        <w:gridCol w:w="1100"/>
        <w:gridCol w:w="941"/>
        <w:gridCol w:w="1097"/>
        <w:gridCol w:w="1415"/>
        <w:gridCol w:w="5203"/>
        <w:gridCol w:w="1000"/>
        <w:gridCol w:w="1900"/>
      </w:tblGrid>
      <w:tr w:rsidR="005F0059" w:rsidRPr="00670437" w:rsidTr="001C7F7C">
        <w:trPr>
          <w:gridBefore w:val="1"/>
          <w:wBefore w:w="127" w:type="dxa"/>
          <w:trHeight w:val="285"/>
        </w:trPr>
        <w:tc>
          <w:tcPr>
            <w:tcW w:w="618" w:type="dxa"/>
            <w:tcBorders>
              <w:top w:val="single" w:sz="8" w:space="0" w:color="auto"/>
              <w:left w:val="single" w:sz="8" w:space="0" w:color="auto"/>
              <w:bottom w:val="single" w:sz="4" w:space="0" w:color="auto"/>
              <w:right w:val="nil"/>
            </w:tcBorders>
            <w:shd w:val="clear" w:color="000000" w:fill="DCE6F1"/>
            <w:noWrap/>
            <w:vAlign w:val="center"/>
            <w:hideMark/>
          </w:tcPr>
          <w:p w:rsidR="00670437" w:rsidRPr="00670437" w:rsidRDefault="00FE60DE" w:rsidP="00FE60DE">
            <w:pPr>
              <w:spacing w:line="240" w:lineRule="auto"/>
              <w:ind w:left="-55"/>
              <w:jc w:val="center"/>
              <w:rPr>
                <w:rFonts w:eastAsia="Times New Roman" w:cs="Arial"/>
                <w:b/>
                <w:bCs/>
                <w:color w:val="000000"/>
                <w:szCs w:val="24"/>
                <w:lang w:eastAsia="cs-CZ"/>
              </w:rPr>
            </w:pPr>
            <w:r>
              <w:rPr>
                <w:rFonts w:eastAsia="Times New Roman" w:cs="Arial"/>
                <w:b/>
                <w:bCs/>
                <w:color w:val="000000"/>
                <w:szCs w:val="24"/>
                <w:lang w:eastAsia="cs-CZ"/>
              </w:rPr>
              <w:t>1.3</w:t>
            </w:r>
            <w:r w:rsidR="00670437" w:rsidRPr="00670437">
              <w:rPr>
                <w:rFonts w:eastAsia="Times New Roman" w:cs="Arial"/>
                <w:b/>
                <w:bCs/>
                <w:color w:val="000000"/>
                <w:szCs w:val="24"/>
                <w:lang w:eastAsia="cs-CZ"/>
              </w:rPr>
              <w:t>b</w:t>
            </w:r>
          </w:p>
        </w:tc>
        <w:tc>
          <w:tcPr>
            <w:tcW w:w="815" w:type="dxa"/>
            <w:gridSpan w:val="2"/>
            <w:tcBorders>
              <w:top w:val="single" w:sz="8" w:space="0" w:color="auto"/>
              <w:left w:val="single" w:sz="8" w:space="0" w:color="auto"/>
              <w:bottom w:val="single" w:sz="8" w:space="0" w:color="auto"/>
              <w:right w:val="nil"/>
            </w:tcBorders>
            <w:shd w:val="clear" w:color="auto" w:fill="auto"/>
            <w:noWrap/>
            <w:vAlign w:val="center"/>
            <w:hideMark/>
          </w:tcPr>
          <w:p w:rsidR="00670437" w:rsidRPr="00670437" w:rsidRDefault="00670437"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T:</w:t>
            </w:r>
          </w:p>
        </w:tc>
        <w:tc>
          <w:tcPr>
            <w:tcW w:w="1100" w:type="dxa"/>
            <w:tcBorders>
              <w:top w:val="single" w:sz="8" w:space="0" w:color="auto"/>
              <w:left w:val="nil"/>
              <w:bottom w:val="single" w:sz="8" w:space="0" w:color="auto"/>
              <w:right w:val="nil"/>
            </w:tcBorders>
            <w:shd w:val="clear" w:color="auto" w:fill="auto"/>
            <w:noWrap/>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2017</w:t>
            </w:r>
          </w:p>
        </w:tc>
        <w:tc>
          <w:tcPr>
            <w:tcW w:w="941" w:type="dxa"/>
            <w:tcBorders>
              <w:top w:val="single" w:sz="12" w:space="0" w:color="auto"/>
              <w:left w:val="single" w:sz="12" w:space="0" w:color="auto"/>
              <w:bottom w:val="single" w:sz="8" w:space="0" w:color="auto"/>
              <w:right w:val="nil"/>
            </w:tcBorders>
            <w:shd w:val="clear" w:color="auto" w:fill="auto"/>
            <w:noWrap/>
            <w:vAlign w:val="center"/>
            <w:hideMark/>
          </w:tcPr>
          <w:p w:rsidR="00670437" w:rsidRPr="00670437" w:rsidRDefault="00670437"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gesce:</w:t>
            </w:r>
          </w:p>
        </w:tc>
        <w:tc>
          <w:tcPr>
            <w:tcW w:w="1097" w:type="dxa"/>
            <w:tcBorders>
              <w:top w:val="single" w:sz="12" w:space="0" w:color="auto"/>
              <w:left w:val="nil"/>
              <w:bottom w:val="single" w:sz="12" w:space="0" w:color="auto"/>
              <w:right w:val="single" w:sz="4" w:space="0" w:color="auto"/>
            </w:tcBorders>
            <w:shd w:val="clear" w:color="auto" w:fill="auto"/>
            <w:noWrap/>
            <w:vAlign w:val="center"/>
            <w:hideMark/>
          </w:tcPr>
          <w:p w:rsidR="00670437" w:rsidRPr="00670437" w:rsidRDefault="00670437" w:rsidP="00670437">
            <w:pPr>
              <w:spacing w:line="240" w:lineRule="auto"/>
              <w:jc w:val="left"/>
              <w:rPr>
                <w:rFonts w:eastAsia="Times New Roman" w:cs="Arial"/>
                <w:b/>
                <w:bCs/>
                <w:color w:val="000000"/>
                <w:szCs w:val="24"/>
                <w:lang w:eastAsia="cs-CZ"/>
              </w:rPr>
            </w:pPr>
            <w:r w:rsidRPr="00670437">
              <w:rPr>
                <w:rFonts w:eastAsia="Times New Roman" w:cs="Arial"/>
                <w:b/>
                <w:bCs/>
                <w:color w:val="000000"/>
                <w:szCs w:val="24"/>
                <w:lang w:eastAsia="cs-CZ"/>
              </w:rPr>
              <w:t>MPSV</w:t>
            </w:r>
          </w:p>
        </w:tc>
        <w:tc>
          <w:tcPr>
            <w:tcW w:w="1415" w:type="dxa"/>
            <w:tcBorders>
              <w:left w:val="single" w:sz="4" w:space="0" w:color="auto"/>
              <w:bottom w:val="single" w:sz="4" w:space="0" w:color="auto"/>
            </w:tcBorders>
            <w:shd w:val="clear" w:color="auto" w:fill="auto"/>
            <w:noWrap/>
            <w:vAlign w:val="center"/>
          </w:tcPr>
          <w:p w:rsidR="00670437" w:rsidRPr="00670437" w:rsidRDefault="00670437" w:rsidP="00670437">
            <w:pPr>
              <w:spacing w:line="240" w:lineRule="auto"/>
              <w:jc w:val="right"/>
              <w:rPr>
                <w:rFonts w:eastAsia="Times New Roman" w:cs="Arial"/>
                <w:color w:val="000000"/>
                <w:szCs w:val="24"/>
                <w:lang w:eastAsia="cs-CZ"/>
              </w:rPr>
            </w:pPr>
          </w:p>
        </w:tc>
        <w:tc>
          <w:tcPr>
            <w:tcW w:w="5203" w:type="dxa"/>
            <w:tcBorders>
              <w:bottom w:val="single" w:sz="4" w:space="0" w:color="auto"/>
            </w:tcBorders>
            <w:shd w:val="clear" w:color="auto" w:fill="auto"/>
            <w:noWrap/>
            <w:vAlign w:val="center"/>
          </w:tcPr>
          <w:p w:rsidR="00670437" w:rsidRPr="00670437" w:rsidRDefault="00670437" w:rsidP="00670437">
            <w:pPr>
              <w:spacing w:line="240" w:lineRule="auto"/>
              <w:jc w:val="right"/>
              <w:rPr>
                <w:rFonts w:eastAsia="Times New Roman" w:cs="Arial"/>
                <w:color w:val="000000"/>
                <w:szCs w:val="24"/>
                <w:lang w:eastAsia="cs-CZ"/>
              </w:rPr>
            </w:pPr>
          </w:p>
        </w:tc>
        <w:tc>
          <w:tcPr>
            <w:tcW w:w="1000" w:type="dxa"/>
            <w:tcBorders>
              <w:bottom w:val="single" w:sz="4" w:space="0" w:color="auto"/>
            </w:tcBorders>
            <w:shd w:val="clear" w:color="auto" w:fill="auto"/>
            <w:noWrap/>
            <w:vAlign w:val="center"/>
          </w:tcPr>
          <w:p w:rsidR="00670437" w:rsidRPr="00670437" w:rsidRDefault="00670437" w:rsidP="00670437">
            <w:pPr>
              <w:spacing w:line="240" w:lineRule="auto"/>
              <w:jc w:val="right"/>
              <w:rPr>
                <w:rFonts w:eastAsia="Times New Roman" w:cs="Arial"/>
                <w:color w:val="000000"/>
                <w:szCs w:val="24"/>
                <w:lang w:eastAsia="cs-CZ"/>
              </w:rPr>
            </w:pPr>
          </w:p>
        </w:tc>
        <w:tc>
          <w:tcPr>
            <w:tcW w:w="1900" w:type="dxa"/>
            <w:tcBorders>
              <w:bottom w:val="single" w:sz="4" w:space="0" w:color="auto"/>
            </w:tcBorders>
            <w:shd w:val="clear" w:color="auto" w:fill="auto"/>
            <w:noWrap/>
            <w:vAlign w:val="center"/>
          </w:tcPr>
          <w:p w:rsidR="00670437" w:rsidRPr="00670437" w:rsidRDefault="00670437" w:rsidP="00670437">
            <w:pPr>
              <w:spacing w:line="240" w:lineRule="auto"/>
              <w:jc w:val="right"/>
              <w:rPr>
                <w:rFonts w:eastAsia="Times New Roman" w:cs="Arial"/>
                <w:b/>
                <w:bCs/>
                <w:color w:val="000000"/>
                <w:szCs w:val="24"/>
                <w:lang w:eastAsia="cs-CZ"/>
              </w:rPr>
            </w:pPr>
          </w:p>
        </w:tc>
      </w:tr>
      <w:tr w:rsidR="000718F9" w:rsidRPr="00670437" w:rsidTr="001C7F7C">
        <w:trPr>
          <w:gridBefore w:val="1"/>
          <w:wBefore w:w="127" w:type="dxa"/>
          <w:trHeight w:val="285"/>
        </w:trPr>
        <w:tc>
          <w:tcPr>
            <w:tcW w:w="618"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Revize dávkového systému</w:t>
            </w:r>
          </w:p>
        </w:tc>
        <w:tc>
          <w:tcPr>
            <w:tcW w:w="1915" w:type="dxa"/>
            <w:gridSpan w:val="3"/>
            <w:tcBorders>
              <w:top w:val="single" w:sz="8" w:space="0" w:color="auto"/>
              <w:left w:val="nil"/>
              <w:bottom w:val="single" w:sz="8" w:space="0" w:color="auto"/>
              <w:right w:val="nil"/>
            </w:tcBorders>
            <w:shd w:val="clear" w:color="auto" w:fill="auto"/>
            <w:noWrap/>
            <w:vAlign w:val="center"/>
            <w:hideMark/>
          </w:tcPr>
          <w:p w:rsidR="00670437" w:rsidRPr="00670437" w:rsidRDefault="00670437"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povaha:</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L+N</w:t>
            </w:r>
          </w:p>
        </w:tc>
        <w:tc>
          <w:tcPr>
            <w:tcW w:w="7715" w:type="dxa"/>
            <w:gridSpan w:val="3"/>
            <w:tcBorders>
              <w:top w:val="nil"/>
              <w:left w:val="single" w:sz="8" w:space="0" w:color="auto"/>
              <w:bottom w:val="nil"/>
              <w:right w:val="nil"/>
            </w:tcBorders>
            <w:shd w:val="clear" w:color="auto" w:fill="auto"/>
            <w:noWrap/>
            <w:vAlign w:val="center"/>
            <w:hideMark/>
          </w:tcPr>
          <w:p w:rsidR="00670437" w:rsidRPr="00670437" w:rsidRDefault="00670437"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Popis</w:t>
            </w:r>
          </w:p>
        </w:tc>
        <w:tc>
          <w:tcPr>
            <w:tcW w:w="1000" w:type="dxa"/>
            <w:tcBorders>
              <w:top w:val="nil"/>
              <w:left w:val="nil"/>
              <w:bottom w:val="nil"/>
              <w:right w:val="nil"/>
            </w:tcBorders>
            <w:shd w:val="clear" w:color="auto" w:fill="auto"/>
            <w:noWrap/>
            <w:vAlign w:val="center"/>
          </w:tcPr>
          <w:p w:rsidR="00670437" w:rsidRPr="00670437" w:rsidRDefault="00670437" w:rsidP="00670437">
            <w:pPr>
              <w:spacing w:line="240" w:lineRule="auto"/>
              <w:jc w:val="center"/>
              <w:rPr>
                <w:rFonts w:eastAsia="Times New Roman" w:cs="Arial"/>
                <w:b/>
                <w:bCs/>
                <w:color w:val="000000"/>
                <w:szCs w:val="24"/>
                <w:u w:val="single"/>
                <w:lang w:eastAsia="cs-CZ"/>
              </w:rPr>
            </w:pPr>
          </w:p>
        </w:tc>
        <w:tc>
          <w:tcPr>
            <w:tcW w:w="1900" w:type="dxa"/>
            <w:tcBorders>
              <w:top w:val="nil"/>
              <w:left w:val="nil"/>
              <w:bottom w:val="nil"/>
              <w:right w:val="single" w:sz="8" w:space="0" w:color="auto"/>
            </w:tcBorders>
            <w:shd w:val="clear" w:color="auto" w:fill="auto"/>
            <w:noWrap/>
            <w:vAlign w:val="center"/>
          </w:tcPr>
          <w:p w:rsidR="00670437" w:rsidRPr="00670437" w:rsidRDefault="00670437" w:rsidP="00670437">
            <w:pPr>
              <w:spacing w:line="240" w:lineRule="auto"/>
              <w:jc w:val="center"/>
              <w:rPr>
                <w:rFonts w:eastAsia="Times New Roman" w:cs="Arial"/>
                <w:b/>
                <w:bCs/>
                <w:color w:val="000000"/>
                <w:szCs w:val="24"/>
                <w:u w:val="single"/>
                <w:lang w:eastAsia="cs-CZ"/>
              </w:rPr>
            </w:pPr>
          </w:p>
        </w:tc>
      </w:tr>
      <w:tr w:rsidR="00670437" w:rsidRPr="00670437" w:rsidTr="001C7F7C">
        <w:trPr>
          <w:gridBefore w:val="1"/>
          <w:wBefore w:w="127" w:type="dxa"/>
          <w:trHeight w:val="615"/>
        </w:trPr>
        <w:tc>
          <w:tcPr>
            <w:tcW w:w="618" w:type="dxa"/>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13471" w:type="dxa"/>
            <w:gridSpan w:val="9"/>
            <w:tcBorders>
              <w:top w:val="nil"/>
              <w:left w:val="nil"/>
              <w:bottom w:val="double" w:sz="6" w:space="0" w:color="auto"/>
              <w:right w:val="single" w:sz="8" w:space="0" w:color="000000"/>
            </w:tcBorders>
            <w:shd w:val="clear" w:color="auto" w:fill="auto"/>
            <w:vAlign w:val="center"/>
            <w:hideMark/>
          </w:tcPr>
          <w:p w:rsidR="00670437" w:rsidRPr="00670437" w:rsidRDefault="00670437" w:rsidP="00670437">
            <w:pPr>
              <w:spacing w:line="240" w:lineRule="auto"/>
              <w:rPr>
                <w:rFonts w:eastAsia="Times New Roman" w:cs="Arial"/>
                <w:color w:val="000000"/>
                <w:szCs w:val="24"/>
                <w:lang w:eastAsia="cs-CZ"/>
              </w:rPr>
            </w:pPr>
            <w:r w:rsidRPr="00670437">
              <w:rPr>
                <w:rFonts w:eastAsia="Times New Roman" w:cs="Arial"/>
                <w:color w:val="000000"/>
                <w:szCs w:val="24"/>
                <w:lang w:eastAsia="cs-CZ"/>
              </w:rPr>
              <w:t>MPSV provede revizi právní úpravy dávek s ohledem na jejich možné dopady na motivaci pracovní síly akceptovat zaměstnání jako základní zdroj příjmu namísto závislosti na příjmu sociálním</w:t>
            </w:r>
            <w:r w:rsidR="00011F37">
              <w:rPr>
                <w:rFonts w:eastAsia="Times New Roman" w:cs="Arial"/>
                <w:color w:val="000000"/>
                <w:szCs w:val="24"/>
                <w:lang w:eastAsia="cs-CZ"/>
              </w:rPr>
              <w:t>,</w:t>
            </w:r>
            <w:r w:rsidRPr="00670437">
              <w:rPr>
                <w:rFonts w:eastAsia="Times New Roman" w:cs="Arial"/>
                <w:color w:val="000000"/>
                <w:szCs w:val="24"/>
                <w:lang w:eastAsia="cs-CZ"/>
              </w:rPr>
              <w:t xml:space="preserve"> a to při souběžném ohledu na příjmovou stabilitu příjemců dávkové podpory</w:t>
            </w:r>
            <w:r w:rsidR="002277E2">
              <w:rPr>
                <w:rFonts w:eastAsia="Times New Roman" w:cs="Arial"/>
                <w:color w:val="000000"/>
                <w:szCs w:val="24"/>
                <w:lang w:eastAsia="cs-CZ"/>
              </w:rPr>
              <w:t>.</w:t>
            </w:r>
          </w:p>
        </w:tc>
      </w:tr>
      <w:tr w:rsidR="00EE055B" w:rsidRPr="00670437" w:rsidTr="009B7658">
        <w:trPr>
          <w:gridBefore w:val="1"/>
          <w:wBefore w:w="127" w:type="dxa"/>
          <w:trHeight w:val="285"/>
        </w:trPr>
        <w:tc>
          <w:tcPr>
            <w:tcW w:w="618" w:type="dxa"/>
            <w:vMerge/>
            <w:tcBorders>
              <w:top w:val="nil"/>
              <w:left w:val="single" w:sz="8" w:space="0" w:color="auto"/>
              <w:bottom w:val="single" w:sz="8" w:space="0" w:color="000000"/>
              <w:right w:val="single" w:sz="8" w:space="0" w:color="auto"/>
            </w:tcBorders>
            <w:vAlign w:val="center"/>
            <w:hideMark/>
          </w:tcPr>
          <w:p w:rsidR="00EE055B" w:rsidRPr="00670437" w:rsidRDefault="00EE055B" w:rsidP="00670437">
            <w:pPr>
              <w:spacing w:line="240" w:lineRule="auto"/>
              <w:jc w:val="left"/>
              <w:rPr>
                <w:rFonts w:eastAsia="Times New Roman" w:cs="Arial"/>
                <w:b/>
                <w:bCs/>
                <w:color w:val="000000"/>
                <w:szCs w:val="24"/>
                <w:lang w:eastAsia="cs-CZ"/>
              </w:rPr>
            </w:pPr>
          </w:p>
        </w:tc>
        <w:tc>
          <w:tcPr>
            <w:tcW w:w="2856" w:type="dxa"/>
            <w:gridSpan w:val="4"/>
            <w:tcBorders>
              <w:top w:val="nil"/>
              <w:left w:val="single" w:sz="12" w:space="0" w:color="auto"/>
              <w:bottom w:val="single" w:sz="12" w:space="0" w:color="auto"/>
              <w:right w:val="nil"/>
            </w:tcBorders>
            <w:shd w:val="clear" w:color="000000" w:fill="F2DCDB"/>
            <w:noWrap/>
            <w:vAlign w:val="center"/>
            <w:hideMark/>
          </w:tcPr>
          <w:p w:rsidR="00EE055B" w:rsidRPr="00670437" w:rsidRDefault="00EE055B" w:rsidP="00EE055B">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Řešeno</w:t>
            </w:r>
          </w:p>
        </w:tc>
        <w:tc>
          <w:tcPr>
            <w:tcW w:w="7715" w:type="dxa"/>
            <w:gridSpan w:val="3"/>
            <w:tcBorders>
              <w:top w:val="double" w:sz="6" w:space="0" w:color="auto"/>
              <w:left w:val="nil"/>
              <w:bottom w:val="nil"/>
              <w:right w:val="nil"/>
            </w:tcBorders>
            <w:shd w:val="clear" w:color="auto" w:fill="auto"/>
            <w:vAlign w:val="center"/>
            <w:hideMark/>
          </w:tcPr>
          <w:p w:rsidR="00EE055B" w:rsidRPr="00670437" w:rsidRDefault="00EE055B"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Plnění</w:t>
            </w:r>
          </w:p>
        </w:tc>
        <w:tc>
          <w:tcPr>
            <w:tcW w:w="1000" w:type="dxa"/>
            <w:tcBorders>
              <w:top w:val="nil"/>
              <w:left w:val="single" w:sz="8" w:space="0" w:color="auto"/>
              <w:bottom w:val="single" w:sz="8" w:space="0" w:color="auto"/>
              <w:right w:val="nil"/>
            </w:tcBorders>
            <w:shd w:val="clear" w:color="auto" w:fill="auto"/>
            <w:vAlign w:val="center"/>
            <w:hideMark/>
          </w:tcPr>
          <w:p w:rsidR="00EE055B" w:rsidRPr="00670437" w:rsidRDefault="00EE055B" w:rsidP="00670437">
            <w:pPr>
              <w:spacing w:line="240" w:lineRule="auto"/>
              <w:jc w:val="right"/>
              <w:rPr>
                <w:rFonts w:eastAsia="Times New Roman" w:cs="Arial"/>
                <w:color w:val="000000"/>
                <w:szCs w:val="24"/>
                <w:lang w:eastAsia="cs-CZ"/>
              </w:rPr>
            </w:pPr>
            <w:r w:rsidRPr="00670437">
              <w:rPr>
                <w:rFonts w:eastAsia="Times New Roman" w:cs="Arial"/>
                <w:color w:val="000000"/>
                <w:szCs w:val="24"/>
                <w:lang w:eastAsia="cs-CZ"/>
              </w:rPr>
              <w:t>k datu</w:t>
            </w:r>
          </w:p>
        </w:tc>
        <w:tc>
          <w:tcPr>
            <w:tcW w:w="1900" w:type="dxa"/>
            <w:tcBorders>
              <w:top w:val="nil"/>
              <w:left w:val="nil"/>
              <w:bottom w:val="single" w:sz="8" w:space="0" w:color="auto"/>
              <w:right w:val="single" w:sz="8" w:space="0" w:color="auto"/>
            </w:tcBorders>
            <w:shd w:val="clear" w:color="auto" w:fill="auto"/>
            <w:vAlign w:val="center"/>
            <w:hideMark/>
          </w:tcPr>
          <w:p w:rsidR="00EE055B" w:rsidRPr="00670437" w:rsidRDefault="00EE055B"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31.</w:t>
            </w:r>
            <w:r>
              <w:rPr>
                <w:rFonts w:eastAsia="Times New Roman" w:cs="Arial"/>
                <w:b/>
                <w:bCs/>
                <w:color w:val="000000"/>
                <w:szCs w:val="24"/>
                <w:u w:val="single"/>
                <w:lang w:eastAsia="cs-CZ"/>
              </w:rPr>
              <w:t xml:space="preserve"> </w:t>
            </w:r>
            <w:r w:rsidRPr="00670437">
              <w:rPr>
                <w:rFonts w:eastAsia="Times New Roman" w:cs="Arial"/>
                <w:b/>
                <w:bCs/>
                <w:color w:val="000000"/>
                <w:szCs w:val="24"/>
                <w:u w:val="single"/>
                <w:lang w:eastAsia="cs-CZ"/>
              </w:rPr>
              <w:t>12.</w:t>
            </w:r>
            <w:r>
              <w:rPr>
                <w:rFonts w:eastAsia="Times New Roman" w:cs="Arial"/>
                <w:b/>
                <w:bCs/>
                <w:color w:val="000000"/>
                <w:szCs w:val="24"/>
                <w:u w:val="single"/>
                <w:lang w:eastAsia="cs-CZ"/>
              </w:rPr>
              <w:t xml:space="preserve"> </w:t>
            </w:r>
            <w:r w:rsidRPr="00670437">
              <w:rPr>
                <w:rFonts w:eastAsia="Times New Roman" w:cs="Arial"/>
                <w:b/>
                <w:bCs/>
                <w:color w:val="000000"/>
                <w:szCs w:val="24"/>
                <w:u w:val="single"/>
                <w:lang w:eastAsia="cs-CZ"/>
              </w:rPr>
              <w:t>2016</w:t>
            </w:r>
          </w:p>
        </w:tc>
      </w:tr>
      <w:tr w:rsidR="008957A5" w:rsidRPr="00670437" w:rsidTr="001C7F7C">
        <w:trPr>
          <w:gridBefore w:val="1"/>
          <w:wBefore w:w="127" w:type="dxa"/>
          <w:trHeight w:val="5207"/>
        </w:trPr>
        <w:tc>
          <w:tcPr>
            <w:tcW w:w="618" w:type="dxa"/>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531" w:type="dxa"/>
            <w:tcBorders>
              <w:top w:val="nil"/>
              <w:left w:val="nil"/>
              <w:bottom w:val="nil"/>
              <w:right w:val="single" w:sz="4" w:space="0" w:color="auto"/>
            </w:tcBorders>
            <w:shd w:val="clear" w:color="auto" w:fill="auto"/>
            <w:textDirection w:val="btLr"/>
            <w:vAlign w:val="center"/>
            <w:hideMark/>
          </w:tcPr>
          <w:p w:rsidR="00670437" w:rsidRPr="00670437" w:rsidRDefault="00670437" w:rsidP="00670437">
            <w:pPr>
              <w:spacing w:line="240" w:lineRule="auto"/>
              <w:jc w:val="center"/>
              <w:rPr>
                <w:rFonts w:eastAsia="Times New Roman" w:cs="Arial"/>
                <w:color w:val="000000"/>
                <w:szCs w:val="24"/>
                <w:lang w:eastAsia="cs-CZ"/>
              </w:rPr>
            </w:pPr>
            <w:r w:rsidRPr="00670437">
              <w:rPr>
                <w:rFonts w:eastAsia="Times New Roman" w:cs="Arial"/>
                <w:color w:val="000000"/>
                <w:szCs w:val="24"/>
                <w:lang w:eastAsia="cs-CZ"/>
              </w:rPr>
              <w:t xml:space="preserve">předchozí </w:t>
            </w:r>
          </w:p>
        </w:tc>
        <w:tc>
          <w:tcPr>
            <w:tcW w:w="12940" w:type="dxa"/>
            <w:gridSpan w:val="8"/>
            <w:tcBorders>
              <w:top w:val="nil"/>
              <w:left w:val="nil"/>
              <w:bottom w:val="nil"/>
              <w:right w:val="single" w:sz="8" w:space="0" w:color="000000"/>
            </w:tcBorders>
            <w:shd w:val="clear" w:color="auto" w:fill="auto"/>
            <w:hideMark/>
          </w:tcPr>
          <w:p w:rsidR="008957A5" w:rsidRDefault="00670437" w:rsidP="008957A5">
            <w:pPr>
              <w:spacing w:before="120" w:line="240" w:lineRule="auto"/>
              <w:rPr>
                <w:rFonts w:eastAsia="Times New Roman" w:cs="Arial"/>
                <w:color w:val="000000"/>
                <w:szCs w:val="24"/>
                <w:lang w:eastAsia="cs-CZ"/>
              </w:rPr>
            </w:pPr>
            <w:r w:rsidRPr="00670437">
              <w:rPr>
                <w:rFonts w:eastAsia="Times New Roman" w:cs="Arial"/>
                <w:i/>
                <w:iCs/>
                <w:color w:val="000000"/>
                <w:szCs w:val="24"/>
                <w:u w:val="single"/>
                <w:lang w:eastAsia="cs-CZ"/>
              </w:rPr>
              <w:t>Novela zákona č. 111/2006 Sb</w:t>
            </w:r>
            <w:r w:rsidRPr="00670437">
              <w:rPr>
                <w:rFonts w:eastAsia="Times New Roman" w:cs="Arial"/>
                <w:i/>
                <w:color w:val="000000"/>
                <w:szCs w:val="24"/>
                <w:u w:val="single"/>
                <w:lang w:eastAsia="cs-CZ"/>
              </w:rPr>
              <w:t>., o pomoci v hmotné nouzi</w:t>
            </w:r>
            <w:r w:rsidR="006C69D7">
              <w:rPr>
                <w:rFonts w:eastAsia="Times New Roman" w:cs="Arial"/>
                <w:color w:val="000000"/>
                <w:szCs w:val="24"/>
                <w:lang w:eastAsia="cs-CZ"/>
              </w:rPr>
              <w:t xml:space="preserve"> </w:t>
            </w:r>
            <w:r w:rsidRPr="00670437">
              <w:rPr>
                <w:rFonts w:eastAsia="Times New Roman" w:cs="Arial"/>
                <w:color w:val="000000"/>
                <w:szCs w:val="24"/>
                <w:lang w:eastAsia="cs-CZ"/>
              </w:rPr>
              <w:t>(sněmovní tisk č. 783). Specifikuje, kdy ve zřetele hodných případech lze doplatek na bydlení do nestandardních forem bydlení (ubytoven) přiznat</w:t>
            </w:r>
            <w:r w:rsidR="008957A5">
              <w:rPr>
                <w:rFonts w:eastAsia="Times New Roman" w:cs="Arial"/>
                <w:color w:val="000000"/>
                <w:szCs w:val="24"/>
                <w:lang w:eastAsia="cs-CZ"/>
              </w:rPr>
              <w:t xml:space="preserve">. </w:t>
            </w:r>
            <w:r w:rsidRPr="008957A5">
              <w:rPr>
                <w:rFonts w:eastAsia="Times New Roman" w:cs="Arial"/>
                <w:color w:val="000000"/>
                <w:szCs w:val="24"/>
                <w:lang w:eastAsia="cs-CZ"/>
              </w:rPr>
              <w:t xml:space="preserve">Novela </w:t>
            </w:r>
            <w:r w:rsidR="008957A5">
              <w:rPr>
                <w:rFonts w:eastAsia="Times New Roman" w:cs="Arial"/>
                <w:color w:val="000000"/>
                <w:szCs w:val="24"/>
                <w:lang w:eastAsia="cs-CZ"/>
              </w:rPr>
              <w:t xml:space="preserve">dále </w:t>
            </w:r>
            <w:r w:rsidRPr="008957A5">
              <w:rPr>
                <w:rFonts w:eastAsia="Times New Roman" w:cs="Arial"/>
                <w:color w:val="000000"/>
                <w:szCs w:val="24"/>
                <w:lang w:eastAsia="cs-CZ"/>
              </w:rPr>
              <w:t>limituje výši úhrady v ubytovnách ze současných 90 % na max. výši 80 % normativních nákladů na bydlení a počítá s možností obcí vyjádřit se k žádosti klienta o dávku do ubytovny, s</w:t>
            </w:r>
            <w:r w:rsidR="00011F37">
              <w:rPr>
                <w:rFonts w:eastAsia="Times New Roman" w:cs="Arial"/>
                <w:color w:val="000000"/>
                <w:szCs w:val="24"/>
                <w:lang w:eastAsia="cs-CZ"/>
              </w:rPr>
              <w:t>e</w:t>
            </w:r>
            <w:r w:rsidRPr="008957A5">
              <w:rPr>
                <w:rFonts w:eastAsia="Times New Roman" w:cs="Arial"/>
                <w:color w:val="000000"/>
                <w:szCs w:val="24"/>
                <w:lang w:eastAsia="cs-CZ"/>
              </w:rPr>
              <w:t xml:space="preserve"> kterou se ÚP ČR v rámci rozhodování o nároku musí vypořádat.</w:t>
            </w:r>
          </w:p>
          <w:p w:rsidR="008957A5" w:rsidRDefault="00670437" w:rsidP="008957A5">
            <w:pPr>
              <w:spacing w:before="120" w:line="240" w:lineRule="auto"/>
              <w:rPr>
                <w:rFonts w:eastAsia="Times New Roman" w:cs="Arial"/>
                <w:color w:val="000000"/>
                <w:szCs w:val="24"/>
                <w:lang w:eastAsia="cs-CZ"/>
              </w:rPr>
            </w:pPr>
            <w:r w:rsidRPr="008957A5">
              <w:rPr>
                <w:rFonts w:eastAsia="Times New Roman" w:cs="Arial"/>
                <w:i/>
                <w:iCs/>
                <w:color w:val="000000"/>
                <w:szCs w:val="24"/>
                <w:u w:val="single"/>
                <w:lang w:eastAsia="cs-CZ"/>
              </w:rPr>
              <w:t>Metodika k minimálním standardům rozsahu sociální práce</w:t>
            </w:r>
            <w:r w:rsidRPr="008957A5">
              <w:rPr>
                <w:rFonts w:eastAsia="Times New Roman" w:cs="Arial"/>
                <w:color w:val="000000"/>
                <w:szCs w:val="24"/>
                <w:lang w:eastAsia="cs-CZ"/>
              </w:rPr>
              <w:t xml:space="preserve"> na ÚP ČR v kontextu</w:t>
            </w:r>
            <w:r w:rsidR="008957A5">
              <w:rPr>
                <w:rFonts w:eastAsia="Times New Roman" w:cs="Arial"/>
                <w:color w:val="000000"/>
                <w:szCs w:val="24"/>
                <w:lang w:eastAsia="cs-CZ"/>
              </w:rPr>
              <w:t xml:space="preserve"> zákona o pomoci v hmotné nouzi. </w:t>
            </w:r>
            <w:r w:rsidRPr="008957A5">
              <w:rPr>
                <w:rFonts w:eastAsia="Times New Roman" w:cs="Arial"/>
                <w:color w:val="000000"/>
                <w:szCs w:val="24"/>
                <w:lang w:eastAsia="cs-CZ"/>
              </w:rPr>
              <w:t>Metodika vymezí standard minimálního rozsahu sociální práce na ÚP ČR pro účely poskytování dávek pomoci v hmotné nouzi. Zaměřuje se především na podmínky a postupy pracovníků v systému dávek, které slouží pro účely řešení hmotné nouze jako situačně i individuálně podmíněné nepříznivé sociální situace, a z</w:t>
            </w:r>
            <w:r w:rsidR="009E45E4">
              <w:rPr>
                <w:rFonts w:eastAsia="Times New Roman" w:cs="Arial"/>
                <w:color w:val="000000"/>
                <w:szCs w:val="24"/>
                <w:lang w:eastAsia="cs-CZ"/>
              </w:rPr>
              <w:t>ároveň i pro účely posuzování a </w:t>
            </w:r>
            <w:r w:rsidRPr="008957A5">
              <w:rPr>
                <w:rFonts w:eastAsia="Times New Roman" w:cs="Arial"/>
                <w:color w:val="000000"/>
                <w:szCs w:val="24"/>
                <w:lang w:eastAsia="cs-CZ"/>
              </w:rPr>
              <w:t>ověřování nároku na dávky pomoci v hmotné nouzi v kontextu sociální práce s klientem. Hlavním cílem sociální práce v rámci aplikace zákona o pomoci v hmotné nouzi je snížení rizika závislosti příjemc</w:t>
            </w:r>
            <w:r w:rsidR="009E45E4">
              <w:rPr>
                <w:rFonts w:eastAsia="Times New Roman" w:cs="Arial"/>
                <w:color w:val="000000"/>
                <w:szCs w:val="24"/>
                <w:lang w:eastAsia="cs-CZ"/>
              </w:rPr>
              <w:t>ů na poskytování dávek pomoci v </w:t>
            </w:r>
            <w:r w:rsidRPr="008957A5">
              <w:rPr>
                <w:rFonts w:eastAsia="Times New Roman" w:cs="Arial"/>
                <w:color w:val="000000"/>
                <w:szCs w:val="24"/>
                <w:lang w:eastAsia="cs-CZ"/>
              </w:rPr>
              <w:t>hmotné nouzi a jejich integrace do běžného života.</w:t>
            </w:r>
          </w:p>
          <w:p w:rsidR="008957A5" w:rsidRDefault="00670437" w:rsidP="008957A5">
            <w:pPr>
              <w:spacing w:before="120" w:line="240" w:lineRule="auto"/>
              <w:rPr>
                <w:rFonts w:eastAsia="Times New Roman" w:cs="Arial"/>
                <w:color w:val="000000"/>
                <w:szCs w:val="24"/>
                <w:lang w:eastAsia="cs-CZ"/>
              </w:rPr>
            </w:pPr>
            <w:r w:rsidRPr="008957A5">
              <w:rPr>
                <w:rFonts w:eastAsia="Times New Roman" w:cs="Arial"/>
                <w:i/>
                <w:iCs/>
                <w:color w:val="000000"/>
                <w:szCs w:val="24"/>
                <w:u w:val="single"/>
                <w:lang w:eastAsia="cs-CZ"/>
              </w:rPr>
              <w:t>Novela zákona č. 117/1995 Sb.</w:t>
            </w:r>
            <w:r w:rsidRPr="008957A5">
              <w:rPr>
                <w:rFonts w:eastAsia="Times New Roman" w:cs="Arial"/>
                <w:i/>
                <w:color w:val="000000"/>
                <w:szCs w:val="24"/>
                <w:u w:val="single"/>
                <w:lang w:eastAsia="cs-CZ"/>
              </w:rPr>
              <w:t>, o státní sociální podpoře</w:t>
            </w:r>
            <w:r w:rsidR="006C69D7">
              <w:rPr>
                <w:rFonts w:eastAsia="Times New Roman" w:cs="Arial"/>
                <w:color w:val="000000"/>
                <w:szCs w:val="24"/>
                <w:lang w:eastAsia="cs-CZ"/>
              </w:rPr>
              <w:t xml:space="preserve"> </w:t>
            </w:r>
            <w:r w:rsidRPr="008957A5">
              <w:rPr>
                <w:rFonts w:eastAsia="Times New Roman" w:cs="Arial"/>
                <w:color w:val="000000"/>
                <w:szCs w:val="24"/>
                <w:lang w:eastAsia="cs-CZ"/>
              </w:rPr>
              <w:t xml:space="preserve">(sněmovní tisk č. 854). </w:t>
            </w:r>
            <w:r w:rsidR="006C69D7">
              <w:rPr>
                <w:rFonts w:eastAsia="Times New Roman" w:cs="Arial"/>
                <w:color w:val="000000"/>
                <w:szCs w:val="24"/>
                <w:lang w:eastAsia="cs-CZ"/>
              </w:rPr>
              <w:t>R</w:t>
            </w:r>
            <w:r w:rsidRPr="008957A5">
              <w:rPr>
                <w:rFonts w:eastAsia="Times New Roman" w:cs="Arial"/>
                <w:color w:val="000000"/>
                <w:szCs w:val="24"/>
                <w:lang w:eastAsia="cs-CZ"/>
              </w:rPr>
              <w:t>uš</w:t>
            </w:r>
            <w:r w:rsidR="008957A5">
              <w:rPr>
                <w:rFonts w:eastAsia="Times New Roman" w:cs="Arial"/>
                <w:color w:val="000000"/>
                <w:szCs w:val="24"/>
                <w:lang w:eastAsia="cs-CZ"/>
              </w:rPr>
              <w:t xml:space="preserve">í </w:t>
            </w:r>
            <w:r w:rsidRPr="008957A5">
              <w:rPr>
                <w:rFonts w:eastAsia="Times New Roman" w:cs="Arial"/>
                <w:color w:val="000000"/>
                <w:szCs w:val="24"/>
                <w:lang w:eastAsia="cs-CZ"/>
              </w:rPr>
              <w:t>omezení horní hranice měsíční výše rodičovského příspěvku a umožňuje čerpat dávku až do výše pen</w:t>
            </w:r>
            <w:r w:rsidR="008957A5">
              <w:rPr>
                <w:rFonts w:eastAsia="Times New Roman" w:cs="Arial"/>
                <w:color w:val="000000"/>
                <w:szCs w:val="24"/>
                <w:lang w:eastAsia="cs-CZ"/>
              </w:rPr>
              <w:t xml:space="preserve">ěžité pomoci v mateřství rodiče a ruší </w:t>
            </w:r>
            <w:r w:rsidRPr="008957A5">
              <w:rPr>
                <w:rFonts w:eastAsia="Times New Roman" w:cs="Arial"/>
                <w:color w:val="000000"/>
                <w:szCs w:val="24"/>
                <w:lang w:eastAsia="cs-CZ"/>
              </w:rPr>
              <w:t>podmínku sledování docházky dítěte do předškolních zařízení.</w:t>
            </w:r>
          </w:p>
          <w:p w:rsidR="00670437" w:rsidRPr="008957A5" w:rsidRDefault="00670437" w:rsidP="00BE641A">
            <w:pPr>
              <w:spacing w:before="120" w:line="240" w:lineRule="auto"/>
              <w:rPr>
                <w:rFonts w:eastAsia="Times New Roman" w:cs="Arial"/>
                <w:color w:val="000000"/>
                <w:szCs w:val="24"/>
                <w:lang w:eastAsia="cs-CZ"/>
              </w:rPr>
            </w:pPr>
            <w:r w:rsidRPr="008957A5">
              <w:rPr>
                <w:rFonts w:eastAsia="Times New Roman" w:cs="Arial"/>
                <w:i/>
                <w:iCs/>
                <w:color w:val="000000"/>
                <w:szCs w:val="24"/>
                <w:u w:val="single"/>
                <w:lang w:eastAsia="cs-CZ"/>
              </w:rPr>
              <w:t>Nová dávka na bydlení</w:t>
            </w:r>
            <w:r w:rsidR="008957A5">
              <w:rPr>
                <w:rFonts w:eastAsia="Times New Roman" w:cs="Arial"/>
                <w:i/>
                <w:iCs/>
                <w:color w:val="000000"/>
                <w:szCs w:val="24"/>
                <w:u w:val="single"/>
                <w:lang w:eastAsia="cs-CZ"/>
              </w:rPr>
              <w:t xml:space="preserve"> </w:t>
            </w:r>
            <w:r w:rsidRPr="008957A5">
              <w:rPr>
                <w:rFonts w:eastAsia="Times New Roman" w:cs="Arial"/>
                <w:color w:val="000000"/>
                <w:szCs w:val="24"/>
                <w:lang w:eastAsia="cs-CZ"/>
              </w:rPr>
              <w:t xml:space="preserve">V rámci návrhu zákona o sociálním bydlení je navrhována nová úprava dávkové podpory bydlení. Nová dávka nahradí </w:t>
            </w:r>
            <w:r w:rsidR="00BE641A">
              <w:rPr>
                <w:rFonts w:eastAsia="Times New Roman" w:cs="Arial"/>
                <w:color w:val="000000"/>
                <w:szCs w:val="24"/>
                <w:lang w:eastAsia="cs-CZ"/>
              </w:rPr>
              <w:t>příspěvek na bydlení a doplatek na bydlení</w:t>
            </w:r>
            <w:r w:rsidRPr="008957A5">
              <w:rPr>
                <w:rFonts w:eastAsia="Times New Roman" w:cs="Arial"/>
                <w:color w:val="000000"/>
                <w:szCs w:val="24"/>
                <w:lang w:eastAsia="cs-CZ"/>
              </w:rPr>
              <w:t>, čímž dojde ke zjednodušení systému,</w:t>
            </w:r>
            <w:r w:rsidR="009E45E4">
              <w:rPr>
                <w:rFonts w:eastAsia="Times New Roman" w:cs="Arial"/>
                <w:color w:val="000000"/>
                <w:szCs w:val="24"/>
                <w:lang w:eastAsia="cs-CZ"/>
              </w:rPr>
              <w:t xml:space="preserve"> a</w:t>
            </w:r>
            <w:r w:rsidR="00BE641A">
              <w:rPr>
                <w:rFonts w:eastAsia="Times New Roman" w:cs="Arial"/>
                <w:color w:val="000000"/>
                <w:szCs w:val="24"/>
                <w:lang w:eastAsia="cs-CZ"/>
              </w:rPr>
              <w:t> </w:t>
            </w:r>
            <w:r w:rsidR="009E45E4">
              <w:rPr>
                <w:rFonts w:eastAsia="Times New Roman" w:cs="Arial"/>
                <w:color w:val="000000"/>
                <w:szCs w:val="24"/>
                <w:lang w:eastAsia="cs-CZ"/>
              </w:rPr>
              <w:t>zároveň obsahuje parametry k </w:t>
            </w:r>
            <w:r w:rsidRPr="008957A5">
              <w:rPr>
                <w:rFonts w:eastAsia="Times New Roman" w:cs="Arial"/>
                <w:color w:val="000000"/>
                <w:szCs w:val="24"/>
                <w:lang w:eastAsia="cs-CZ"/>
              </w:rPr>
              <w:t>větší adresnosti (např. testování aktivity, majetku a pohledávek žadatele, důraz na faktickou kvalitu bytu, do kterého je dávka žádána apod.)</w:t>
            </w:r>
          </w:p>
        </w:tc>
      </w:tr>
      <w:tr w:rsidR="006C69D7" w:rsidRPr="00670437" w:rsidTr="001C7F7C">
        <w:trPr>
          <w:gridBefore w:val="1"/>
          <w:wBefore w:w="127" w:type="dxa"/>
          <w:trHeight w:val="1676"/>
        </w:trPr>
        <w:tc>
          <w:tcPr>
            <w:tcW w:w="618" w:type="dxa"/>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531" w:type="dxa"/>
            <w:tcBorders>
              <w:top w:val="single" w:sz="4" w:space="0" w:color="auto"/>
              <w:left w:val="nil"/>
              <w:bottom w:val="single" w:sz="8" w:space="0" w:color="auto"/>
              <w:right w:val="single" w:sz="4" w:space="0" w:color="auto"/>
            </w:tcBorders>
            <w:shd w:val="clear" w:color="auto" w:fill="auto"/>
            <w:textDirection w:val="btLr"/>
            <w:vAlign w:val="center"/>
            <w:hideMark/>
          </w:tcPr>
          <w:p w:rsidR="00670437" w:rsidRPr="00670437" w:rsidRDefault="00670437" w:rsidP="00670437">
            <w:pPr>
              <w:spacing w:line="240" w:lineRule="auto"/>
              <w:jc w:val="center"/>
              <w:rPr>
                <w:rFonts w:eastAsia="Times New Roman" w:cs="Arial"/>
                <w:color w:val="000000"/>
                <w:szCs w:val="24"/>
                <w:lang w:eastAsia="cs-CZ"/>
              </w:rPr>
            </w:pPr>
            <w:r w:rsidRPr="00670437">
              <w:rPr>
                <w:rFonts w:eastAsia="Times New Roman" w:cs="Arial"/>
                <w:color w:val="000000"/>
                <w:szCs w:val="24"/>
                <w:lang w:eastAsia="cs-CZ"/>
              </w:rPr>
              <w:t>sledované období</w:t>
            </w:r>
          </w:p>
        </w:tc>
        <w:tc>
          <w:tcPr>
            <w:tcW w:w="12940" w:type="dxa"/>
            <w:gridSpan w:val="8"/>
            <w:tcBorders>
              <w:top w:val="single" w:sz="4" w:space="0" w:color="auto"/>
              <w:left w:val="nil"/>
              <w:bottom w:val="single" w:sz="8" w:space="0" w:color="auto"/>
              <w:right w:val="single" w:sz="8" w:space="0" w:color="000000"/>
            </w:tcBorders>
            <w:shd w:val="clear" w:color="auto" w:fill="auto"/>
            <w:vAlign w:val="center"/>
            <w:hideMark/>
          </w:tcPr>
          <w:p w:rsidR="00670437" w:rsidRPr="00670437" w:rsidRDefault="006C69D7" w:rsidP="006C69D7">
            <w:pPr>
              <w:spacing w:line="240" w:lineRule="auto"/>
              <w:rPr>
                <w:rFonts w:eastAsia="Times New Roman" w:cs="Arial"/>
                <w:color w:val="000000"/>
                <w:szCs w:val="24"/>
                <w:lang w:eastAsia="cs-CZ"/>
              </w:rPr>
            </w:pPr>
            <w:r>
              <w:rPr>
                <w:rFonts w:eastAsia="Times New Roman" w:cs="Arial"/>
                <w:color w:val="000000"/>
                <w:szCs w:val="24"/>
                <w:lang w:eastAsia="cs-CZ"/>
              </w:rPr>
              <w:t>V</w:t>
            </w:r>
            <w:r w:rsidR="00670437" w:rsidRPr="00670437">
              <w:rPr>
                <w:rFonts w:eastAsia="Times New Roman" w:cs="Arial"/>
                <w:color w:val="000000"/>
                <w:szCs w:val="24"/>
                <w:lang w:eastAsia="cs-CZ"/>
              </w:rPr>
              <w:t>ydána Instrukce č. 19/2016 "Minimální standard rozsahu sociální práce na Úřadu práce České republiky v kontextu zákona č. 111/2006 Sb., o pomoci v hmotné nouzi, ve znění pozdějších předpisů"</w:t>
            </w:r>
            <w:r>
              <w:rPr>
                <w:rFonts w:eastAsia="Times New Roman" w:cs="Arial"/>
                <w:color w:val="000000"/>
                <w:szCs w:val="24"/>
                <w:lang w:eastAsia="cs-CZ"/>
              </w:rPr>
              <w:t xml:space="preserve"> s účinností od</w:t>
            </w:r>
            <w:r w:rsidR="00670437" w:rsidRPr="00670437">
              <w:rPr>
                <w:rFonts w:eastAsia="Times New Roman" w:cs="Arial"/>
                <w:color w:val="000000"/>
                <w:szCs w:val="24"/>
                <w:lang w:eastAsia="cs-CZ"/>
              </w:rPr>
              <w:t xml:space="preserve"> 1. </w:t>
            </w:r>
            <w:r>
              <w:rPr>
                <w:rFonts w:eastAsia="Times New Roman" w:cs="Arial"/>
                <w:color w:val="000000"/>
                <w:szCs w:val="24"/>
                <w:lang w:eastAsia="cs-CZ"/>
              </w:rPr>
              <w:t xml:space="preserve">1. </w:t>
            </w:r>
            <w:r w:rsidR="00670437" w:rsidRPr="00670437">
              <w:rPr>
                <w:rFonts w:eastAsia="Times New Roman" w:cs="Arial"/>
                <w:color w:val="000000"/>
                <w:szCs w:val="24"/>
                <w:lang w:eastAsia="cs-CZ"/>
              </w:rPr>
              <w:t>2017.</w:t>
            </w:r>
            <w:r>
              <w:rPr>
                <w:rFonts w:eastAsia="Times New Roman" w:cs="Arial"/>
                <w:color w:val="000000"/>
                <w:szCs w:val="24"/>
                <w:lang w:eastAsia="cs-CZ"/>
              </w:rPr>
              <w:t xml:space="preserve"> O</w:t>
            </w:r>
            <w:r w:rsidR="00670437" w:rsidRPr="00670437">
              <w:rPr>
                <w:rFonts w:eastAsia="Times New Roman" w:cs="Arial"/>
                <w:color w:val="000000"/>
                <w:szCs w:val="24"/>
                <w:lang w:eastAsia="cs-CZ"/>
              </w:rPr>
              <w:t>bsahuje základní činnosti sociální práce, které pracovníci ÚP ČR vykonávají pro řešení situace osob v h</w:t>
            </w:r>
            <w:r>
              <w:rPr>
                <w:rFonts w:eastAsia="Times New Roman" w:cs="Arial"/>
                <w:color w:val="000000"/>
                <w:szCs w:val="24"/>
                <w:lang w:eastAsia="cs-CZ"/>
              </w:rPr>
              <w:t>motné nouzi (snížení rizika závi</w:t>
            </w:r>
            <w:r w:rsidR="00670437" w:rsidRPr="00670437">
              <w:rPr>
                <w:rFonts w:eastAsia="Times New Roman" w:cs="Arial"/>
                <w:color w:val="000000"/>
                <w:szCs w:val="24"/>
                <w:lang w:eastAsia="cs-CZ"/>
              </w:rPr>
              <w:t xml:space="preserve">slosti na dávkové podpoře a integrace do běžného života). Novela zákona č. 117/1995 </w:t>
            </w:r>
            <w:r w:rsidR="009E45E4">
              <w:rPr>
                <w:rFonts w:eastAsia="Times New Roman" w:cs="Arial"/>
                <w:color w:val="000000"/>
                <w:szCs w:val="24"/>
                <w:lang w:eastAsia="cs-CZ"/>
              </w:rPr>
              <w:t>Sb., (sněmovní tisk č. </w:t>
            </w:r>
            <w:r w:rsidR="00670437" w:rsidRPr="00670437">
              <w:rPr>
                <w:rFonts w:eastAsia="Times New Roman" w:cs="Arial"/>
                <w:color w:val="000000"/>
                <w:szCs w:val="24"/>
                <w:lang w:eastAsia="cs-CZ"/>
              </w:rPr>
              <w:t>854) je pr</w:t>
            </w:r>
            <w:r>
              <w:rPr>
                <w:rFonts w:eastAsia="Times New Roman" w:cs="Arial"/>
                <w:color w:val="000000"/>
                <w:szCs w:val="24"/>
                <w:lang w:eastAsia="cs-CZ"/>
              </w:rPr>
              <w:t>ojednáván v PS PČR ve 2. čtení, novela zákona č. 111/2006 Sb. (sněmovní</w:t>
            </w:r>
            <w:r w:rsidR="009E45E4">
              <w:rPr>
                <w:rFonts w:eastAsia="Times New Roman" w:cs="Arial"/>
                <w:color w:val="000000"/>
                <w:szCs w:val="24"/>
                <w:lang w:eastAsia="cs-CZ"/>
              </w:rPr>
              <w:t xml:space="preserve"> tisk 783) schválena v PS PČR a </w:t>
            </w:r>
            <w:r>
              <w:rPr>
                <w:rFonts w:eastAsia="Times New Roman" w:cs="Arial"/>
                <w:color w:val="000000"/>
                <w:szCs w:val="24"/>
                <w:lang w:eastAsia="cs-CZ"/>
              </w:rPr>
              <w:t>postoupena senátu (senátní tisk 59).</w:t>
            </w:r>
          </w:p>
        </w:tc>
      </w:tr>
      <w:tr w:rsidR="000718F9" w:rsidRPr="00670437" w:rsidTr="001C7F7C">
        <w:trPr>
          <w:trHeight w:val="285"/>
        </w:trPr>
        <w:tc>
          <w:tcPr>
            <w:tcW w:w="745" w:type="dxa"/>
            <w:gridSpan w:val="2"/>
            <w:tcBorders>
              <w:top w:val="single" w:sz="8" w:space="0" w:color="auto"/>
              <w:left w:val="single" w:sz="8" w:space="0" w:color="auto"/>
              <w:bottom w:val="single" w:sz="4" w:space="0" w:color="auto"/>
              <w:right w:val="nil"/>
            </w:tcBorders>
            <w:shd w:val="clear" w:color="000000" w:fill="DCE6F1"/>
            <w:noWrap/>
            <w:vAlign w:val="center"/>
            <w:hideMark/>
          </w:tcPr>
          <w:p w:rsidR="000718F9" w:rsidRPr="00670437" w:rsidRDefault="000718F9"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1.4</w:t>
            </w:r>
          </w:p>
        </w:tc>
        <w:tc>
          <w:tcPr>
            <w:tcW w:w="815" w:type="dxa"/>
            <w:gridSpan w:val="2"/>
            <w:tcBorders>
              <w:top w:val="single" w:sz="8" w:space="0" w:color="auto"/>
              <w:left w:val="single" w:sz="8" w:space="0" w:color="auto"/>
              <w:bottom w:val="single" w:sz="8" w:space="0" w:color="auto"/>
              <w:right w:val="nil"/>
            </w:tcBorders>
            <w:shd w:val="clear" w:color="auto" w:fill="auto"/>
            <w:noWrap/>
            <w:vAlign w:val="center"/>
            <w:hideMark/>
          </w:tcPr>
          <w:p w:rsidR="000718F9" w:rsidRPr="00670437" w:rsidRDefault="000718F9"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T:</w:t>
            </w:r>
          </w:p>
        </w:tc>
        <w:tc>
          <w:tcPr>
            <w:tcW w:w="1100" w:type="dxa"/>
            <w:tcBorders>
              <w:top w:val="single" w:sz="8" w:space="0" w:color="auto"/>
              <w:left w:val="nil"/>
              <w:bottom w:val="single" w:sz="8" w:space="0" w:color="auto"/>
              <w:right w:val="nil"/>
            </w:tcBorders>
            <w:shd w:val="clear" w:color="auto" w:fill="auto"/>
            <w:noWrap/>
            <w:vAlign w:val="center"/>
            <w:hideMark/>
          </w:tcPr>
          <w:p w:rsidR="000718F9" w:rsidRPr="00670437" w:rsidRDefault="000718F9"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2016</w:t>
            </w:r>
          </w:p>
        </w:tc>
        <w:tc>
          <w:tcPr>
            <w:tcW w:w="941" w:type="dxa"/>
            <w:tcBorders>
              <w:top w:val="single" w:sz="12" w:space="0" w:color="auto"/>
              <w:left w:val="single" w:sz="12" w:space="0" w:color="auto"/>
              <w:bottom w:val="single" w:sz="8" w:space="0" w:color="auto"/>
              <w:right w:val="nil"/>
            </w:tcBorders>
            <w:shd w:val="clear" w:color="auto" w:fill="auto"/>
            <w:noWrap/>
            <w:vAlign w:val="center"/>
            <w:hideMark/>
          </w:tcPr>
          <w:p w:rsidR="000718F9" w:rsidRPr="00670437" w:rsidRDefault="000718F9"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gesce:</w:t>
            </w:r>
          </w:p>
        </w:tc>
        <w:tc>
          <w:tcPr>
            <w:tcW w:w="1097" w:type="dxa"/>
            <w:tcBorders>
              <w:top w:val="single" w:sz="12" w:space="0" w:color="auto"/>
              <w:left w:val="nil"/>
              <w:bottom w:val="single" w:sz="8" w:space="0" w:color="auto"/>
              <w:right w:val="single" w:sz="8" w:space="0" w:color="auto"/>
            </w:tcBorders>
            <w:shd w:val="clear" w:color="auto" w:fill="auto"/>
            <w:noWrap/>
            <w:vAlign w:val="center"/>
            <w:hideMark/>
          </w:tcPr>
          <w:p w:rsidR="000718F9" w:rsidRPr="00670437" w:rsidRDefault="000718F9" w:rsidP="00670437">
            <w:pPr>
              <w:spacing w:line="240" w:lineRule="auto"/>
              <w:jc w:val="left"/>
              <w:rPr>
                <w:rFonts w:eastAsia="Times New Roman" w:cs="Arial"/>
                <w:b/>
                <w:bCs/>
                <w:color w:val="000000"/>
                <w:szCs w:val="24"/>
                <w:lang w:eastAsia="cs-CZ"/>
              </w:rPr>
            </w:pPr>
            <w:r w:rsidRPr="00670437">
              <w:rPr>
                <w:rFonts w:eastAsia="Times New Roman" w:cs="Arial"/>
                <w:b/>
                <w:bCs/>
                <w:color w:val="000000"/>
                <w:szCs w:val="24"/>
                <w:lang w:eastAsia="cs-CZ"/>
              </w:rPr>
              <w:t>MPSV</w:t>
            </w:r>
          </w:p>
        </w:tc>
        <w:tc>
          <w:tcPr>
            <w:tcW w:w="9518" w:type="dxa"/>
            <w:gridSpan w:val="4"/>
            <w:tcBorders>
              <w:left w:val="single" w:sz="8" w:space="0" w:color="auto"/>
              <w:bottom w:val="single" w:sz="8" w:space="0" w:color="auto"/>
            </w:tcBorders>
            <w:shd w:val="clear" w:color="auto" w:fill="auto"/>
            <w:noWrap/>
            <w:vAlign w:val="center"/>
          </w:tcPr>
          <w:p w:rsidR="000718F9" w:rsidRPr="00670437" w:rsidRDefault="000718F9" w:rsidP="00670437">
            <w:pPr>
              <w:spacing w:line="240" w:lineRule="auto"/>
              <w:jc w:val="right"/>
              <w:rPr>
                <w:rFonts w:eastAsia="Times New Roman" w:cs="Arial"/>
                <w:b/>
                <w:bCs/>
                <w:color w:val="000000"/>
                <w:szCs w:val="24"/>
                <w:lang w:eastAsia="cs-CZ"/>
              </w:rPr>
            </w:pPr>
          </w:p>
        </w:tc>
      </w:tr>
      <w:tr w:rsidR="000718F9" w:rsidRPr="00670437" w:rsidTr="001C7F7C">
        <w:trPr>
          <w:trHeight w:val="285"/>
        </w:trPr>
        <w:tc>
          <w:tcPr>
            <w:tcW w:w="745" w:type="dxa"/>
            <w:gridSpan w:val="2"/>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Příspěvek na podporu regionální mobility</w:t>
            </w:r>
          </w:p>
        </w:tc>
        <w:tc>
          <w:tcPr>
            <w:tcW w:w="1915" w:type="dxa"/>
            <w:gridSpan w:val="3"/>
            <w:tcBorders>
              <w:top w:val="single" w:sz="8" w:space="0" w:color="auto"/>
              <w:left w:val="nil"/>
              <w:bottom w:val="single" w:sz="8" w:space="0" w:color="auto"/>
            </w:tcBorders>
            <w:shd w:val="clear" w:color="auto" w:fill="auto"/>
            <w:noWrap/>
            <w:vAlign w:val="center"/>
            <w:hideMark/>
          </w:tcPr>
          <w:p w:rsidR="00670437" w:rsidRPr="00670437" w:rsidRDefault="00670437"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povaha:</w:t>
            </w:r>
          </w:p>
        </w:tc>
        <w:tc>
          <w:tcPr>
            <w:tcW w:w="941" w:type="dxa"/>
            <w:tcBorders>
              <w:top w:val="single" w:sz="8" w:space="0" w:color="auto"/>
              <w:bottom w:val="single" w:sz="8" w:space="0" w:color="auto"/>
              <w:right w:val="single" w:sz="8" w:space="0" w:color="auto"/>
            </w:tcBorders>
            <w:shd w:val="clear" w:color="auto" w:fill="auto"/>
            <w:noWrap/>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L+N</w:t>
            </w:r>
          </w:p>
        </w:tc>
        <w:tc>
          <w:tcPr>
            <w:tcW w:w="7715" w:type="dxa"/>
            <w:gridSpan w:val="3"/>
            <w:tcBorders>
              <w:top w:val="single" w:sz="8" w:space="0" w:color="auto"/>
              <w:left w:val="single" w:sz="8" w:space="0" w:color="auto"/>
              <w:right w:val="nil"/>
            </w:tcBorders>
            <w:shd w:val="clear" w:color="auto" w:fill="auto"/>
            <w:noWrap/>
            <w:vAlign w:val="center"/>
            <w:hideMark/>
          </w:tcPr>
          <w:p w:rsidR="00670437" w:rsidRPr="00670437" w:rsidRDefault="00670437"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Popis</w:t>
            </w:r>
          </w:p>
        </w:tc>
        <w:tc>
          <w:tcPr>
            <w:tcW w:w="1000" w:type="dxa"/>
            <w:tcBorders>
              <w:top w:val="single" w:sz="8" w:space="0" w:color="auto"/>
              <w:left w:val="nil"/>
              <w:right w:val="nil"/>
            </w:tcBorders>
            <w:shd w:val="clear" w:color="auto" w:fill="auto"/>
            <w:noWrap/>
            <w:vAlign w:val="center"/>
          </w:tcPr>
          <w:p w:rsidR="00670437" w:rsidRPr="00670437" w:rsidRDefault="00670437" w:rsidP="00670437">
            <w:pPr>
              <w:spacing w:line="240" w:lineRule="auto"/>
              <w:jc w:val="center"/>
              <w:rPr>
                <w:rFonts w:eastAsia="Times New Roman" w:cs="Arial"/>
                <w:b/>
                <w:bCs/>
                <w:color w:val="000000"/>
                <w:szCs w:val="24"/>
                <w:u w:val="single"/>
                <w:lang w:eastAsia="cs-CZ"/>
              </w:rPr>
            </w:pPr>
          </w:p>
        </w:tc>
        <w:tc>
          <w:tcPr>
            <w:tcW w:w="1900" w:type="dxa"/>
            <w:tcBorders>
              <w:top w:val="single" w:sz="8" w:space="0" w:color="auto"/>
              <w:left w:val="nil"/>
              <w:right w:val="single" w:sz="8" w:space="0" w:color="auto"/>
            </w:tcBorders>
            <w:shd w:val="clear" w:color="auto" w:fill="auto"/>
            <w:noWrap/>
            <w:vAlign w:val="center"/>
          </w:tcPr>
          <w:p w:rsidR="00670437" w:rsidRPr="00670437" w:rsidRDefault="00670437" w:rsidP="00670437">
            <w:pPr>
              <w:spacing w:line="240" w:lineRule="auto"/>
              <w:jc w:val="center"/>
              <w:rPr>
                <w:rFonts w:eastAsia="Times New Roman" w:cs="Arial"/>
                <w:b/>
                <w:bCs/>
                <w:color w:val="000000"/>
                <w:szCs w:val="24"/>
                <w:u w:val="single"/>
                <w:lang w:eastAsia="cs-CZ"/>
              </w:rPr>
            </w:pPr>
          </w:p>
        </w:tc>
      </w:tr>
      <w:tr w:rsidR="00670437" w:rsidRPr="00670437" w:rsidTr="001C7F7C">
        <w:trPr>
          <w:trHeight w:val="1892"/>
        </w:trPr>
        <w:tc>
          <w:tcPr>
            <w:tcW w:w="745" w:type="dxa"/>
            <w:gridSpan w:val="2"/>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13471" w:type="dxa"/>
            <w:gridSpan w:val="9"/>
            <w:tcBorders>
              <w:top w:val="nil"/>
              <w:left w:val="nil"/>
              <w:bottom w:val="double" w:sz="6" w:space="0" w:color="auto"/>
              <w:right w:val="single" w:sz="8" w:space="0" w:color="000000"/>
            </w:tcBorders>
            <w:shd w:val="clear" w:color="auto" w:fill="auto"/>
            <w:hideMark/>
          </w:tcPr>
          <w:p w:rsidR="00670437" w:rsidRPr="00670437" w:rsidRDefault="00670437" w:rsidP="00057D4A">
            <w:pPr>
              <w:spacing w:before="120" w:line="240" w:lineRule="auto"/>
              <w:rPr>
                <w:rFonts w:eastAsia="Times New Roman" w:cs="Arial"/>
                <w:color w:val="000000"/>
                <w:szCs w:val="24"/>
                <w:lang w:eastAsia="cs-CZ"/>
              </w:rPr>
            </w:pPr>
            <w:r w:rsidRPr="00670437">
              <w:rPr>
                <w:rFonts w:eastAsia="Times New Roman" w:cs="Arial"/>
                <w:color w:val="000000"/>
                <w:szCs w:val="24"/>
                <w:lang w:eastAsia="cs-CZ"/>
              </w:rPr>
              <w:t>V souladu s Akčním plánem vlády na podporu hospodářského růstu a zaměstnanosti připraví MPSV návrh nového nástroje aktivní politiky zaměstnanosti a jeho pilotní ověření</w:t>
            </w:r>
            <w:r w:rsidR="00057D4A">
              <w:rPr>
                <w:rFonts w:eastAsia="Times New Roman" w:cs="Arial"/>
                <w:color w:val="000000"/>
                <w:szCs w:val="24"/>
                <w:lang w:eastAsia="cs-CZ"/>
              </w:rPr>
              <w:t xml:space="preserve">. </w:t>
            </w:r>
            <w:proofErr w:type="spellStart"/>
            <w:r w:rsidR="00057D4A">
              <w:rPr>
                <w:rFonts w:eastAsia="Times New Roman" w:cs="Arial"/>
                <w:color w:val="000000"/>
                <w:szCs w:val="24"/>
                <w:lang w:eastAsia="cs-CZ"/>
              </w:rPr>
              <w:t>UoZ</w:t>
            </w:r>
            <w:proofErr w:type="spellEnd"/>
            <w:r w:rsidRPr="00670437">
              <w:rPr>
                <w:rFonts w:eastAsia="Times New Roman" w:cs="Arial"/>
                <w:color w:val="000000"/>
                <w:szCs w:val="24"/>
                <w:lang w:eastAsia="cs-CZ"/>
              </w:rPr>
              <w:t>, kteří si naleznou pracovní uplatnění mimo místo svého bydliště, bude poskytován v závislosti na vzdálenosti dojížďky finanční příspěvek. Příspěvek bude paušální, podpořená osoba jej bude moci využít na úhradu jak nákladů za dopravu, tak dalších nákladů souvisejících s dojížďkou do zaměstnání (či přestěhováním).</w:t>
            </w:r>
            <w:r w:rsidR="00057D4A">
              <w:rPr>
                <w:rFonts w:eastAsia="Times New Roman" w:cs="Arial"/>
                <w:color w:val="000000"/>
                <w:szCs w:val="24"/>
                <w:lang w:eastAsia="cs-CZ"/>
              </w:rPr>
              <w:t xml:space="preserve"> </w:t>
            </w:r>
            <w:r w:rsidRPr="00670437">
              <w:rPr>
                <w:rFonts w:eastAsia="Times New Roman" w:cs="Arial"/>
                <w:color w:val="000000"/>
                <w:szCs w:val="24"/>
                <w:lang w:eastAsia="cs-CZ"/>
              </w:rPr>
              <w:t>Poskytování příspěvku bylo pilotně zahájeno v dubnu 2016. Analyzována je možnost poskytovat příspěvek na přestěhování za prací.</w:t>
            </w:r>
          </w:p>
        </w:tc>
      </w:tr>
      <w:tr w:rsidR="00EE055B" w:rsidRPr="00670437" w:rsidTr="009B7658">
        <w:trPr>
          <w:trHeight w:val="285"/>
        </w:trPr>
        <w:tc>
          <w:tcPr>
            <w:tcW w:w="745" w:type="dxa"/>
            <w:gridSpan w:val="2"/>
            <w:vMerge/>
            <w:tcBorders>
              <w:top w:val="nil"/>
              <w:left w:val="single" w:sz="8" w:space="0" w:color="auto"/>
              <w:bottom w:val="single" w:sz="8" w:space="0" w:color="000000"/>
              <w:right w:val="double" w:sz="6" w:space="0" w:color="auto"/>
            </w:tcBorders>
            <w:vAlign w:val="center"/>
            <w:hideMark/>
          </w:tcPr>
          <w:p w:rsidR="00EE055B" w:rsidRPr="00670437" w:rsidRDefault="00EE055B" w:rsidP="00670437">
            <w:pPr>
              <w:spacing w:line="240" w:lineRule="auto"/>
              <w:jc w:val="left"/>
              <w:rPr>
                <w:rFonts w:eastAsia="Times New Roman" w:cs="Arial"/>
                <w:b/>
                <w:bCs/>
                <w:color w:val="000000"/>
                <w:szCs w:val="24"/>
                <w:lang w:eastAsia="cs-CZ"/>
              </w:rPr>
            </w:pPr>
          </w:p>
        </w:tc>
        <w:tc>
          <w:tcPr>
            <w:tcW w:w="2856" w:type="dxa"/>
            <w:gridSpan w:val="4"/>
            <w:tcBorders>
              <w:top w:val="double" w:sz="6" w:space="0" w:color="auto"/>
              <w:left w:val="double" w:sz="6" w:space="0" w:color="auto"/>
              <w:bottom w:val="double" w:sz="6" w:space="0" w:color="auto"/>
              <w:right w:val="double" w:sz="6" w:space="0" w:color="auto"/>
            </w:tcBorders>
            <w:shd w:val="clear" w:color="000000" w:fill="D8E4BC"/>
            <w:noWrap/>
            <w:vAlign w:val="center"/>
          </w:tcPr>
          <w:p w:rsidR="00EE055B" w:rsidRPr="00670437" w:rsidRDefault="00EE055B" w:rsidP="00EE055B">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Průběžně plněno</w:t>
            </w:r>
          </w:p>
        </w:tc>
        <w:tc>
          <w:tcPr>
            <w:tcW w:w="7715" w:type="dxa"/>
            <w:gridSpan w:val="3"/>
            <w:tcBorders>
              <w:top w:val="double" w:sz="6" w:space="0" w:color="auto"/>
              <w:left w:val="double" w:sz="6" w:space="0" w:color="auto"/>
              <w:bottom w:val="nil"/>
              <w:right w:val="nil"/>
            </w:tcBorders>
            <w:shd w:val="clear" w:color="auto" w:fill="auto"/>
            <w:vAlign w:val="center"/>
            <w:hideMark/>
          </w:tcPr>
          <w:p w:rsidR="00EE055B" w:rsidRPr="00670437" w:rsidRDefault="00EE055B"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Plnění</w:t>
            </w:r>
          </w:p>
        </w:tc>
        <w:tc>
          <w:tcPr>
            <w:tcW w:w="1000" w:type="dxa"/>
            <w:tcBorders>
              <w:top w:val="nil"/>
              <w:left w:val="single" w:sz="8" w:space="0" w:color="auto"/>
              <w:bottom w:val="single" w:sz="8" w:space="0" w:color="auto"/>
              <w:right w:val="nil"/>
            </w:tcBorders>
            <w:shd w:val="clear" w:color="auto" w:fill="auto"/>
            <w:vAlign w:val="center"/>
            <w:hideMark/>
          </w:tcPr>
          <w:p w:rsidR="00EE055B" w:rsidRPr="00670437" w:rsidRDefault="00EE055B" w:rsidP="00670437">
            <w:pPr>
              <w:spacing w:line="240" w:lineRule="auto"/>
              <w:jc w:val="right"/>
              <w:rPr>
                <w:rFonts w:eastAsia="Times New Roman" w:cs="Arial"/>
                <w:color w:val="000000"/>
                <w:szCs w:val="24"/>
                <w:lang w:eastAsia="cs-CZ"/>
              </w:rPr>
            </w:pPr>
            <w:r w:rsidRPr="00670437">
              <w:rPr>
                <w:rFonts w:eastAsia="Times New Roman" w:cs="Arial"/>
                <w:color w:val="000000"/>
                <w:szCs w:val="24"/>
                <w:lang w:eastAsia="cs-CZ"/>
              </w:rPr>
              <w:t>k datu</w:t>
            </w:r>
          </w:p>
        </w:tc>
        <w:tc>
          <w:tcPr>
            <w:tcW w:w="1900" w:type="dxa"/>
            <w:tcBorders>
              <w:top w:val="nil"/>
              <w:left w:val="nil"/>
              <w:bottom w:val="single" w:sz="8" w:space="0" w:color="auto"/>
              <w:right w:val="single" w:sz="8" w:space="0" w:color="auto"/>
            </w:tcBorders>
            <w:shd w:val="clear" w:color="auto" w:fill="auto"/>
            <w:vAlign w:val="center"/>
            <w:hideMark/>
          </w:tcPr>
          <w:p w:rsidR="00EE055B" w:rsidRPr="00670437" w:rsidRDefault="00EE055B" w:rsidP="00DA4EE1">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31.</w:t>
            </w:r>
            <w:r>
              <w:rPr>
                <w:rFonts w:eastAsia="Times New Roman" w:cs="Arial"/>
                <w:b/>
                <w:bCs/>
                <w:color w:val="000000"/>
                <w:szCs w:val="24"/>
                <w:u w:val="single"/>
                <w:lang w:eastAsia="cs-CZ"/>
              </w:rPr>
              <w:t xml:space="preserve"> </w:t>
            </w:r>
            <w:r w:rsidRPr="00670437">
              <w:rPr>
                <w:rFonts w:eastAsia="Times New Roman" w:cs="Arial"/>
                <w:b/>
                <w:bCs/>
                <w:color w:val="000000"/>
                <w:szCs w:val="24"/>
                <w:u w:val="single"/>
                <w:lang w:eastAsia="cs-CZ"/>
              </w:rPr>
              <w:t>1</w:t>
            </w:r>
            <w:r w:rsidR="00451647">
              <w:rPr>
                <w:rFonts w:eastAsia="Times New Roman" w:cs="Arial"/>
                <w:b/>
                <w:bCs/>
                <w:color w:val="000000"/>
                <w:szCs w:val="24"/>
                <w:u w:val="single"/>
                <w:lang w:eastAsia="cs-CZ"/>
              </w:rPr>
              <w:t>2</w:t>
            </w:r>
            <w:r w:rsidRPr="00670437">
              <w:rPr>
                <w:rFonts w:eastAsia="Times New Roman" w:cs="Arial"/>
                <w:b/>
                <w:bCs/>
                <w:color w:val="000000"/>
                <w:szCs w:val="24"/>
                <w:u w:val="single"/>
                <w:lang w:eastAsia="cs-CZ"/>
              </w:rPr>
              <w:t>.</w:t>
            </w:r>
            <w:r>
              <w:rPr>
                <w:rFonts w:eastAsia="Times New Roman" w:cs="Arial"/>
                <w:b/>
                <w:bCs/>
                <w:color w:val="000000"/>
                <w:szCs w:val="24"/>
                <w:u w:val="single"/>
                <w:lang w:eastAsia="cs-CZ"/>
              </w:rPr>
              <w:t xml:space="preserve"> </w:t>
            </w:r>
            <w:r w:rsidRPr="00670437">
              <w:rPr>
                <w:rFonts w:eastAsia="Times New Roman" w:cs="Arial"/>
                <w:b/>
                <w:bCs/>
                <w:color w:val="000000"/>
                <w:szCs w:val="24"/>
                <w:u w:val="single"/>
                <w:lang w:eastAsia="cs-CZ"/>
              </w:rPr>
              <w:t>201</w:t>
            </w:r>
            <w:r w:rsidR="00451647">
              <w:rPr>
                <w:rFonts w:eastAsia="Times New Roman" w:cs="Arial"/>
                <w:b/>
                <w:bCs/>
                <w:color w:val="000000"/>
                <w:szCs w:val="24"/>
                <w:u w:val="single"/>
                <w:lang w:eastAsia="cs-CZ"/>
              </w:rPr>
              <w:t>6</w:t>
            </w:r>
          </w:p>
        </w:tc>
      </w:tr>
      <w:tr w:rsidR="00670437" w:rsidRPr="00670437" w:rsidTr="001C7F7C">
        <w:trPr>
          <w:trHeight w:val="3032"/>
        </w:trPr>
        <w:tc>
          <w:tcPr>
            <w:tcW w:w="745" w:type="dxa"/>
            <w:gridSpan w:val="2"/>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531" w:type="dxa"/>
            <w:tcBorders>
              <w:top w:val="nil"/>
              <w:left w:val="nil"/>
              <w:bottom w:val="nil"/>
              <w:right w:val="single" w:sz="4" w:space="0" w:color="auto"/>
            </w:tcBorders>
            <w:shd w:val="clear" w:color="auto" w:fill="auto"/>
            <w:textDirection w:val="btLr"/>
            <w:vAlign w:val="center"/>
            <w:hideMark/>
          </w:tcPr>
          <w:p w:rsidR="00670437" w:rsidRPr="00670437" w:rsidRDefault="00670437" w:rsidP="00670437">
            <w:pPr>
              <w:spacing w:line="240" w:lineRule="auto"/>
              <w:jc w:val="center"/>
              <w:rPr>
                <w:rFonts w:eastAsia="Times New Roman" w:cs="Arial"/>
                <w:color w:val="000000"/>
                <w:szCs w:val="24"/>
                <w:lang w:eastAsia="cs-CZ"/>
              </w:rPr>
            </w:pPr>
            <w:r w:rsidRPr="00670437">
              <w:rPr>
                <w:rFonts w:eastAsia="Times New Roman" w:cs="Arial"/>
                <w:color w:val="000000"/>
                <w:szCs w:val="24"/>
                <w:lang w:eastAsia="cs-CZ"/>
              </w:rPr>
              <w:t xml:space="preserve">předchozí </w:t>
            </w:r>
          </w:p>
        </w:tc>
        <w:tc>
          <w:tcPr>
            <w:tcW w:w="12940" w:type="dxa"/>
            <w:gridSpan w:val="8"/>
            <w:tcBorders>
              <w:top w:val="nil"/>
              <w:left w:val="nil"/>
              <w:bottom w:val="nil"/>
              <w:right w:val="single" w:sz="8" w:space="0" w:color="000000"/>
            </w:tcBorders>
            <w:shd w:val="clear" w:color="auto" w:fill="auto"/>
            <w:hideMark/>
          </w:tcPr>
          <w:p w:rsidR="00670437" w:rsidRPr="00670437" w:rsidRDefault="00670437" w:rsidP="00057D4A">
            <w:pPr>
              <w:spacing w:before="120" w:line="240" w:lineRule="auto"/>
              <w:rPr>
                <w:rFonts w:eastAsia="Times New Roman" w:cs="Arial"/>
                <w:color w:val="000000"/>
                <w:szCs w:val="24"/>
                <w:lang w:eastAsia="cs-CZ"/>
              </w:rPr>
            </w:pPr>
            <w:r w:rsidRPr="00670437">
              <w:rPr>
                <w:rFonts w:eastAsia="Times New Roman" w:cs="Arial"/>
                <w:color w:val="000000"/>
                <w:szCs w:val="24"/>
                <w:lang w:eastAsia="cs-CZ"/>
              </w:rPr>
              <w:t xml:space="preserve">V dubnu 2016 bylo zahájeno pilotní ověřování nového nástroje APZ „Příspěvek na podporu regionální mobility“. Působnost opatření byla postupně rozšířena na </w:t>
            </w:r>
            <w:r w:rsidR="00057D4A">
              <w:rPr>
                <w:rFonts w:eastAsia="Times New Roman" w:cs="Arial"/>
                <w:color w:val="000000"/>
                <w:szCs w:val="24"/>
                <w:lang w:eastAsia="cs-CZ"/>
              </w:rPr>
              <w:t>region KHK, KVK, ULK, JMK, OLK, MSK</w:t>
            </w:r>
            <w:r w:rsidRPr="00670437">
              <w:rPr>
                <w:rFonts w:eastAsia="Times New Roman" w:cs="Arial"/>
                <w:color w:val="000000"/>
                <w:szCs w:val="24"/>
                <w:lang w:eastAsia="cs-CZ"/>
              </w:rPr>
              <w:t>. Podporovaným osobám je poskytován příspěvek ve výši 1 000 Kč až 3 500 Kč měsíčně</w:t>
            </w:r>
            <w:r w:rsidR="00011F37">
              <w:rPr>
                <w:rFonts w:eastAsia="Times New Roman" w:cs="Arial"/>
                <w:color w:val="000000"/>
                <w:szCs w:val="24"/>
                <w:lang w:eastAsia="cs-CZ"/>
              </w:rPr>
              <w:t>,</w:t>
            </w:r>
            <w:r w:rsidRPr="00670437">
              <w:rPr>
                <w:rFonts w:eastAsia="Times New Roman" w:cs="Arial"/>
                <w:color w:val="000000"/>
                <w:szCs w:val="24"/>
                <w:lang w:eastAsia="cs-CZ"/>
              </w:rPr>
              <w:t xml:space="preserve"> a to až po dobu 12 měsíců podle vzdálenosti místa výkonu práce od místa bydliště. Příspěvek je poskytován paušálně.</w:t>
            </w:r>
            <w:r w:rsidR="00057D4A">
              <w:rPr>
                <w:rFonts w:eastAsia="Times New Roman" w:cs="Arial"/>
                <w:color w:val="000000"/>
                <w:szCs w:val="24"/>
                <w:lang w:eastAsia="cs-CZ"/>
              </w:rPr>
              <w:t xml:space="preserve"> </w:t>
            </w:r>
            <w:r w:rsidRPr="00670437">
              <w:rPr>
                <w:rFonts w:eastAsia="Times New Roman" w:cs="Arial"/>
                <w:color w:val="000000"/>
                <w:szCs w:val="24"/>
                <w:lang w:eastAsia="cs-CZ"/>
              </w:rPr>
              <w:t xml:space="preserve">Od dubna do konce září 2016 </w:t>
            </w:r>
            <w:r w:rsidR="00057D4A">
              <w:rPr>
                <w:rFonts w:eastAsia="Times New Roman" w:cs="Arial"/>
                <w:color w:val="000000"/>
                <w:szCs w:val="24"/>
                <w:lang w:eastAsia="cs-CZ"/>
              </w:rPr>
              <w:t>žádalo o příspěvek</w:t>
            </w:r>
            <w:r w:rsidRPr="00670437">
              <w:rPr>
                <w:rFonts w:eastAsia="Times New Roman" w:cs="Arial"/>
                <w:color w:val="000000"/>
                <w:szCs w:val="24"/>
                <w:lang w:eastAsia="cs-CZ"/>
              </w:rPr>
              <w:t xml:space="preserve"> 555 zájemců, nejvíce v </w:t>
            </w:r>
            <w:r w:rsidR="00057D4A">
              <w:rPr>
                <w:rFonts w:eastAsia="Times New Roman" w:cs="Arial"/>
                <w:color w:val="000000"/>
                <w:szCs w:val="24"/>
                <w:lang w:eastAsia="cs-CZ"/>
              </w:rPr>
              <w:t>MSK</w:t>
            </w:r>
            <w:r w:rsidRPr="00670437">
              <w:rPr>
                <w:rFonts w:eastAsia="Times New Roman" w:cs="Arial"/>
                <w:color w:val="000000"/>
                <w:szCs w:val="24"/>
                <w:lang w:eastAsia="cs-CZ"/>
              </w:rPr>
              <w:t xml:space="preserve"> (192), </w:t>
            </w:r>
            <w:r w:rsidR="00057D4A">
              <w:rPr>
                <w:rFonts w:eastAsia="Times New Roman" w:cs="Arial"/>
                <w:color w:val="000000"/>
                <w:szCs w:val="24"/>
                <w:lang w:eastAsia="cs-CZ"/>
              </w:rPr>
              <w:t>OLK</w:t>
            </w:r>
            <w:r w:rsidRPr="00670437">
              <w:rPr>
                <w:rFonts w:eastAsia="Times New Roman" w:cs="Arial"/>
                <w:color w:val="000000"/>
                <w:szCs w:val="24"/>
                <w:lang w:eastAsia="cs-CZ"/>
              </w:rPr>
              <w:t xml:space="preserve"> (188) a </w:t>
            </w:r>
            <w:r w:rsidR="00057D4A">
              <w:rPr>
                <w:rFonts w:eastAsia="Times New Roman" w:cs="Arial"/>
                <w:color w:val="000000"/>
                <w:szCs w:val="24"/>
                <w:lang w:eastAsia="cs-CZ"/>
              </w:rPr>
              <w:t>JMK</w:t>
            </w:r>
            <w:r w:rsidRPr="00670437">
              <w:rPr>
                <w:rFonts w:eastAsia="Times New Roman" w:cs="Arial"/>
                <w:color w:val="000000"/>
                <w:szCs w:val="24"/>
                <w:lang w:eastAsia="cs-CZ"/>
              </w:rPr>
              <w:t xml:space="preserve"> (66). Podpoření uchazeči nejčastěji dojíždí do práce 10 – 25 km.</w:t>
            </w:r>
            <w:r w:rsidR="00057D4A">
              <w:rPr>
                <w:rFonts w:eastAsia="Times New Roman" w:cs="Arial"/>
                <w:color w:val="000000"/>
                <w:szCs w:val="24"/>
                <w:lang w:eastAsia="cs-CZ"/>
              </w:rPr>
              <w:t xml:space="preserve"> </w:t>
            </w:r>
            <w:r w:rsidRPr="00670437">
              <w:rPr>
                <w:rFonts w:eastAsia="Times New Roman" w:cs="Arial"/>
                <w:color w:val="000000"/>
                <w:szCs w:val="24"/>
                <w:lang w:eastAsia="cs-CZ"/>
              </w:rPr>
              <w:t>Ke zvýšení informovanosti o možnosti využití nástroje byly pro uchazeče o zaměstnání vytištěny informační letáky a celkově prohloubena informační a poradenská činn</w:t>
            </w:r>
            <w:r w:rsidR="00057D4A">
              <w:rPr>
                <w:rFonts w:eastAsia="Times New Roman" w:cs="Arial"/>
                <w:color w:val="000000"/>
                <w:szCs w:val="24"/>
                <w:lang w:eastAsia="cs-CZ"/>
              </w:rPr>
              <w:t xml:space="preserve">ost směrem k cílovým skupinám. </w:t>
            </w:r>
            <w:r w:rsidRPr="00670437">
              <w:rPr>
                <w:rFonts w:eastAsia="Times New Roman" w:cs="Arial"/>
                <w:color w:val="000000"/>
                <w:szCs w:val="24"/>
                <w:lang w:eastAsia="cs-CZ"/>
              </w:rPr>
              <w:t>MPSV připravilo návrh na rozšíření „příspěvku na podporu regionální mobility“ na všechny kraje ČR a o</w:t>
            </w:r>
            <w:r w:rsidR="00057D4A">
              <w:rPr>
                <w:rFonts w:eastAsia="Times New Roman" w:cs="Arial"/>
                <w:color w:val="000000"/>
                <w:szCs w:val="24"/>
                <w:lang w:eastAsia="cs-CZ"/>
              </w:rPr>
              <w:t xml:space="preserve"> </w:t>
            </w:r>
            <w:r w:rsidRPr="00670437">
              <w:rPr>
                <w:rFonts w:eastAsia="Times New Roman" w:cs="Arial"/>
                <w:color w:val="000000"/>
                <w:szCs w:val="24"/>
                <w:lang w:eastAsia="cs-CZ"/>
              </w:rPr>
              <w:t xml:space="preserve">příspěvek na přestěhování. V případě, že </w:t>
            </w:r>
            <w:proofErr w:type="spellStart"/>
            <w:r w:rsidR="00057D4A">
              <w:rPr>
                <w:rFonts w:eastAsia="Times New Roman" w:cs="Arial"/>
                <w:color w:val="000000"/>
                <w:szCs w:val="24"/>
                <w:lang w:eastAsia="cs-CZ"/>
              </w:rPr>
              <w:t>UoZ</w:t>
            </w:r>
            <w:proofErr w:type="spellEnd"/>
            <w:r w:rsidRPr="00670437">
              <w:rPr>
                <w:rFonts w:eastAsia="Times New Roman" w:cs="Arial"/>
                <w:color w:val="000000"/>
                <w:szCs w:val="24"/>
                <w:lang w:eastAsia="cs-CZ"/>
              </w:rPr>
              <w:t xml:space="preserve"> se přestěhuje za prací na vzdálenost přesahující 50 km, bude moci obdržet jednorázový paušální příspěvek ve výši 50 000 Kč. Opatření je realizováno od 1. 11. 2016.</w:t>
            </w:r>
          </w:p>
        </w:tc>
      </w:tr>
      <w:tr w:rsidR="00670437" w:rsidRPr="00670437" w:rsidTr="001C7F7C">
        <w:trPr>
          <w:trHeight w:val="2280"/>
        </w:trPr>
        <w:tc>
          <w:tcPr>
            <w:tcW w:w="745" w:type="dxa"/>
            <w:gridSpan w:val="2"/>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531" w:type="dxa"/>
            <w:tcBorders>
              <w:top w:val="single" w:sz="4" w:space="0" w:color="auto"/>
              <w:left w:val="nil"/>
              <w:bottom w:val="single" w:sz="8" w:space="0" w:color="auto"/>
              <w:right w:val="single" w:sz="4" w:space="0" w:color="auto"/>
            </w:tcBorders>
            <w:shd w:val="clear" w:color="auto" w:fill="auto"/>
            <w:textDirection w:val="btLr"/>
            <w:vAlign w:val="center"/>
            <w:hideMark/>
          </w:tcPr>
          <w:p w:rsidR="00670437" w:rsidRPr="00670437" w:rsidRDefault="00670437" w:rsidP="00670437">
            <w:pPr>
              <w:spacing w:line="240" w:lineRule="auto"/>
              <w:jc w:val="center"/>
              <w:rPr>
                <w:rFonts w:eastAsia="Times New Roman" w:cs="Arial"/>
                <w:color w:val="000000"/>
                <w:szCs w:val="24"/>
                <w:lang w:eastAsia="cs-CZ"/>
              </w:rPr>
            </w:pPr>
            <w:r w:rsidRPr="00670437">
              <w:rPr>
                <w:rFonts w:eastAsia="Times New Roman" w:cs="Arial"/>
                <w:color w:val="000000"/>
                <w:szCs w:val="24"/>
                <w:lang w:eastAsia="cs-CZ"/>
              </w:rPr>
              <w:t>sledované období</w:t>
            </w:r>
          </w:p>
        </w:tc>
        <w:tc>
          <w:tcPr>
            <w:tcW w:w="12940" w:type="dxa"/>
            <w:gridSpan w:val="8"/>
            <w:tcBorders>
              <w:top w:val="single" w:sz="4" w:space="0" w:color="auto"/>
              <w:left w:val="nil"/>
              <w:bottom w:val="single" w:sz="8" w:space="0" w:color="auto"/>
              <w:right w:val="single" w:sz="8" w:space="0" w:color="000000"/>
            </w:tcBorders>
            <w:shd w:val="clear" w:color="auto" w:fill="auto"/>
            <w:vAlign w:val="center"/>
            <w:hideMark/>
          </w:tcPr>
          <w:p w:rsidR="00670437" w:rsidRPr="00670437" w:rsidRDefault="00670437" w:rsidP="0014530E">
            <w:pPr>
              <w:spacing w:line="240" w:lineRule="auto"/>
              <w:rPr>
                <w:rFonts w:eastAsia="Times New Roman" w:cs="Arial"/>
                <w:color w:val="000000"/>
                <w:szCs w:val="24"/>
                <w:lang w:eastAsia="cs-CZ"/>
              </w:rPr>
            </w:pPr>
            <w:r w:rsidRPr="00670437">
              <w:rPr>
                <w:rFonts w:eastAsia="Times New Roman" w:cs="Arial"/>
                <w:color w:val="000000"/>
                <w:szCs w:val="24"/>
                <w:lang w:eastAsia="cs-CZ"/>
              </w:rPr>
              <w:t xml:space="preserve">Od listopadu 2016 rozšířeno poskytování příspěvku na území celé </w:t>
            </w:r>
            <w:r w:rsidR="0014530E">
              <w:rPr>
                <w:rFonts w:eastAsia="Times New Roman" w:cs="Arial"/>
                <w:color w:val="000000"/>
                <w:szCs w:val="24"/>
                <w:lang w:eastAsia="cs-CZ"/>
              </w:rPr>
              <w:t>ČR</w:t>
            </w:r>
            <w:r w:rsidRPr="00670437">
              <w:rPr>
                <w:rFonts w:eastAsia="Times New Roman" w:cs="Arial"/>
                <w:color w:val="000000"/>
                <w:szCs w:val="24"/>
                <w:lang w:eastAsia="cs-CZ"/>
              </w:rPr>
              <w:t>. Zároveň zaveden nový prvek - příspěvek na přestěhování. Ten je možné poskytnout osobě, kter</w:t>
            </w:r>
            <w:r w:rsidR="00BE641A">
              <w:rPr>
                <w:rFonts w:eastAsia="Times New Roman" w:cs="Arial"/>
                <w:color w:val="000000"/>
                <w:szCs w:val="24"/>
                <w:lang w:eastAsia="cs-CZ"/>
              </w:rPr>
              <w:t>á</w:t>
            </w:r>
            <w:r w:rsidRPr="00670437">
              <w:rPr>
                <w:rFonts w:eastAsia="Times New Roman" w:cs="Arial"/>
                <w:color w:val="000000"/>
                <w:szCs w:val="24"/>
                <w:lang w:eastAsia="cs-CZ"/>
              </w:rPr>
              <w:t xml:space="preserve"> se v souvislosti s přijetím zaměstnání mimo místo svého bydliště přestěhuje na vzdálenost alespoň 50 km. Zároveň se jedná o osobu, která byla v období 6 měsíců před podáním žádosti buď </w:t>
            </w:r>
            <w:proofErr w:type="spellStart"/>
            <w:r w:rsidR="0014530E">
              <w:rPr>
                <w:rFonts w:eastAsia="Times New Roman" w:cs="Arial"/>
                <w:color w:val="000000"/>
                <w:szCs w:val="24"/>
                <w:lang w:eastAsia="cs-CZ"/>
              </w:rPr>
              <w:t>UoZ</w:t>
            </w:r>
            <w:proofErr w:type="spellEnd"/>
            <w:r w:rsidRPr="00670437">
              <w:rPr>
                <w:rFonts w:eastAsia="Times New Roman" w:cs="Arial"/>
                <w:color w:val="000000"/>
                <w:szCs w:val="24"/>
                <w:lang w:eastAsia="cs-CZ"/>
              </w:rPr>
              <w:t xml:space="preserve"> nebo zájemcem o zaměstnání ohroženým ztrátou zaměstnání v důsledku zaměstnavatelem ohlášeného hromadného prop</w:t>
            </w:r>
            <w:r w:rsidR="0014530E">
              <w:rPr>
                <w:rFonts w:eastAsia="Times New Roman" w:cs="Arial"/>
                <w:color w:val="000000"/>
                <w:szCs w:val="24"/>
                <w:lang w:eastAsia="cs-CZ"/>
              </w:rPr>
              <w:t>o</w:t>
            </w:r>
            <w:r w:rsidRPr="00670437">
              <w:rPr>
                <w:rFonts w:eastAsia="Times New Roman" w:cs="Arial"/>
                <w:color w:val="000000"/>
                <w:szCs w:val="24"/>
                <w:lang w:eastAsia="cs-CZ"/>
              </w:rPr>
              <w:t>uštění. Podmínkou poskytnutí příspěvku je existence pracovního poměru na dobu alespoň 6 měsíců a závazek podpořené osoby setrvat v zaměstnání po dobu dalších 6 měsíců. Příspěvek je poskytován paušálně, jednorázově, ve výši 50 000 Kč.</w:t>
            </w:r>
            <w:r w:rsidR="0014530E">
              <w:rPr>
                <w:rFonts w:eastAsia="Times New Roman" w:cs="Arial"/>
                <w:color w:val="000000"/>
                <w:szCs w:val="24"/>
                <w:lang w:eastAsia="cs-CZ"/>
              </w:rPr>
              <w:t xml:space="preserve"> </w:t>
            </w:r>
            <w:r w:rsidRPr="00670437">
              <w:rPr>
                <w:rFonts w:eastAsia="Times New Roman" w:cs="Arial"/>
                <w:color w:val="000000"/>
                <w:szCs w:val="24"/>
                <w:lang w:eastAsia="cs-CZ"/>
              </w:rPr>
              <w:t>V průběhu roku 2016 bylo příspěvk</w:t>
            </w:r>
            <w:r w:rsidR="0014530E">
              <w:rPr>
                <w:rFonts w:eastAsia="Times New Roman" w:cs="Arial"/>
                <w:color w:val="000000"/>
                <w:szCs w:val="24"/>
                <w:lang w:eastAsia="cs-CZ"/>
              </w:rPr>
              <w:t>e</w:t>
            </w:r>
            <w:r w:rsidRPr="00670437">
              <w:rPr>
                <w:rFonts w:eastAsia="Times New Roman" w:cs="Arial"/>
                <w:color w:val="000000"/>
                <w:szCs w:val="24"/>
                <w:lang w:eastAsia="cs-CZ"/>
              </w:rPr>
              <w:t>m na podporu regionální mobility podpořeno 644 osob.</w:t>
            </w:r>
          </w:p>
        </w:tc>
      </w:tr>
    </w:tbl>
    <w:p w:rsidR="00D47A69" w:rsidRDefault="00D47A69"/>
    <w:p w:rsidR="001C7F7C" w:rsidRDefault="001C7F7C"/>
    <w:tbl>
      <w:tblPr>
        <w:tblW w:w="14216" w:type="dxa"/>
        <w:tblInd w:w="-72" w:type="dxa"/>
        <w:tblLayout w:type="fixed"/>
        <w:tblCellMar>
          <w:left w:w="70" w:type="dxa"/>
          <w:right w:w="70" w:type="dxa"/>
        </w:tblCellMar>
        <w:tblLook w:val="04A0" w:firstRow="1" w:lastRow="0" w:firstColumn="1" w:lastColumn="0" w:noHBand="0" w:noVBand="1"/>
      </w:tblPr>
      <w:tblGrid>
        <w:gridCol w:w="745"/>
        <w:gridCol w:w="531"/>
        <w:gridCol w:w="1384"/>
        <w:gridCol w:w="941"/>
        <w:gridCol w:w="1097"/>
        <w:gridCol w:w="1415"/>
        <w:gridCol w:w="1542"/>
        <w:gridCol w:w="3686"/>
        <w:gridCol w:w="975"/>
        <w:gridCol w:w="1900"/>
      </w:tblGrid>
      <w:tr w:rsidR="005F0059" w:rsidRPr="00670437" w:rsidTr="00D47A69">
        <w:trPr>
          <w:trHeight w:val="285"/>
        </w:trPr>
        <w:tc>
          <w:tcPr>
            <w:tcW w:w="745" w:type="dxa"/>
            <w:tcBorders>
              <w:top w:val="single" w:sz="8" w:space="0" w:color="auto"/>
              <w:left w:val="single" w:sz="8" w:space="0" w:color="auto"/>
              <w:bottom w:val="single" w:sz="4" w:space="0" w:color="auto"/>
              <w:right w:val="nil"/>
            </w:tcBorders>
            <w:shd w:val="clear" w:color="000000" w:fill="DCE6F1"/>
            <w:noWrap/>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1.5</w:t>
            </w:r>
          </w:p>
        </w:tc>
        <w:tc>
          <w:tcPr>
            <w:tcW w:w="531" w:type="dxa"/>
            <w:tcBorders>
              <w:top w:val="single" w:sz="8" w:space="0" w:color="auto"/>
              <w:left w:val="single" w:sz="8" w:space="0" w:color="auto"/>
              <w:bottom w:val="single" w:sz="4" w:space="0" w:color="auto"/>
              <w:right w:val="nil"/>
            </w:tcBorders>
            <w:shd w:val="clear" w:color="auto" w:fill="auto"/>
            <w:noWrap/>
            <w:vAlign w:val="center"/>
            <w:hideMark/>
          </w:tcPr>
          <w:p w:rsidR="00670437" w:rsidRPr="00670437" w:rsidRDefault="00670437"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T:</w:t>
            </w:r>
          </w:p>
        </w:tc>
        <w:tc>
          <w:tcPr>
            <w:tcW w:w="1384" w:type="dxa"/>
            <w:tcBorders>
              <w:top w:val="single" w:sz="8" w:space="0" w:color="auto"/>
              <w:left w:val="nil"/>
              <w:bottom w:val="single" w:sz="4" w:space="0" w:color="auto"/>
              <w:right w:val="nil"/>
            </w:tcBorders>
            <w:shd w:val="clear" w:color="auto" w:fill="auto"/>
            <w:noWrap/>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2016</w:t>
            </w:r>
          </w:p>
        </w:tc>
        <w:tc>
          <w:tcPr>
            <w:tcW w:w="941" w:type="dxa"/>
            <w:tcBorders>
              <w:top w:val="single" w:sz="12" w:space="0" w:color="auto"/>
              <w:left w:val="single" w:sz="12" w:space="0" w:color="auto"/>
              <w:bottom w:val="single" w:sz="12" w:space="0" w:color="auto"/>
              <w:right w:val="nil"/>
            </w:tcBorders>
            <w:shd w:val="clear" w:color="auto" w:fill="auto"/>
            <w:noWrap/>
            <w:vAlign w:val="center"/>
            <w:hideMark/>
          </w:tcPr>
          <w:p w:rsidR="00670437" w:rsidRPr="00670437" w:rsidRDefault="00670437"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gesce:</w:t>
            </w:r>
          </w:p>
        </w:tc>
        <w:tc>
          <w:tcPr>
            <w:tcW w:w="1097" w:type="dxa"/>
            <w:tcBorders>
              <w:top w:val="single" w:sz="12" w:space="0" w:color="auto"/>
              <w:left w:val="nil"/>
              <w:bottom w:val="single" w:sz="8" w:space="0" w:color="auto"/>
              <w:right w:val="single" w:sz="4" w:space="0" w:color="auto"/>
            </w:tcBorders>
            <w:shd w:val="clear" w:color="auto" w:fill="auto"/>
            <w:noWrap/>
            <w:vAlign w:val="center"/>
            <w:hideMark/>
          </w:tcPr>
          <w:p w:rsidR="00670437" w:rsidRPr="00670437" w:rsidRDefault="00670437" w:rsidP="00670437">
            <w:pPr>
              <w:spacing w:line="240" w:lineRule="auto"/>
              <w:jc w:val="left"/>
              <w:rPr>
                <w:rFonts w:eastAsia="Times New Roman" w:cs="Arial"/>
                <w:b/>
                <w:bCs/>
                <w:color w:val="000000"/>
                <w:szCs w:val="24"/>
                <w:lang w:eastAsia="cs-CZ"/>
              </w:rPr>
            </w:pPr>
            <w:proofErr w:type="spellStart"/>
            <w:r w:rsidRPr="00670437">
              <w:rPr>
                <w:rFonts w:eastAsia="Times New Roman" w:cs="Arial"/>
                <w:b/>
                <w:bCs/>
                <w:color w:val="000000"/>
                <w:szCs w:val="24"/>
                <w:lang w:eastAsia="cs-CZ"/>
              </w:rPr>
              <w:t>MSp</w:t>
            </w:r>
            <w:proofErr w:type="spellEnd"/>
          </w:p>
        </w:tc>
        <w:tc>
          <w:tcPr>
            <w:tcW w:w="1415" w:type="dxa"/>
            <w:tcBorders>
              <w:top w:val="single" w:sz="8" w:space="0" w:color="auto"/>
              <w:left w:val="single" w:sz="4" w:space="0" w:color="auto"/>
              <w:bottom w:val="single" w:sz="8" w:space="0" w:color="auto"/>
            </w:tcBorders>
            <w:shd w:val="clear" w:color="auto" w:fill="auto"/>
            <w:noWrap/>
            <w:vAlign w:val="center"/>
            <w:hideMark/>
          </w:tcPr>
          <w:p w:rsidR="00670437" w:rsidRPr="00670437" w:rsidRDefault="00670437" w:rsidP="0014530E">
            <w:pPr>
              <w:spacing w:line="240" w:lineRule="auto"/>
              <w:jc w:val="right"/>
              <w:rPr>
                <w:rFonts w:eastAsia="Times New Roman" w:cs="Arial"/>
                <w:color w:val="000000"/>
                <w:szCs w:val="24"/>
                <w:lang w:eastAsia="cs-CZ"/>
              </w:rPr>
            </w:pPr>
            <w:proofErr w:type="spellStart"/>
            <w:r w:rsidRPr="00670437">
              <w:rPr>
                <w:rFonts w:eastAsia="Times New Roman" w:cs="Arial"/>
                <w:color w:val="000000"/>
                <w:szCs w:val="24"/>
                <w:lang w:eastAsia="cs-CZ"/>
              </w:rPr>
              <w:t>spolugesce</w:t>
            </w:r>
            <w:proofErr w:type="spellEnd"/>
          </w:p>
        </w:tc>
        <w:tc>
          <w:tcPr>
            <w:tcW w:w="1542" w:type="dxa"/>
            <w:tcBorders>
              <w:top w:val="single" w:sz="8" w:space="0" w:color="auto"/>
              <w:bottom w:val="single" w:sz="8" w:space="0" w:color="auto"/>
              <w:right w:val="single" w:sz="4" w:space="0" w:color="auto"/>
            </w:tcBorders>
            <w:shd w:val="clear" w:color="auto" w:fill="auto"/>
            <w:noWrap/>
            <w:vAlign w:val="center"/>
            <w:hideMark/>
          </w:tcPr>
          <w:p w:rsidR="00670437" w:rsidRPr="00670437" w:rsidRDefault="00670437" w:rsidP="0014530E">
            <w:pPr>
              <w:spacing w:line="240" w:lineRule="auto"/>
              <w:jc w:val="left"/>
              <w:rPr>
                <w:rFonts w:eastAsia="Times New Roman" w:cs="Arial"/>
                <w:color w:val="000000"/>
                <w:szCs w:val="24"/>
                <w:lang w:eastAsia="cs-CZ"/>
              </w:rPr>
            </w:pPr>
            <w:r w:rsidRPr="00670437">
              <w:rPr>
                <w:rFonts w:eastAsia="Times New Roman" w:cs="Arial"/>
                <w:color w:val="000000"/>
                <w:szCs w:val="24"/>
                <w:lang w:eastAsia="cs-CZ"/>
              </w:rPr>
              <w:t>MPSV, MV</w:t>
            </w:r>
          </w:p>
        </w:tc>
        <w:tc>
          <w:tcPr>
            <w:tcW w:w="4661" w:type="dxa"/>
            <w:gridSpan w:val="2"/>
            <w:tcBorders>
              <w:left w:val="nil"/>
              <w:bottom w:val="single" w:sz="8" w:space="0" w:color="auto"/>
            </w:tcBorders>
            <w:shd w:val="clear" w:color="auto" w:fill="auto"/>
            <w:noWrap/>
            <w:vAlign w:val="center"/>
          </w:tcPr>
          <w:p w:rsidR="00670437" w:rsidRPr="00670437" w:rsidRDefault="00670437" w:rsidP="00670437">
            <w:pPr>
              <w:spacing w:line="240" w:lineRule="auto"/>
              <w:jc w:val="right"/>
              <w:rPr>
                <w:rFonts w:eastAsia="Times New Roman" w:cs="Arial"/>
                <w:color w:val="000000"/>
                <w:szCs w:val="24"/>
                <w:lang w:eastAsia="cs-CZ"/>
              </w:rPr>
            </w:pPr>
          </w:p>
        </w:tc>
        <w:tc>
          <w:tcPr>
            <w:tcW w:w="1900" w:type="dxa"/>
            <w:tcBorders>
              <w:bottom w:val="single" w:sz="8" w:space="0" w:color="auto"/>
            </w:tcBorders>
            <w:shd w:val="clear" w:color="auto" w:fill="auto"/>
            <w:noWrap/>
            <w:vAlign w:val="center"/>
          </w:tcPr>
          <w:p w:rsidR="00670437" w:rsidRPr="00670437" w:rsidRDefault="00670437" w:rsidP="00670437">
            <w:pPr>
              <w:spacing w:line="240" w:lineRule="auto"/>
              <w:jc w:val="right"/>
              <w:rPr>
                <w:rFonts w:eastAsia="Times New Roman" w:cs="Arial"/>
                <w:b/>
                <w:bCs/>
                <w:color w:val="000000"/>
                <w:szCs w:val="24"/>
                <w:lang w:eastAsia="cs-CZ"/>
              </w:rPr>
            </w:pPr>
          </w:p>
        </w:tc>
      </w:tr>
      <w:tr w:rsidR="00901930" w:rsidRPr="00670437" w:rsidTr="00D47A69">
        <w:trPr>
          <w:trHeight w:val="285"/>
        </w:trPr>
        <w:tc>
          <w:tcPr>
            <w:tcW w:w="745"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901930" w:rsidRPr="00670437" w:rsidRDefault="00901930"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Exekuce</w:t>
            </w:r>
          </w:p>
        </w:tc>
        <w:tc>
          <w:tcPr>
            <w:tcW w:w="1915" w:type="dxa"/>
            <w:gridSpan w:val="2"/>
            <w:tcBorders>
              <w:top w:val="single" w:sz="4" w:space="0" w:color="auto"/>
              <w:left w:val="nil"/>
              <w:bottom w:val="double" w:sz="6" w:space="0" w:color="auto"/>
              <w:right w:val="nil"/>
            </w:tcBorders>
            <w:shd w:val="clear" w:color="auto" w:fill="auto"/>
            <w:noWrap/>
            <w:vAlign w:val="center"/>
            <w:hideMark/>
          </w:tcPr>
          <w:p w:rsidR="00901930" w:rsidRPr="00670437" w:rsidRDefault="00901930"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povaha:</w:t>
            </w:r>
          </w:p>
        </w:tc>
        <w:tc>
          <w:tcPr>
            <w:tcW w:w="941" w:type="dxa"/>
            <w:tcBorders>
              <w:top w:val="nil"/>
              <w:left w:val="nil"/>
              <w:bottom w:val="double" w:sz="6" w:space="0" w:color="auto"/>
              <w:right w:val="double" w:sz="6" w:space="0" w:color="auto"/>
            </w:tcBorders>
            <w:shd w:val="clear" w:color="auto" w:fill="auto"/>
            <w:noWrap/>
            <w:vAlign w:val="center"/>
            <w:hideMark/>
          </w:tcPr>
          <w:p w:rsidR="00901930" w:rsidRPr="00670437" w:rsidRDefault="00901930"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L</w:t>
            </w:r>
          </w:p>
        </w:tc>
        <w:tc>
          <w:tcPr>
            <w:tcW w:w="7740" w:type="dxa"/>
            <w:gridSpan w:val="4"/>
            <w:tcBorders>
              <w:top w:val="single" w:sz="8" w:space="0" w:color="auto"/>
              <w:left w:val="nil"/>
              <w:right w:val="nil"/>
            </w:tcBorders>
            <w:shd w:val="clear" w:color="auto" w:fill="auto"/>
            <w:noWrap/>
            <w:vAlign w:val="center"/>
            <w:hideMark/>
          </w:tcPr>
          <w:p w:rsidR="00901930" w:rsidRPr="00670437" w:rsidRDefault="00901930"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Popis</w:t>
            </w:r>
          </w:p>
        </w:tc>
        <w:tc>
          <w:tcPr>
            <w:tcW w:w="2875" w:type="dxa"/>
            <w:gridSpan w:val="2"/>
            <w:tcBorders>
              <w:top w:val="single" w:sz="8" w:space="0" w:color="auto"/>
              <w:left w:val="nil"/>
              <w:right w:val="single" w:sz="8" w:space="0" w:color="auto"/>
            </w:tcBorders>
            <w:shd w:val="clear" w:color="auto" w:fill="auto"/>
            <w:noWrap/>
            <w:vAlign w:val="center"/>
          </w:tcPr>
          <w:p w:rsidR="00901930" w:rsidRPr="00670437" w:rsidRDefault="00901930" w:rsidP="00670437">
            <w:pPr>
              <w:spacing w:line="240" w:lineRule="auto"/>
              <w:jc w:val="center"/>
              <w:rPr>
                <w:rFonts w:eastAsia="Times New Roman" w:cs="Arial"/>
                <w:b/>
                <w:bCs/>
                <w:color w:val="000000"/>
                <w:szCs w:val="24"/>
                <w:u w:val="single"/>
                <w:lang w:eastAsia="cs-CZ"/>
              </w:rPr>
            </w:pPr>
          </w:p>
        </w:tc>
      </w:tr>
      <w:tr w:rsidR="00670437" w:rsidRPr="00670437" w:rsidTr="00D47A69">
        <w:trPr>
          <w:trHeight w:val="615"/>
        </w:trPr>
        <w:tc>
          <w:tcPr>
            <w:tcW w:w="745" w:type="dxa"/>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13471" w:type="dxa"/>
            <w:gridSpan w:val="9"/>
            <w:tcBorders>
              <w:top w:val="nil"/>
              <w:left w:val="nil"/>
              <w:bottom w:val="double" w:sz="6" w:space="0" w:color="auto"/>
              <w:right w:val="single" w:sz="8" w:space="0" w:color="000000"/>
            </w:tcBorders>
            <w:shd w:val="clear" w:color="auto" w:fill="auto"/>
            <w:vAlign w:val="center"/>
            <w:hideMark/>
          </w:tcPr>
          <w:p w:rsidR="00670437" w:rsidRPr="00670437" w:rsidRDefault="00670437" w:rsidP="00670437">
            <w:pPr>
              <w:spacing w:line="240" w:lineRule="auto"/>
              <w:rPr>
                <w:rFonts w:eastAsia="Times New Roman" w:cs="Arial"/>
                <w:color w:val="000000"/>
                <w:szCs w:val="24"/>
                <w:lang w:eastAsia="cs-CZ"/>
              </w:rPr>
            </w:pPr>
            <w:r w:rsidRPr="00670437">
              <w:rPr>
                <w:rFonts w:eastAsia="Times New Roman" w:cs="Arial"/>
                <w:color w:val="000000"/>
                <w:szCs w:val="24"/>
                <w:lang w:eastAsia="cs-CZ"/>
              </w:rPr>
              <w:t xml:space="preserve">MPSV ve spolupráci s Ministerstvem spravedlnosti a Ministerstvem vnitra navrhne opatření </w:t>
            </w:r>
            <w:r w:rsidR="00754536">
              <w:rPr>
                <w:rFonts w:eastAsia="Times New Roman" w:cs="Arial"/>
                <w:color w:val="000000"/>
                <w:szCs w:val="24"/>
                <w:lang w:eastAsia="cs-CZ"/>
              </w:rPr>
              <w:t>k řešení problematiky exekucí a </w:t>
            </w:r>
            <w:r w:rsidRPr="00670437">
              <w:rPr>
                <w:rFonts w:eastAsia="Times New Roman" w:cs="Arial"/>
                <w:color w:val="000000"/>
                <w:szCs w:val="24"/>
                <w:lang w:eastAsia="cs-CZ"/>
              </w:rPr>
              <w:t>jejich negativního dopadu na motivaci pracovní síly přijmout zaměstnání jako zdroj obživy.</w:t>
            </w:r>
          </w:p>
        </w:tc>
      </w:tr>
      <w:tr w:rsidR="00EE055B" w:rsidRPr="00670437" w:rsidTr="009B7658">
        <w:trPr>
          <w:trHeight w:val="285"/>
        </w:trPr>
        <w:tc>
          <w:tcPr>
            <w:tcW w:w="745" w:type="dxa"/>
            <w:vMerge/>
            <w:tcBorders>
              <w:top w:val="nil"/>
              <w:left w:val="single" w:sz="8" w:space="0" w:color="auto"/>
              <w:bottom w:val="single" w:sz="8" w:space="0" w:color="000000"/>
              <w:right w:val="double" w:sz="6" w:space="0" w:color="auto"/>
            </w:tcBorders>
            <w:vAlign w:val="center"/>
            <w:hideMark/>
          </w:tcPr>
          <w:p w:rsidR="00EE055B" w:rsidRPr="00670437" w:rsidRDefault="00EE055B" w:rsidP="00670437">
            <w:pPr>
              <w:spacing w:line="240" w:lineRule="auto"/>
              <w:jc w:val="left"/>
              <w:rPr>
                <w:rFonts w:eastAsia="Times New Roman" w:cs="Arial"/>
                <w:b/>
                <w:bCs/>
                <w:color w:val="000000"/>
                <w:szCs w:val="24"/>
                <w:lang w:eastAsia="cs-CZ"/>
              </w:rPr>
            </w:pPr>
          </w:p>
        </w:tc>
        <w:tc>
          <w:tcPr>
            <w:tcW w:w="2856" w:type="dxa"/>
            <w:gridSpan w:val="3"/>
            <w:tcBorders>
              <w:top w:val="double" w:sz="6" w:space="0" w:color="auto"/>
              <w:left w:val="double" w:sz="6" w:space="0" w:color="auto"/>
              <w:bottom w:val="double" w:sz="6" w:space="0" w:color="auto"/>
              <w:right w:val="double" w:sz="6" w:space="0" w:color="auto"/>
            </w:tcBorders>
            <w:shd w:val="clear" w:color="000000" w:fill="F2DCDB"/>
            <w:noWrap/>
            <w:vAlign w:val="center"/>
            <w:hideMark/>
          </w:tcPr>
          <w:p w:rsidR="00EE055B" w:rsidRPr="00670437" w:rsidRDefault="00EE055B" w:rsidP="00EE055B">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Řešeno</w:t>
            </w:r>
          </w:p>
        </w:tc>
        <w:tc>
          <w:tcPr>
            <w:tcW w:w="7740" w:type="dxa"/>
            <w:gridSpan w:val="4"/>
            <w:tcBorders>
              <w:top w:val="double" w:sz="6" w:space="0" w:color="auto"/>
              <w:left w:val="double" w:sz="6" w:space="0" w:color="auto"/>
              <w:bottom w:val="nil"/>
              <w:right w:val="nil"/>
            </w:tcBorders>
            <w:shd w:val="clear" w:color="auto" w:fill="auto"/>
            <w:vAlign w:val="center"/>
            <w:hideMark/>
          </w:tcPr>
          <w:p w:rsidR="00EE055B" w:rsidRPr="00670437" w:rsidRDefault="00EE055B"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Plnění</w:t>
            </w:r>
          </w:p>
        </w:tc>
        <w:tc>
          <w:tcPr>
            <w:tcW w:w="975" w:type="dxa"/>
            <w:tcBorders>
              <w:top w:val="nil"/>
              <w:left w:val="single" w:sz="8" w:space="0" w:color="auto"/>
              <w:bottom w:val="single" w:sz="8" w:space="0" w:color="auto"/>
              <w:right w:val="nil"/>
            </w:tcBorders>
            <w:shd w:val="clear" w:color="auto" w:fill="auto"/>
            <w:vAlign w:val="center"/>
            <w:hideMark/>
          </w:tcPr>
          <w:p w:rsidR="00EE055B" w:rsidRPr="00670437" w:rsidRDefault="00EE055B" w:rsidP="00670437">
            <w:pPr>
              <w:spacing w:line="240" w:lineRule="auto"/>
              <w:jc w:val="right"/>
              <w:rPr>
                <w:rFonts w:eastAsia="Times New Roman" w:cs="Arial"/>
                <w:color w:val="000000"/>
                <w:szCs w:val="24"/>
                <w:lang w:eastAsia="cs-CZ"/>
              </w:rPr>
            </w:pPr>
            <w:r w:rsidRPr="00670437">
              <w:rPr>
                <w:rFonts w:eastAsia="Times New Roman" w:cs="Arial"/>
                <w:color w:val="000000"/>
                <w:szCs w:val="24"/>
                <w:lang w:eastAsia="cs-CZ"/>
              </w:rPr>
              <w:t>k datu</w:t>
            </w:r>
          </w:p>
        </w:tc>
        <w:tc>
          <w:tcPr>
            <w:tcW w:w="1900" w:type="dxa"/>
            <w:tcBorders>
              <w:top w:val="nil"/>
              <w:left w:val="nil"/>
              <w:bottom w:val="single" w:sz="8" w:space="0" w:color="auto"/>
              <w:right w:val="single" w:sz="8" w:space="0" w:color="auto"/>
            </w:tcBorders>
            <w:shd w:val="clear" w:color="auto" w:fill="auto"/>
            <w:vAlign w:val="center"/>
            <w:hideMark/>
          </w:tcPr>
          <w:p w:rsidR="00EE055B" w:rsidRPr="00670437" w:rsidRDefault="00EE055B"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31.</w:t>
            </w:r>
            <w:r>
              <w:rPr>
                <w:rFonts w:eastAsia="Times New Roman" w:cs="Arial"/>
                <w:b/>
                <w:bCs/>
                <w:color w:val="000000"/>
                <w:szCs w:val="24"/>
                <w:u w:val="single"/>
                <w:lang w:eastAsia="cs-CZ"/>
              </w:rPr>
              <w:t xml:space="preserve"> </w:t>
            </w:r>
            <w:r w:rsidRPr="00670437">
              <w:rPr>
                <w:rFonts w:eastAsia="Times New Roman" w:cs="Arial"/>
                <w:b/>
                <w:bCs/>
                <w:color w:val="000000"/>
                <w:szCs w:val="24"/>
                <w:u w:val="single"/>
                <w:lang w:eastAsia="cs-CZ"/>
              </w:rPr>
              <w:t>12.</w:t>
            </w:r>
            <w:r>
              <w:rPr>
                <w:rFonts w:eastAsia="Times New Roman" w:cs="Arial"/>
                <w:b/>
                <w:bCs/>
                <w:color w:val="000000"/>
                <w:szCs w:val="24"/>
                <w:u w:val="single"/>
                <w:lang w:eastAsia="cs-CZ"/>
              </w:rPr>
              <w:t xml:space="preserve"> </w:t>
            </w:r>
            <w:r w:rsidRPr="00670437">
              <w:rPr>
                <w:rFonts w:eastAsia="Times New Roman" w:cs="Arial"/>
                <w:b/>
                <w:bCs/>
                <w:color w:val="000000"/>
                <w:szCs w:val="24"/>
                <w:u w:val="single"/>
                <w:lang w:eastAsia="cs-CZ"/>
              </w:rPr>
              <w:t>2016</w:t>
            </w:r>
          </w:p>
        </w:tc>
      </w:tr>
      <w:tr w:rsidR="00670437" w:rsidRPr="00670437" w:rsidTr="00D47A69">
        <w:trPr>
          <w:trHeight w:val="1335"/>
        </w:trPr>
        <w:tc>
          <w:tcPr>
            <w:tcW w:w="745" w:type="dxa"/>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531" w:type="dxa"/>
            <w:tcBorders>
              <w:top w:val="nil"/>
              <w:left w:val="nil"/>
              <w:bottom w:val="nil"/>
              <w:right w:val="single" w:sz="4" w:space="0" w:color="auto"/>
            </w:tcBorders>
            <w:shd w:val="clear" w:color="auto" w:fill="auto"/>
            <w:textDirection w:val="btLr"/>
            <w:vAlign w:val="center"/>
            <w:hideMark/>
          </w:tcPr>
          <w:p w:rsidR="00670437" w:rsidRPr="00670437" w:rsidRDefault="00670437" w:rsidP="00670437">
            <w:pPr>
              <w:spacing w:line="240" w:lineRule="auto"/>
              <w:jc w:val="center"/>
              <w:rPr>
                <w:rFonts w:eastAsia="Times New Roman" w:cs="Arial"/>
                <w:color w:val="000000"/>
                <w:szCs w:val="24"/>
                <w:lang w:eastAsia="cs-CZ"/>
              </w:rPr>
            </w:pPr>
            <w:r w:rsidRPr="00670437">
              <w:rPr>
                <w:rFonts w:eastAsia="Times New Roman" w:cs="Arial"/>
                <w:color w:val="000000"/>
                <w:szCs w:val="24"/>
                <w:lang w:eastAsia="cs-CZ"/>
              </w:rPr>
              <w:t xml:space="preserve">předchozí </w:t>
            </w:r>
          </w:p>
        </w:tc>
        <w:tc>
          <w:tcPr>
            <w:tcW w:w="12940" w:type="dxa"/>
            <w:gridSpan w:val="8"/>
            <w:tcBorders>
              <w:top w:val="nil"/>
              <w:left w:val="nil"/>
              <w:bottom w:val="nil"/>
              <w:right w:val="single" w:sz="8" w:space="0" w:color="000000"/>
            </w:tcBorders>
            <w:shd w:val="clear" w:color="auto" w:fill="auto"/>
            <w:vAlign w:val="center"/>
            <w:hideMark/>
          </w:tcPr>
          <w:p w:rsidR="00670437" w:rsidRPr="00670437" w:rsidRDefault="00670437" w:rsidP="00670437">
            <w:pPr>
              <w:spacing w:line="240" w:lineRule="auto"/>
              <w:rPr>
                <w:rFonts w:eastAsia="Times New Roman" w:cs="Arial"/>
                <w:color w:val="000000"/>
                <w:szCs w:val="24"/>
                <w:lang w:eastAsia="cs-CZ"/>
              </w:rPr>
            </w:pPr>
            <w:r w:rsidRPr="00670437">
              <w:rPr>
                <w:rFonts w:eastAsia="Times New Roman" w:cs="Arial"/>
                <w:color w:val="000000"/>
                <w:szCs w:val="24"/>
                <w:lang w:eastAsia="cs-CZ"/>
              </w:rPr>
              <w:t>MS připravilo dvě novely insolvenčního zákona a novelu exekučního řádu. Tyto novely by měly pomoci nastavit férovější legislativní prostředí pro osobní bankrot a zbav</w:t>
            </w:r>
            <w:r w:rsidR="00BE641A">
              <w:rPr>
                <w:rFonts w:eastAsia="Times New Roman" w:cs="Arial"/>
                <w:color w:val="000000"/>
                <w:szCs w:val="24"/>
                <w:lang w:eastAsia="cs-CZ"/>
              </w:rPr>
              <w:t>it</w:t>
            </w:r>
            <w:r w:rsidRPr="00670437">
              <w:rPr>
                <w:rFonts w:eastAsia="Times New Roman" w:cs="Arial"/>
                <w:color w:val="000000"/>
                <w:szCs w:val="24"/>
                <w:lang w:eastAsia="cs-CZ"/>
              </w:rPr>
              <w:t xml:space="preserve"> trh nesolidních komerčních subjektů slibujících snadné oddlužení. Na oddlužení budou díky novele insolvenčního zákona moci za určitých podmínek dosáhnout i ti, kteří momentálně nemohou. Oddlužení by mělo udržet dlužníka v práci a je pro něho nadějí, že se mu podaří řešit složitou životní situaci. Zvýší se mu tak motivace mít, a udržet si legální práci. </w:t>
            </w:r>
          </w:p>
        </w:tc>
      </w:tr>
      <w:tr w:rsidR="00670437" w:rsidRPr="00670437" w:rsidTr="00D47A69">
        <w:trPr>
          <w:trHeight w:val="755"/>
        </w:trPr>
        <w:tc>
          <w:tcPr>
            <w:tcW w:w="745" w:type="dxa"/>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531" w:type="dxa"/>
            <w:tcBorders>
              <w:top w:val="single" w:sz="4" w:space="0" w:color="auto"/>
              <w:left w:val="nil"/>
              <w:bottom w:val="single" w:sz="8" w:space="0" w:color="auto"/>
              <w:right w:val="single" w:sz="4" w:space="0" w:color="auto"/>
            </w:tcBorders>
            <w:shd w:val="clear" w:color="auto" w:fill="auto"/>
            <w:textDirection w:val="btLr"/>
            <w:vAlign w:val="center"/>
            <w:hideMark/>
          </w:tcPr>
          <w:p w:rsidR="00670437" w:rsidRPr="00670437" w:rsidRDefault="00670437" w:rsidP="00D47A69">
            <w:pPr>
              <w:spacing w:line="240" w:lineRule="auto"/>
              <w:jc w:val="center"/>
              <w:rPr>
                <w:rFonts w:eastAsia="Times New Roman" w:cs="Arial"/>
                <w:color w:val="000000"/>
                <w:szCs w:val="24"/>
                <w:lang w:eastAsia="cs-CZ"/>
              </w:rPr>
            </w:pPr>
            <w:r w:rsidRPr="00670437">
              <w:rPr>
                <w:rFonts w:eastAsia="Times New Roman" w:cs="Arial"/>
                <w:color w:val="000000"/>
                <w:szCs w:val="24"/>
                <w:lang w:eastAsia="cs-CZ"/>
              </w:rPr>
              <w:t xml:space="preserve">sledované </w:t>
            </w:r>
          </w:p>
        </w:tc>
        <w:tc>
          <w:tcPr>
            <w:tcW w:w="12940" w:type="dxa"/>
            <w:gridSpan w:val="8"/>
            <w:tcBorders>
              <w:top w:val="single" w:sz="4" w:space="0" w:color="auto"/>
              <w:left w:val="nil"/>
              <w:bottom w:val="single" w:sz="8" w:space="0" w:color="auto"/>
              <w:right w:val="single" w:sz="8" w:space="0" w:color="000000"/>
            </w:tcBorders>
            <w:shd w:val="clear" w:color="auto" w:fill="auto"/>
            <w:vAlign w:val="center"/>
            <w:hideMark/>
          </w:tcPr>
          <w:p w:rsidR="00670437" w:rsidRPr="00670437" w:rsidRDefault="00670437" w:rsidP="00670437">
            <w:pPr>
              <w:spacing w:line="240" w:lineRule="auto"/>
              <w:rPr>
                <w:rFonts w:eastAsia="Times New Roman" w:cs="Arial"/>
                <w:color w:val="000000"/>
                <w:szCs w:val="24"/>
                <w:lang w:eastAsia="cs-CZ"/>
              </w:rPr>
            </w:pPr>
            <w:r w:rsidRPr="00670437">
              <w:rPr>
                <w:rFonts w:eastAsia="Times New Roman" w:cs="Arial"/>
                <w:color w:val="000000"/>
                <w:szCs w:val="24"/>
                <w:lang w:eastAsia="cs-CZ"/>
              </w:rPr>
              <w:t>Nedošlo ke změnám</w:t>
            </w:r>
            <w:r w:rsidR="00901930">
              <w:rPr>
                <w:rFonts w:eastAsia="Times New Roman" w:cs="Arial"/>
                <w:color w:val="000000"/>
                <w:szCs w:val="24"/>
                <w:lang w:eastAsia="cs-CZ"/>
              </w:rPr>
              <w:t>. V rámci projektů OP Z a činnosti ÚP ČR je podporováno dluhové poradenství a finanční gramotnost s cílem předcházet zadlužení znevýhodněných osob.</w:t>
            </w:r>
          </w:p>
        </w:tc>
      </w:tr>
    </w:tbl>
    <w:p w:rsidR="00D47A69" w:rsidRDefault="00D47A69"/>
    <w:tbl>
      <w:tblPr>
        <w:tblW w:w="14216" w:type="dxa"/>
        <w:tblInd w:w="-72" w:type="dxa"/>
        <w:tblLayout w:type="fixed"/>
        <w:tblCellMar>
          <w:left w:w="70" w:type="dxa"/>
          <w:right w:w="70" w:type="dxa"/>
        </w:tblCellMar>
        <w:tblLook w:val="04A0" w:firstRow="1" w:lastRow="0" w:firstColumn="1" w:lastColumn="0" w:noHBand="0" w:noVBand="1"/>
      </w:tblPr>
      <w:tblGrid>
        <w:gridCol w:w="709"/>
        <w:gridCol w:w="567"/>
        <w:gridCol w:w="142"/>
        <w:gridCol w:w="1276"/>
        <w:gridCol w:w="907"/>
        <w:gridCol w:w="1097"/>
        <w:gridCol w:w="1415"/>
        <w:gridCol w:w="5203"/>
        <w:gridCol w:w="1000"/>
        <w:gridCol w:w="1900"/>
      </w:tblGrid>
      <w:tr w:rsidR="005F0059" w:rsidRPr="00670437" w:rsidTr="000D7385">
        <w:trPr>
          <w:trHeight w:val="285"/>
        </w:trPr>
        <w:tc>
          <w:tcPr>
            <w:tcW w:w="709" w:type="dxa"/>
            <w:tcBorders>
              <w:top w:val="single" w:sz="8" w:space="0" w:color="auto"/>
              <w:left w:val="single" w:sz="8" w:space="0" w:color="auto"/>
              <w:bottom w:val="single" w:sz="4" w:space="0" w:color="auto"/>
              <w:right w:val="nil"/>
            </w:tcBorders>
            <w:shd w:val="clear" w:color="000000" w:fill="DCE6F1"/>
            <w:noWrap/>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1.6a</w:t>
            </w:r>
          </w:p>
        </w:tc>
        <w:tc>
          <w:tcPr>
            <w:tcW w:w="567" w:type="dxa"/>
            <w:tcBorders>
              <w:top w:val="single" w:sz="8" w:space="0" w:color="auto"/>
              <w:left w:val="single" w:sz="8" w:space="0" w:color="auto"/>
              <w:bottom w:val="single" w:sz="4" w:space="0" w:color="auto"/>
              <w:right w:val="nil"/>
            </w:tcBorders>
            <w:shd w:val="clear" w:color="auto" w:fill="auto"/>
            <w:noWrap/>
            <w:vAlign w:val="center"/>
            <w:hideMark/>
          </w:tcPr>
          <w:p w:rsidR="00670437" w:rsidRPr="00670437" w:rsidRDefault="00670437"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T:</w:t>
            </w:r>
          </w:p>
        </w:tc>
        <w:tc>
          <w:tcPr>
            <w:tcW w:w="1418" w:type="dxa"/>
            <w:gridSpan w:val="2"/>
            <w:tcBorders>
              <w:top w:val="single" w:sz="8" w:space="0" w:color="auto"/>
              <w:left w:val="nil"/>
              <w:bottom w:val="single" w:sz="4" w:space="0" w:color="auto"/>
              <w:right w:val="nil"/>
            </w:tcBorders>
            <w:shd w:val="clear" w:color="auto" w:fill="auto"/>
            <w:noWrap/>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2016/2017</w:t>
            </w:r>
          </w:p>
        </w:tc>
        <w:tc>
          <w:tcPr>
            <w:tcW w:w="907" w:type="dxa"/>
            <w:tcBorders>
              <w:top w:val="single" w:sz="12" w:space="0" w:color="auto"/>
              <w:left w:val="single" w:sz="12" w:space="0" w:color="auto"/>
              <w:bottom w:val="single" w:sz="12" w:space="0" w:color="auto"/>
              <w:right w:val="nil"/>
            </w:tcBorders>
            <w:shd w:val="clear" w:color="auto" w:fill="auto"/>
            <w:noWrap/>
            <w:vAlign w:val="center"/>
            <w:hideMark/>
          </w:tcPr>
          <w:p w:rsidR="00670437" w:rsidRPr="00670437" w:rsidRDefault="00670437"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gesce:</w:t>
            </w:r>
          </w:p>
        </w:tc>
        <w:tc>
          <w:tcPr>
            <w:tcW w:w="1097" w:type="dxa"/>
            <w:tcBorders>
              <w:top w:val="single" w:sz="12" w:space="0" w:color="auto"/>
              <w:left w:val="nil"/>
              <w:bottom w:val="single" w:sz="12" w:space="0" w:color="auto"/>
              <w:right w:val="single" w:sz="4" w:space="0" w:color="auto"/>
            </w:tcBorders>
            <w:shd w:val="clear" w:color="auto" w:fill="auto"/>
            <w:noWrap/>
            <w:vAlign w:val="center"/>
            <w:hideMark/>
          </w:tcPr>
          <w:p w:rsidR="00670437" w:rsidRPr="00670437" w:rsidRDefault="00670437" w:rsidP="00670437">
            <w:pPr>
              <w:spacing w:line="240" w:lineRule="auto"/>
              <w:jc w:val="left"/>
              <w:rPr>
                <w:rFonts w:eastAsia="Times New Roman" w:cs="Arial"/>
                <w:b/>
                <w:bCs/>
                <w:color w:val="000000"/>
                <w:szCs w:val="24"/>
                <w:lang w:eastAsia="cs-CZ"/>
              </w:rPr>
            </w:pPr>
            <w:r w:rsidRPr="00670437">
              <w:rPr>
                <w:rFonts w:eastAsia="Times New Roman" w:cs="Arial"/>
                <w:b/>
                <w:bCs/>
                <w:color w:val="000000"/>
                <w:szCs w:val="24"/>
                <w:lang w:eastAsia="cs-CZ"/>
              </w:rPr>
              <w:t>MPSV</w:t>
            </w:r>
          </w:p>
        </w:tc>
        <w:tc>
          <w:tcPr>
            <w:tcW w:w="1415" w:type="dxa"/>
            <w:tcBorders>
              <w:left w:val="single" w:sz="4" w:space="0" w:color="auto"/>
              <w:bottom w:val="single" w:sz="4" w:space="0" w:color="auto"/>
            </w:tcBorders>
            <w:shd w:val="clear" w:color="auto" w:fill="auto"/>
            <w:noWrap/>
            <w:vAlign w:val="center"/>
          </w:tcPr>
          <w:p w:rsidR="00670437" w:rsidRPr="00670437" w:rsidRDefault="00670437" w:rsidP="00670437">
            <w:pPr>
              <w:spacing w:line="240" w:lineRule="auto"/>
              <w:jc w:val="right"/>
              <w:rPr>
                <w:rFonts w:eastAsia="Times New Roman" w:cs="Arial"/>
                <w:color w:val="000000"/>
                <w:szCs w:val="24"/>
                <w:lang w:eastAsia="cs-CZ"/>
              </w:rPr>
            </w:pPr>
          </w:p>
        </w:tc>
        <w:tc>
          <w:tcPr>
            <w:tcW w:w="5203" w:type="dxa"/>
            <w:tcBorders>
              <w:bottom w:val="single" w:sz="4" w:space="0" w:color="auto"/>
            </w:tcBorders>
            <w:shd w:val="clear" w:color="auto" w:fill="auto"/>
            <w:noWrap/>
            <w:vAlign w:val="center"/>
          </w:tcPr>
          <w:p w:rsidR="00670437" w:rsidRPr="00670437" w:rsidRDefault="00670437" w:rsidP="00670437">
            <w:pPr>
              <w:spacing w:line="240" w:lineRule="auto"/>
              <w:jc w:val="right"/>
              <w:rPr>
                <w:rFonts w:eastAsia="Times New Roman" w:cs="Arial"/>
                <w:color w:val="000000"/>
                <w:szCs w:val="24"/>
                <w:lang w:eastAsia="cs-CZ"/>
              </w:rPr>
            </w:pPr>
          </w:p>
        </w:tc>
        <w:tc>
          <w:tcPr>
            <w:tcW w:w="1000" w:type="dxa"/>
            <w:tcBorders>
              <w:bottom w:val="single" w:sz="4" w:space="0" w:color="auto"/>
            </w:tcBorders>
            <w:shd w:val="clear" w:color="auto" w:fill="auto"/>
            <w:noWrap/>
            <w:vAlign w:val="center"/>
          </w:tcPr>
          <w:p w:rsidR="00670437" w:rsidRPr="00670437" w:rsidRDefault="00670437" w:rsidP="00670437">
            <w:pPr>
              <w:spacing w:line="240" w:lineRule="auto"/>
              <w:jc w:val="right"/>
              <w:rPr>
                <w:rFonts w:eastAsia="Times New Roman" w:cs="Arial"/>
                <w:color w:val="000000"/>
                <w:szCs w:val="24"/>
                <w:lang w:eastAsia="cs-CZ"/>
              </w:rPr>
            </w:pPr>
          </w:p>
        </w:tc>
        <w:tc>
          <w:tcPr>
            <w:tcW w:w="1900" w:type="dxa"/>
            <w:tcBorders>
              <w:bottom w:val="single" w:sz="4" w:space="0" w:color="auto"/>
            </w:tcBorders>
            <w:shd w:val="clear" w:color="auto" w:fill="auto"/>
            <w:noWrap/>
            <w:vAlign w:val="center"/>
          </w:tcPr>
          <w:p w:rsidR="00670437" w:rsidRPr="00670437" w:rsidRDefault="00670437" w:rsidP="00670437">
            <w:pPr>
              <w:spacing w:line="240" w:lineRule="auto"/>
              <w:jc w:val="right"/>
              <w:rPr>
                <w:rFonts w:eastAsia="Times New Roman" w:cs="Arial"/>
                <w:b/>
                <w:bCs/>
                <w:color w:val="000000"/>
                <w:szCs w:val="24"/>
                <w:lang w:eastAsia="cs-CZ"/>
              </w:rPr>
            </w:pPr>
          </w:p>
        </w:tc>
      </w:tr>
      <w:tr w:rsidR="00901930" w:rsidRPr="00670437" w:rsidTr="000D7385">
        <w:trPr>
          <w:trHeight w:val="285"/>
        </w:trPr>
        <w:tc>
          <w:tcPr>
            <w:tcW w:w="709"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Podpora flexibilního zaměstnávání</w:t>
            </w:r>
          </w:p>
        </w:tc>
        <w:tc>
          <w:tcPr>
            <w:tcW w:w="1985" w:type="dxa"/>
            <w:gridSpan w:val="3"/>
            <w:tcBorders>
              <w:top w:val="single" w:sz="4" w:space="0" w:color="auto"/>
              <w:left w:val="nil"/>
              <w:bottom w:val="double" w:sz="6" w:space="0" w:color="auto"/>
              <w:right w:val="nil"/>
            </w:tcBorders>
            <w:shd w:val="clear" w:color="auto" w:fill="auto"/>
            <w:noWrap/>
            <w:vAlign w:val="center"/>
            <w:hideMark/>
          </w:tcPr>
          <w:p w:rsidR="00670437" w:rsidRPr="00670437" w:rsidRDefault="00670437"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povaha:</w:t>
            </w:r>
          </w:p>
        </w:tc>
        <w:tc>
          <w:tcPr>
            <w:tcW w:w="907" w:type="dxa"/>
            <w:tcBorders>
              <w:top w:val="nil"/>
              <w:left w:val="nil"/>
              <w:bottom w:val="double" w:sz="6" w:space="0" w:color="auto"/>
              <w:right w:val="double" w:sz="6" w:space="0" w:color="auto"/>
            </w:tcBorders>
            <w:shd w:val="clear" w:color="auto" w:fill="auto"/>
            <w:noWrap/>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L+N</w:t>
            </w:r>
          </w:p>
        </w:tc>
        <w:tc>
          <w:tcPr>
            <w:tcW w:w="7715" w:type="dxa"/>
            <w:gridSpan w:val="3"/>
            <w:tcBorders>
              <w:top w:val="nil"/>
              <w:left w:val="nil"/>
              <w:bottom w:val="single" w:sz="8" w:space="0" w:color="auto"/>
              <w:right w:val="nil"/>
            </w:tcBorders>
            <w:shd w:val="clear" w:color="auto" w:fill="auto"/>
            <w:noWrap/>
            <w:vAlign w:val="center"/>
            <w:hideMark/>
          </w:tcPr>
          <w:p w:rsidR="00670437" w:rsidRPr="00670437" w:rsidRDefault="00670437"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Popis</w:t>
            </w:r>
          </w:p>
        </w:tc>
        <w:tc>
          <w:tcPr>
            <w:tcW w:w="1000" w:type="dxa"/>
            <w:tcBorders>
              <w:top w:val="nil"/>
              <w:left w:val="nil"/>
              <w:bottom w:val="single" w:sz="8" w:space="0" w:color="auto"/>
              <w:right w:val="nil"/>
            </w:tcBorders>
            <w:shd w:val="clear" w:color="auto" w:fill="auto"/>
            <w:noWrap/>
            <w:vAlign w:val="center"/>
          </w:tcPr>
          <w:p w:rsidR="00670437" w:rsidRPr="00670437" w:rsidRDefault="00670437" w:rsidP="00670437">
            <w:pPr>
              <w:spacing w:line="240" w:lineRule="auto"/>
              <w:jc w:val="center"/>
              <w:rPr>
                <w:rFonts w:eastAsia="Times New Roman" w:cs="Arial"/>
                <w:b/>
                <w:bCs/>
                <w:color w:val="000000"/>
                <w:szCs w:val="24"/>
                <w:u w:val="single"/>
                <w:lang w:eastAsia="cs-CZ"/>
              </w:rPr>
            </w:pPr>
          </w:p>
        </w:tc>
        <w:tc>
          <w:tcPr>
            <w:tcW w:w="1900" w:type="dxa"/>
            <w:tcBorders>
              <w:top w:val="nil"/>
              <w:left w:val="nil"/>
              <w:bottom w:val="single" w:sz="8" w:space="0" w:color="auto"/>
              <w:right w:val="single" w:sz="8" w:space="0" w:color="auto"/>
            </w:tcBorders>
            <w:shd w:val="clear" w:color="auto" w:fill="auto"/>
            <w:noWrap/>
            <w:vAlign w:val="center"/>
          </w:tcPr>
          <w:p w:rsidR="00670437" w:rsidRPr="00670437" w:rsidRDefault="00670437" w:rsidP="00670437">
            <w:pPr>
              <w:spacing w:line="240" w:lineRule="auto"/>
              <w:jc w:val="center"/>
              <w:rPr>
                <w:rFonts w:eastAsia="Times New Roman" w:cs="Arial"/>
                <w:b/>
                <w:bCs/>
                <w:color w:val="000000"/>
                <w:szCs w:val="24"/>
                <w:u w:val="single"/>
                <w:lang w:eastAsia="cs-CZ"/>
              </w:rPr>
            </w:pPr>
          </w:p>
        </w:tc>
      </w:tr>
      <w:tr w:rsidR="00670437" w:rsidRPr="00670437" w:rsidTr="000D7385">
        <w:trPr>
          <w:trHeight w:val="285"/>
        </w:trPr>
        <w:tc>
          <w:tcPr>
            <w:tcW w:w="709" w:type="dxa"/>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13507" w:type="dxa"/>
            <w:gridSpan w:val="9"/>
            <w:tcBorders>
              <w:top w:val="nil"/>
              <w:left w:val="nil"/>
              <w:bottom w:val="double" w:sz="6" w:space="0" w:color="auto"/>
              <w:right w:val="single" w:sz="8" w:space="0" w:color="000000"/>
            </w:tcBorders>
            <w:shd w:val="clear" w:color="auto" w:fill="auto"/>
            <w:vAlign w:val="center"/>
            <w:hideMark/>
          </w:tcPr>
          <w:p w:rsidR="00670437" w:rsidRPr="00670437" w:rsidRDefault="00FA7AD6" w:rsidP="00670437">
            <w:pPr>
              <w:spacing w:line="240" w:lineRule="auto"/>
              <w:rPr>
                <w:rFonts w:eastAsia="Times New Roman" w:cs="Arial"/>
                <w:color w:val="000000"/>
                <w:szCs w:val="24"/>
                <w:lang w:eastAsia="cs-CZ"/>
              </w:rPr>
            </w:pPr>
            <w:r w:rsidRPr="00FA7AD6">
              <w:rPr>
                <w:rFonts w:eastAsia="Times New Roman" w:cs="Arial"/>
                <w:color w:val="000000"/>
                <w:szCs w:val="24"/>
                <w:lang w:eastAsia="cs-CZ"/>
              </w:rPr>
              <w:t>Odstraňování bariér (objektivních i subjektivních) bránících využívání flexibilního zaměstnávání, které svojí povahou nebude zaměstnáváním prekérním.</w:t>
            </w:r>
          </w:p>
        </w:tc>
      </w:tr>
      <w:tr w:rsidR="00EE055B" w:rsidRPr="00670437" w:rsidTr="000D7385">
        <w:trPr>
          <w:trHeight w:val="285"/>
        </w:trPr>
        <w:tc>
          <w:tcPr>
            <w:tcW w:w="709" w:type="dxa"/>
            <w:vMerge/>
            <w:tcBorders>
              <w:top w:val="nil"/>
              <w:left w:val="single" w:sz="8" w:space="0" w:color="auto"/>
              <w:bottom w:val="single" w:sz="8" w:space="0" w:color="000000"/>
              <w:right w:val="double" w:sz="6" w:space="0" w:color="auto"/>
            </w:tcBorders>
            <w:vAlign w:val="center"/>
            <w:hideMark/>
          </w:tcPr>
          <w:p w:rsidR="00EE055B" w:rsidRPr="00670437" w:rsidRDefault="00EE055B" w:rsidP="00670437">
            <w:pPr>
              <w:spacing w:line="240" w:lineRule="auto"/>
              <w:jc w:val="left"/>
              <w:rPr>
                <w:rFonts w:eastAsia="Times New Roman" w:cs="Arial"/>
                <w:b/>
                <w:bCs/>
                <w:color w:val="000000"/>
                <w:szCs w:val="24"/>
                <w:lang w:eastAsia="cs-CZ"/>
              </w:rPr>
            </w:pPr>
          </w:p>
        </w:tc>
        <w:tc>
          <w:tcPr>
            <w:tcW w:w="2892" w:type="dxa"/>
            <w:gridSpan w:val="4"/>
            <w:tcBorders>
              <w:top w:val="double" w:sz="6" w:space="0" w:color="auto"/>
              <w:left w:val="double" w:sz="6" w:space="0" w:color="auto"/>
              <w:bottom w:val="double" w:sz="6" w:space="0" w:color="auto"/>
              <w:right w:val="double" w:sz="6" w:space="0" w:color="auto"/>
            </w:tcBorders>
            <w:shd w:val="clear" w:color="000000" w:fill="F2DCDB"/>
            <w:noWrap/>
            <w:vAlign w:val="center"/>
            <w:hideMark/>
          </w:tcPr>
          <w:p w:rsidR="00EE055B" w:rsidRPr="00670437" w:rsidRDefault="00EE055B" w:rsidP="00EE055B">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Řešeno</w:t>
            </w:r>
          </w:p>
        </w:tc>
        <w:tc>
          <w:tcPr>
            <w:tcW w:w="7715" w:type="dxa"/>
            <w:gridSpan w:val="3"/>
            <w:tcBorders>
              <w:top w:val="double" w:sz="6" w:space="0" w:color="auto"/>
              <w:left w:val="double" w:sz="6" w:space="0" w:color="auto"/>
              <w:bottom w:val="nil"/>
              <w:right w:val="nil"/>
            </w:tcBorders>
            <w:shd w:val="clear" w:color="auto" w:fill="auto"/>
            <w:vAlign w:val="center"/>
            <w:hideMark/>
          </w:tcPr>
          <w:p w:rsidR="00EE055B" w:rsidRPr="00670437" w:rsidRDefault="00EE055B"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Plnění</w:t>
            </w:r>
          </w:p>
        </w:tc>
        <w:tc>
          <w:tcPr>
            <w:tcW w:w="1000" w:type="dxa"/>
            <w:tcBorders>
              <w:top w:val="nil"/>
              <w:left w:val="single" w:sz="8" w:space="0" w:color="auto"/>
              <w:bottom w:val="single" w:sz="8" w:space="0" w:color="auto"/>
              <w:right w:val="nil"/>
            </w:tcBorders>
            <w:shd w:val="clear" w:color="auto" w:fill="auto"/>
            <w:vAlign w:val="center"/>
            <w:hideMark/>
          </w:tcPr>
          <w:p w:rsidR="00EE055B" w:rsidRPr="00670437" w:rsidRDefault="00EE055B" w:rsidP="00670437">
            <w:pPr>
              <w:spacing w:line="240" w:lineRule="auto"/>
              <w:jc w:val="right"/>
              <w:rPr>
                <w:rFonts w:eastAsia="Times New Roman" w:cs="Arial"/>
                <w:color w:val="000000"/>
                <w:szCs w:val="24"/>
                <w:lang w:eastAsia="cs-CZ"/>
              </w:rPr>
            </w:pPr>
            <w:r w:rsidRPr="00670437">
              <w:rPr>
                <w:rFonts w:eastAsia="Times New Roman" w:cs="Arial"/>
                <w:color w:val="000000"/>
                <w:szCs w:val="24"/>
                <w:lang w:eastAsia="cs-CZ"/>
              </w:rPr>
              <w:t>k datu</w:t>
            </w:r>
          </w:p>
        </w:tc>
        <w:tc>
          <w:tcPr>
            <w:tcW w:w="1900" w:type="dxa"/>
            <w:tcBorders>
              <w:top w:val="nil"/>
              <w:left w:val="nil"/>
              <w:bottom w:val="single" w:sz="8" w:space="0" w:color="auto"/>
              <w:right w:val="single" w:sz="8" w:space="0" w:color="auto"/>
            </w:tcBorders>
            <w:shd w:val="clear" w:color="auto" w:fill="auto"/>
            <w:vAlign w:val="center"/>
            <w:hideMark/>
          </w:tcPr>
          <w:p w:rsidR="00EE055B" w:rsidRPr="00670437" w:rsidRDefault="00EE055B"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31.</w:t>
            </w:r>
            <w:r>
              <w:rPr>
                <w:rFonts w:eastAsia="Times New Roman" w:cs="Arial"/>
                <w:b/>
                <w:bCs/>
                <w:color w:val="000000"/>
                <w:szCs w:val="24"/>
                <w:u w:val="single"/>
                <w:lang w:eastAsia="cs-CZ"/>
              </w:rPr>
              <w:t xml:space="preserve"> </w:t>
            </w:r>
            <w:r w:rsidRPr="00670437">
              <w:rPr>
                <w:rFonts w:eastAsia="Times New Roman" w:cs="Arial"/>
                <w:b/>
                <w:bCs/>
                <w:color w:val="000000"/>
                <w:szCs w:val="24"/>
                <w:u w:val="single"/>
                <w:lang w:eastAsia="cs-CZ"/>
              </w:rPr>
              <w:t>12.</w:t>
            </w:r>
            <w:r>
              <w:rPr>
                <w:rFonts w:eastAsia="Times New Roman" w:cs="Arial"/>
                <w:b/>
                <w:bCs/>
                <w:color w:val="000000"/>
                <w:szCs w:val="24"/>
                <w:u w:val="single"/>
                <w:lang w:eastAsia="cs-CZ"/>
              </w:rPr>
              <w:t xml:space="preserve"> </w:t>
            </w:r>
            <w:r w:rsidRPr="00670437">
              <w:rPr>
                <w:rFonts w:eastAsia="Times New Roman" w:cs="Arial"/>
                <w:b/>
                <w:bCs/>
                <w:color w:val="000000"/>
                <w:szCs w:val="24"/>
                <w:u w:val="single"/>
                <w:lang w:eastAsia="cs-CZ"/>
              </w:rPr>
              <w:t>2016</w:t>
            </w:r>
          </w:p>
        </w:tc>
      </w:tr>
      <w:tr w:rsidR="00670437" w:rsidRPr="00670437" w:rsidTr="000D7385">
        <w:trPr>
          <w:trHeight w:val="2476"/>
        </w:trPr>
        <w:tc>
          <w:tcPr>
            <w:tcW w:w="709" w:type="dxa"/>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567" w:type="dxa"/>
            <w:tcBorders>
              <w:top w:val="nil"/>
              <w:left w:val="nil"/>
              <w:bottom w:val="nil"/>
              <w:right w:val="single" w:sz="4" w:space="0" w:color="auto"/>
            </w:tcBorders>
            <w:shd w:val="clear" w:color="auto" w:fill="auto"/>
            <w:textDirection w:val="btLr"/>
            <w:vAlign w:val="center"/>
            <w:hideMark/>
          </w:tcPr>
          <w:p w:rsidR="00670437" w:rsidRPr="00670437" w:rsidRDefault="00670437" w:rsidP="00670437">
            <w:pPr>
              <w:spacing w:line="240" w:lineRule="auto"/>
              <w:jc w:val="center"/>
              <w:rPr>
                <w:rFonts w:eastAsia="Times New Roman" w:cs="Arial"/>
                <w:color w:val="000000"/>
                <w:szCs w:val="24"/>
                <w:lang w:eastAsia="cs-CZ"/>
              </w:rPr>
            </w:pPr>
            <w:r w:rsidRPr="00670437">
              <w:rPr>
                <w:rFonts w:eastAsia="Times New Roman" w:cs="Arial"/>
                <w:color w:val="000000"/>
                <w:szCs w:val="24"/>
                <w:lang w:eastAsia="cs-CZ"/>
              </w:rPr>
              <w:t xml:space="preserve">předchozí </w:t>
            </w:r>
          </w:p>
        </w:tc>
        <w:tc>
          <w:tcPr>
            <w:tcW w:w="12940" w:type="dxa"/>
            <w:gridSpan w:val="8"/>
            <w:tcBorders>
              <w:top w:val="nil"/>
              <w:left w:val="nil"/>
              <w:bottom w:val="nil"/>
              <w:right w:val="single" w:sz="8" w:space="0" w:color="000000"/>
            </w:tcBorders>
            <w:shd w:val="clear" w:color="auto" w:fill="auto"/>
            <w:hideMark/>
          </w:tcPr>
          <w:p w:rsidR="00670437" w:rsidRPr="00670437" w:rsidRDefault="00670437" w:rsidP="00DA4EE1">
            <w:pPr>
              <w:spacing w:line="240" w:lineRule="auto"/>
              <w:rPr>
                <w:rFonts w:eastAsia="Times New Roman" w:cs="Arial"/>
                <w:color w:val="000000"/>
                <w:szCs w:val="24"/>
                <w:lang w:eastAsia="cs-CZ"/>
              </w:rPr>
            </w:pPr>
            <w:r w:rsidRPr="00670437">
              <w:rPr>
                <w:rFonts w:eastAsia="Times New Roman" w:cs="Arial"/>
                <w:color w:val="000000"/>
                <w:szCs w:val="24"/>
                <w:lang w:eastAsia="cs-CZ"/>
              </w:rPr>
              <w:t>Poměr zkrácených pracovních úvazků na celkové zaměstnanosti v ČR v posledních dvou lete</w:t>
            </w:r>
            <w:r w:rsidR="00D47A69">
              <w:rPr>
                <w:rFonts w:eastAsia="Times New Roman" w:cs="Arial"/>
                <w:color w:val="000000"/>
                <w:szCs w:val="24"/>
                <w:lang w:eastAsia="cs-CZ"/>
              </w:rPr>
              <w:t>ch se stabilně drží kolem 6,5 %.</w:t>
            </w:r>
            <w:r w:rsidRPr="00670437">
              <w:rPr>
                <w:rFonts w:eastAsia="Times New Roman" w:cs="Arial"/>
                <w:color w:val="000000"/>
                <w:szCs w:val="24"/>
                <w:lang w:eastAsia="cs-CZ"/>
              </w:rPr>
              <w:t xml:space="preserve"> </w:t>
            </w:r>
            <w:r w:rsidR="00FA7AD6">
              <w:rPr>
                <w:rFonts w:eastAsia="Times New Roman" w:cs="Arial"/>
                <w:color w:val="000000"/>
                <w:szCs w:val="24"/>
                <w:lang w:eastAsia="cs-CZ"/>
              </w:rPr>
              <w:t>U žen došlo v 1Q</w:t>
            </w:r>
            <w:r w:rsidRPr="00670437">
              <w:rPr>
                <w:rFonts w:eastAsia="Times New Roman" w:cs="Arial"/>
                <w:color w:val="000000"/>
                <w:szCs w:val="24"/>
                <w:lang w:eastAsia="cs-CZ"/>
              </w:rPr>
              <w:t xml:space="preserve"> 2016 k mírnému nárůstu na 10,8 % oproti 10,3 % ve stejném období </w:t>
            </w:r>
            <w:r w:rsidR="00D47A69">
              <w:rPr>
                <w:rFonts w:eastAsia="Times New Roman" w:cs="Arial"/>
                <w:color w:val="000000"/>
                <w:szCs w:val="24"/>
                <w:lang w:eastAsia="cs-CZ"/>
              </w:rPr>
              <w:t>2015</w:t>
            </w:r>
            <w:r w:rsidRPr="00670437">
              <w:rPr>
                <w:rFonts w:eastAsia="Times New Roman" w:cs="Arial"/>
                <w:color w:val="000000"/>
                <w:szCs w:val="24"/>
                <w:lang w:eastAsia="cs-CZ"/>
              </w:rPr>
              <w:t xml:space="preserve">. Průměr EU se pohybuje kolem 20,5 </w:t>
            </w:r>
            <w:r w:rsidR="00D47A69">
              <w:rPr>
                <w:rFonts w:eastAsia="Times New Roman" w:cs="Arial"/>
                <w:color w:val="000000"/>
                <w:szCs w:val="24"/>
                <w:lang w:eastAsia="cs-CZ"/>
              </w:rPr>
              <w:t>(</w:t>
            </w:r>
            <w:r w:rsidRPr="00670437">
              <w:rPr>
                <w:rFonts w:eastAsia="Times New Roman" w:cs="Arial"/>
                <w:color w:val="000000"/>
                <w:szCs w:val="24"/>
                <w:lang w:eastAsia="cs-CZ"/>
              </w:rPr>
              <w:t>33 %</w:t>
            </w:r>
            <w:r w:rsidR="00D47A69">
              <w:rPr>
                <w:rFonts w:eastAsia="Times New Roman" w:cs="Arial"/>
                <w:color w:val="000000"/>
                <w:szCs w:val="24"/>
                <w:lang w:eastAsia="cs-CZ"/>
              </w:rPr>
              <w:t xml:space="preserve"> u žen)</w:t>
            </w:r>
            <w:r w:rsidRPr="00670437">
              <w:rPr>
                <w:rFonts w:eastAsia="Times New Roman" w:cs="Arial"/>
                <w:color w:val="000000"/>
                <w:szCs w:val="24"/>
                <w:lang w:eastAsia="cs-CZ"/>
              </w:rPr>
              <w:t>.</w:t>
            </w:r>
            <w:r w:rsidR="00D47A69">
              <w:rPr>
                <w:rFonts w:eastAsia="Times New Roman" w:cs="Arial"/>
                <w:color w:val="000000"/>
                <w:szCs w:val="24"/>
                <w:lang w:eastAsia="cs-CZ"/>
              </w:rPr>
              <w:t xml:space="preserve"> MPSV aktuálně připravuje </w:t>
            </w:r>
            <w:r w:rsidRPr="00670437">
              <w:rPr>
                <w:rFonts w:eastAsia="Times New Roman" w:cs="Arial"/>
                <w:color w:val="000000"/>
                <w:szCs w:val="24"/>
                <w:lang w:eastAsia="cs-CZ"/>
              </w:rPr>
              <w:t>Koncepc</w:t>
            </w:r>
            <w:r w:rsidR="00D47A69">
              <w:rPr>
                <w:rFonts w:eastAsia="Times New Roman" w:cs="Arial"/>
                <w:color w:val="000000"/>
                <w:szCs w:val="24"/>
                <w:lang w:eastAsia="cs-CZ"/>
              </w:rPr>
              <w:t>i</w:t>
            </w:r>
            <w:r w:rsidRPr="00670437">
              <w:rPr>
                <w:rFonts w:eastAsia="Times New Roman" w:cs="Arial"/>
                <w:color w:val="000000"/>
                <w:szCs w:val="24"/>
                <w:lang w:eastAsia="cs-CZ"/>
              </w:rPr>
              <w:t xml:space="preserve"> rodinné politiky, jejíž součástí jsou návrhy opatření k podpoře flexibilních organizací práce. Jejich vytváření je rovněž podporováno v rámci OP Z. Vytváření zkrácených pracovních úvazků pro </w:t>
            </w:r>
            <w:proofErr w:type="spellStart"/>
            <w:r w:rsidR="00FA7AD6">
              <w:rPr>
                <w:rFonts w:eastAsia="Times New Roman" w:cs="Arial"/>
                <w:color w:val="000000"/>
                <w:szCs w:val="24"/>
                <w:lang w:eastAsia="cs-CZ"/>
              </w:rPr>
              <w:t>UoZ</w:t>
            </w:r>
            <w:proofErr w:type="spellEnd"/>
            <w:r w:rsidR="00FA7AD6">
              <w:rPr>
                <w:rFonts w:eastAsia="Times New Roman" w:cs="Arial"/>
                <w:color w:val="000000"/>
                <w:szCs w:val="24"/>
                <w:lang w:eastAsia="cs-CZ"/>
              </w:rPr>
              <w:t xml:space="preserve"> je</w:t>
            </w:r>
            <w:r w:rsidRPr="00670437">
              <w:rPr>
                <w:rFonts w:eastAsia="Times New Roman" w:cs="Arial"/>
                <w:color w:val="000000"/>
                <w:szCs w:val="24"/>
                <w:lang w:eastAsia="cs-CZ"/>
              </w:rPr>
              <w:t xml:space="preserve"> podporováno v rámci APZ</w:t>
            </w:r>
            <w:r w:rsidR="00FA7AD6">
              <w:rPr>
                <w:rFonts w:eastAsia="Times New Roman" w:cs="Arial"/>
                <w:color w:val="000000"/>
                <w:szCs w:val="24"/>
                <w:lang w:eastAsia="cs-CZ"/>
              </w:rPr>
              <w:t>.</w:t>
            </w:r>
            <w:r w:rsidRPr="00670437">
              <w:rPr>
                <w:rFonts w:eastAsia="Times New Roman" w:cs="Arial"/>
                <w:color w:val="000000"/>
                <w:szCs w:val="24"/>
                <w:lang w:eastAsia="cs-CZ"/>
              </w:rPr>
              <w:t xml:space="preserve"> MPSV připravilo novelu zákona </w:t>
            </w:r>
            <w:r w:rsidR="00FA7AD6">
              <w:rPr>
                <w:rFonts w:eastAsia="Times New Roman" w:cs="Arial"/>
                <w:color w:val="000000"/>
                <w:szCs w:val="24"/>
                <w:lang w:eastAsia="cs-CZ"/>
              </w:rPr>
              <w:t>č. 262/2006 Sb., zákoník práce</w:t>
            </w:r>
            <w:r w:rsidR="00D47A69">
              <w:rPr>
                <w:rFonts w:eastAsia="Times New Roman" w:cs="Arial"/>
                <w:color w:val="000000"/>
                <w:szCs w:val="24"/>
                <w:lang w:eastAsia="cs-CZ"/>
              </w:rPr>
              <w:t xml:space="preserve"> </w:t>
            </w:r>
            <w:r w:rsidRPr="00670437">
              <w:rPr>
                <w:rFonts w:eastAsia="Times New Roman" w:cs="Arial"/>
                <w:color w:val="000000"/>
                <w:szCs w:val="24"/>
                <w:lang w:eastAsia="cs-CZ"/>
              </w:rPr>
              <w:t>(sněmovní tisk 903). Zpřesňuje podmínky výkonu práce mimo pracoviště zaměstnavatele</w:t>
            </w:r>
            <w:r w:rsidR="00D47A69">
              <w:rPr>
                <w:rFonts w:eastAsia="Times New Roman" w:cs="Arial"/>
                <w:color w:val="000000"/>
                <w:szCs w:val="24"/>
                <w:lang w:eastAsia="cs-CZ"/>
              </w:rPr>
              <w:t xml:space="preserve"> (</w:t>
            </w:r>
            <w:proofErr w:type="spellStart"/>
            <w:r w:rsidR="00D47A69">
              <w:rPr>
                <w:rFonts w:eastAsia="Times New Roman" w:cs="Arial"/>
                <w:color w:val="000000"/>
                <w:szCs w:val="24"/>
                <w:lang w:eastAsia="cs-CZ"/>
              </w:rPr>
              <w:t>homeworking</w:t>
            </w:r>
            <w:proofErr w:type="spellEnd"/>
            <w:r w:rsidR="00D47A69">
              <w:rPr>
                <w:rFonts w:eastAsia="Times New Roman" w:cs="Arial"/>
                <w:color w:val="000000"/>
                <w:szCs w:val="24"/>
                <w:lang w:eastAsia="cs-CZ"/>
              </w:rPr>
              <w:t>)</w:t>
            </w:r>
            <w:r w:rsidRPr="00670437">
              <w:rPr>
                <w:rFonts w:eastAsia="Times New Roman" w:cs="Arial"/>
                <w:color w:val="000000"/>
                <w:szCs w:val="24"/>
                <w:lang w:eastAsia="cs-CZ"/>
              </w:rPr>
              <w:t>, umožňuje dohodu o rozvržení pracovní doby samotným zaměstnancem, z čehož vyplývají důsledky zejména v podobě neuplatnění některých osobních překážek v práci, náhrady mzdy nebo platu. V souladu s Rámcovou dohodou, kterou uzavřeli sociální partneři na evropské úrovni, se upravuje práce na dálku (</w:t>
            </w:r>
            <w:proofErr w:type="spellStart"/>
            <w:r w:rsidRPr="00670437">
              <w:rPr>
                <w:rFonts w:eastAsia="Times New Roman" w:cs="Arial"/>
                <w:color w:val="000000"/>
                <w:szCs w:val="24"/>
                <w:lang w:eastAsia="cs-CZ"/>
              </w:rPr>
              <w:t>teleworking</w:t>
            </w:r>
            <w:proofErr w:type="spellEnd"/>
            <w:r w:rsidRPr="00670437">
              <w:rPr>
                <w:rFonts w:eastAsia="Times New Roman" w:cs="Arial"/>
                <w:color w:val="000000"/>
                <w:szCs w:val="24"/>
                <w:lang w:eastAsia="cs-CZ"/>
              </w:rPr>
              <w:t>).</w:t>
            </w:r>
          </w:p>
        </w:tc>
      </w:tr>
      <w:tr w:rsidR="00670437" w:rsidRPr="00670437" w:rsidTr="000D7385">
        <w:trPr>
          <w:trHeight w:val="684"/>
        </w:trPr>
        <w:tc>
          <w:tcPr>
            <w:tcW w:w="709" w:type="dxa"/>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567" w:type="dxa"/>
            <w:tcBorders>
              <w:top w:val="single" w:sz="4" w:space="0" w:color="auto"/>
              <w:left w:val="nil"/>
              <w:bottom w:val="single" w:sz="8" w:space="0" w:color="auto"/>
              <w:right w:val="single" w:sz="4" w:space="0" w:color="auto"/>
            </w:tcBorders>
            <w:shd w:val="clear" w:color="auto" w:fill="auto"/>
            <w:textDirection w:val="btLr"/>
            <w:vAlign w:val="center"/>
            <w:hideMark/>
          </w:tcPr>
          <w:p w:rsidR="00670437" w:rsidRPr="00670437" w:rsidRDefault="00670437" w:rsidP="00D47A69">
            <w:pPr>
              <w:spacing w:line="240" w:lineRule="auto"/>
              <w:jc w:val="center"/>
              <w:rPr>
                <w:rFonts w:eastAsia="Times New Roman" w:cs="Arial"/>
                <w:color w:val="000000"/>
                <w:szCs w:val="24"/>
                <w:lang w:eastAsia="cs-CZ"/>
              </w:rPr>
            </w:pPr>
            <w:r w:rsidRPr="00670437">
              <w:rPr>
                <w:rFonts w:eastAsia="Times New Roman" w:cs="Arial"/>
                <w:color w:val="000000"/>
                <w:szCs w:val="24"/>
                <w:lang w:eastAsia="cs-CZ"/>
              </w:rPr>
              <w:t xml:space="preserve">sledované </w:t>
            </w:r>
          </w:p>
        </w:tc>
        <w:tc>
          <w:tcPr>
            <w:tcW w:w="12940" w:type="dxa"/>
            <w:gridSpan w:val="8"/>
            <w:tcBorders>
              <w:top w:val="single" w:sz="4" w:space="0" w:color="auto"/>
              <w:left w:val="nil"/>
              <w:bottom w:val="single" w:sz="8" w:space="0" w:color="auto"/>
              <w:right w:val="single" w:sz="8" w:space="0" w:color="000000"/>
            </w:tcBorders>
            <w:shd w:val="clear" w:color="auto" w:fill="auto"/>
            <w:vAlign w:val="center"/>
            <w:hideMark/>
          </w:tcPr>
          <w:p w:rsidR="00670437" w:rsidRPr="00670437" w:rsidRDefault="000901EA" w:rsidP="000901EA">
            <w:pPr>
              <w:spacing w:line="240" w:lineRule="auto"/>
              <w:rPr>
                <w:rFonts w:eastAsia="Times New Roman" w:cs="Arial"/>
                <w:color w:val="000000"/>
                <w:szCs w:val="24"/>
                <w:lang w:eastAsia="cs-CZ"/>
              </w:rPr>
            </w:pPr>
            <w:r w:rsidRPr="000901EA">
              <w:rPr>
                <w:rFonts w:eastAsia="Times New Roman" w:cs="Arial"/>
                <w:color w:val="000000"/>
                <w:szCs w:val="24"/>
                <w:lang w:eastAsia="cs-CZ"/>
              </w:rPr>
              <w:t>Sněmovní tisk č. 903 byl dne 6. 12. 2016 projednán na 53. schůzi PSP v 1. čtení a přikázán k projednání výborům (usnesení č. 1444)</w:t>
            </w:r>
          </w:p>
        </w:tc>
      </w:tr>
      <w:tr w:rsidR="005F0059" w:rsidRPr="00670437" w:rsidTr="000D7385">
        <w:trPr>
          <w:trHeight w:val="285"/>
        </w:trPr>
        <w:tc>
          <w:tcPr>
            <w:tcW w:w="709" w:type="dxa"/>
            <w:tcBorders>
              <w:top w:val="single" w:sz="8" w:space="0" w:color="auto"/>
              <w:left w:val="single" w:sz="8" w:space="0" w:color="auto"/>
              <w:bottom w:val="single" w:sz="4" w:space="0" w:color="auto"/>
              <w:right w:val="nil"/>
            </w:tcBorders>
            <w:shd w:val="clear" w:color="000000" w:fill="DCE6F1"/>
            <w:noWrap/>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1.6b</w:t>
            </w:r>
          </w:p>
        </w:tc>
        <w:tc>
          <w:tcPr>
            <w:tcW w:w="567" w:type="dxa"/>
            <w:tcBorders>
              <w:top w:val="single" w:sz="8" w:space="0" w:color="auto"/>
              <w:left w:val="single" w:sz="8" w:space="0" w:color="auto"/>
              <w:bottom w:val="single" w:sz="4" w:space="0" w:color="auto"/>
              <w:right w:val="nil"/>
            </w:tcBorders>
            <w:shd w:val="clear" w:color="auto" w:fill="auto"/>
            <w:noWrap/>
            <w:vAlign w:val="center"/>
            <w:hideMark/>
          </w:tcPr>
          <w:p w:rsidR="00670437" w:rsidRPr="00670437" w:rsidRDefault="00670437"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T:</w:t>
            </w:r>
          </w:p>
        </w:tc>
        <w:tc>
          <w:tcPr>
            <w:tcW w:w="1418" w:type="dxa"/>
            <w:gridSpan w:val="2"/>
            <w:tcBorders>
              <w:top w:val="single" w:sz="8" w:space="0" w:color="auto"/>
              <w:left w:val="nil"/>
              <w:bottom w:val="single" w:sz="4" w:space="0" w:color="auto"/>
              <w:right w:val="nil"/>
            </w:tcBorders>
            <w:shd w:val="clear" w:color="auto" w:fill="auto"/>
            <w:noWrap/>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2016/2017</w:t>
            </w:r>
          </w:p>
        </w:tc>
        <w:tc>
          <w:tcPr>
            <w:tcW w:w="907" w:type="dxa"/>
            <w:tcBorders>
              <w:top w:val="single" w:sz="12" w:space="0" w:color="auto"/>
              <w:left w:val="single" w:sz="12" w:space="0" w:color="auto"/>
              <w:bottom w:val="single" w:sz="12" w:space="0" w:color="auto"/>
              <w:right w:val="nil"/>
            </w:tcBorders>
            <w:shd w:val="clear" w:color="auto" w:fill="auto"/>
            <w:noWrap/>
            <w:vAlign w:val="center"/>
            <w:hideMark/>
          </w:tcPr>
          <w:p w:rsidR="00670437" w:rsidRPr="00670437" w:rsidRDefault="00670437"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gesce:</w:t>
            </w:r>
          </w:p>
        </w:tc>
        <w:tc>
          <w:tcPr>
            <w:tcW w:w="1097" w:type="dxa"/>
            <w:tcBorders>
              <w:top w:val="single" w:sz="12" w:space="0" w:color="auto"/>
              <w:left w:val="nil"/>
              <w:bottom w:val="single" w:sz="8" w:space="0" w:color="auto"/>
              <w:right w:val="single" w:sz="4" w:space="0" w:color="auto"/>
            </w:tcBorders>
            <w:shd w:val="clear" w:color="auto" w:fill="auto"/>
            <w:noWrap/>
            <w:vAlign w:val="center"/>
            <w:hideMark/>
          </w:tcPr>
          <w:p w:rsidR="00670437" w:rsidRPr="00670437" w:rsidRDefault="00670437" w:rsidP="00670437">
            <w:pPr>
              <w:spacing w:line="240" w:lineRule="auto"/>
              <w:jc w:val="left"/>
              <w:rPr>
                <w:rFonts w:eastAsia="Times New Roman" w:cs="Arial"/>
                <w:b/>
                <w:bCs/>
                <w:color w:val="000000"/>
                <w:szCs w:val="24"/>
                <w:lang w:eastAsia="cs-CZ"/>
              </w:rPr>
            </w:pPr>
            <w:r w:rsidRPr="00670437">
              <w:rPr>
                <w:rFonts w:eastAsia="Times New Roman" w:cs="Arial"/>
                <w:b/>
                <w:bCs/>
                <w:color w:val="000000"/>
                <w:szCs w:val="24"/>
                <w:lang w:eastAsia="cs-CZ"/>
              </w:rPr>
              <w:t>MPSV</w:t>
            </w:r>
          </w:p>
        </w:tc>
        <w:tc>
          <w:tcPr>
            <w:tcW w:w="1415" w:type="dxa"/>
            <w:tcBorders>
              <w:left w:val="single" w:sz="4" w:space="0" w:color="auto"/>
              <w:bottom w:val="single" w:sz="8" w:space="0" w:color="auto"/>
            </w:tcBorders>
            <w:shd w:val="clear" w:color="auto" w:fill="auto"/>
            <w:noWrap/>
            <w:vAlign w:val="center"/>
          </w:tcPr>
          <w:p w:rsidR="00670437" w:rsidRPr="00670437" w:rsidRDefault="00670437" w:rsidP="00670437">
            <w:pPr>
              <w:spacing w:line="240" w:lineRule="auto"/>
              <w:jc w:val="right"/>
              <w:rPr>
                <w:rFonts w:eastAsia="Times New Roman" w:cs="Arial"/>
                <w:color w:val="000000"/>
                <w:szCs w:val="24"/>
                <w:lang w:eastAsia="cs-CZ"/>
              </w:rPr>
            </w:pPr>
          </w:p>
        </w:tc>
        <w:tc>
          <w:tcPr>
            <w:tcW w:w="5203" w:type="dxa"/>
            <w:tcBorders>
              <w:bottom w:val="single" w:sz="8" w:space="0" w:color="auto"/>
            </w:tcBorders>
            <w:shd w:val="clear" w:color="auto" w:fill="auto"/>
            <w:noWrap/>
            <w:vAlign w:val="center"/>
          </w:tcPr>
          <w:p w:rsidR="00670437" w:rsidRPr="00670437" w:rsidRDefault="00670437" w:rsidP="00670437">
            <w:pPr>
              <w:spacing w:line="240" w:lineRule="auto"/>
              <w:jc w:val="right"/>
              <w:rPr>
                <w:rFonts w:eastAsia="Times New Roman" w:cs="Arial"/>
                <w:color w:val="000000"/>
                <w:szCs w:val="24"/>
                <w:lang w:eastAsia="cs-CZ"/>
              </w:rPr>
            </w:pPr>
          </w:p>
        </w:tc>
        <w:tc>
          <w:tcPr>
            <w:tcW w:w="1000" w:type="dxa"/>
            <w:tcBorders>
              <w:bottom w:val="single" w:sz="8" w:space="0" w:color="auto"/>
            </w:tcBorders>
            <w:shd w:val="clear" w:color="auto" w:fill="auto"/>
            <w:noWrap/>
            <w:vAlign w:val="center"/>
          </w:tcPr>
          <w:p w:rsidR="00670437" w:rsidRPr="00670437" w:rsidRDefault="00670437" w:rsidP="00670437">
            <w:pPr>
              <w:spacing w:line="240" w:lineRule="auto"/>
              <w:jc w:val="right"/>
              <w:rPr>
                <w:rFonts w:eastAsia="Times New Roman" w:cs="Arial"/>
                <w:color w:val="000000"/>
                <w:szCs w:val="24"/>
                <w:lang w:eastAsia="cs-CZ"/>
              </w:rPr>
            </w:pPr>
          </w:p>
        </w:tc>
        <w:tc>
          <w:tcPr>
            <w:tcW w:w="1900" w:type="dxa"/>
            <w:tcBorders>
              <w:bottom w:val="single" w:sz="8" w:space="0" w:color="auto"/>
            </w:tcBorders>
            <w:shd w:val="clear" w:color="auto" w:fill="auto"/>
            <w:noWrap/>
            <w:vAlign w:val="center"/>
          </w:tcPr>
          <w:p w:rsidR="00670437" w:rsidRPr="00670437" w:rsidRDefault="00670437" w:rsidP="00670437">
            <w:pPr>
              <w:spacing w:line="240" w:lineRule="auto"/>
              <w:jc w:val="right"/>
              <w:rPr>
                <w:rFonts w:eastAsia="Times New Roman" w:cs="Arial"/>
                <w:b/>
                <w:bCs/>
                <w:color w:val="000000"/>
                <w:szCs w:val="24"/>
                <w:lang w:eastAsia="cs-CZ"/>
              </w:rPr>
            </w:pPr>
          </w:p>
        </w:tc>
      </w:tr>
      <w:tr w:rsidR="00901930" w:rsidRPr="00670437" w:rsidTr="000D7385">
        <w:trPr>
          <w:trHeight w:val="285"/>
        </w:trPr>
        <w:tc>
          <w:tcPr>
            <w:tcW w:w="709"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670437" w:rsidRPr="00670437" w:rsidRDefault="00670437" w:rsidP="00670437">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Agenturní zaměstnávání</w:t>
            </w:r>
          </w:p>
        </w:tc>
        <w:tc>
          <w:tcPr>
            <w:tcW w:w="1985" w:type="dxa"/>
            <w:gridSpan w:val="3"/>
            <w:tcBorders>
              <w:top w:val="single" w:sz="4" w:space="0" w:color="auto"/>
              <w:left w:val="nil"/>
              <w:bottom w:val="double" w:sz="6" w:space="0" w:color="auto"/>
              <w:right w:val="nil"/>
            </w:tcBorders>
            <w:shd w:val="clear" w:color="auto" w:fill="auto"/>
            <w:noWrap/>
            <w:vAlign w:val="center"/>
            <w:hideMark/>
          </w:tcPr>
          <w:p w:rsidR="00670437" w:rsidRPr="00670437" w:rsidRDefault="00670437" w:rsidP="00670437">
            <w:pPr>
              <w:spacing w:line="240" w:lineRule="auto"/>
              <w:jc w:val="right"/>
              <w:rPr>
                <w:rFonts w:eastAsia="Times New Roman" w:cs="Arial"/>
                <w:b/>
                <w:bCs/>
                <w:color w:val="000000"/>
                <w:szCs w:val="24"/>
                <w:lang w:eastAsia="cs-CZ"/>
              </w:rPr>
            </w:pPr>
            <w:r w:rsidRPr="00670437">
              <w:rPr>
                <w:rFonts w:eastAsia="Times New Roman" w:cs="Arial"/>
                <w:b/>
                <w:bCs/>
                <w:color w:val="000000"/>
                <w:szCs w:val="24"/>
                <w:lang w:eastAsia="cs-CZ"/>
              </w:rPr>
              <w:t>povaha:</w:t>
            </w:r>
          </w:p>
        </w:tc>
        <w:tc>
          <w:tcPr>
            <w:tcW w:w="907" w:type="dxa"/>
            <w:tcBorders>
              <w:top w:val="nil"/>
              <w:left w:val="nil"/>
              <w:bottom w:val="double" w:sz="6" w:space="0" w:color="auto"/>
              <w:right w:val="double" w:sz="6" w:space="0" w:color="auto"/>
            </w:tcBorders>
            <w:shd w:val="clear" w:color="auto" w:fill="auto"/>
            <w:noWrap/>
            <w:vAlign w:val="center"/>
            <w:hideMark/>
          </w:tcPr>
          <w:p w:rsidR="00670437" w:rsidRPr="00670437" w:rsidRDefault="00670437" w:rsidP="0064576D">
            <w:pPr>
              <w:spacing w:line="240" w:lineRule="auto"/>
              <w:jc w:val="left"/>
              <w:rPr>
                <w:rFonts w:eastAsia="Times New Roman" w:cs="Arial"/>
                <w:b/>
                <w:bCs/>
                <w:color w:val="000000"/>
                <w:szCs w:val="24"/>
                <w:lang w:eastAsia="cs-CZ"/>
              </w:rPr>
            </w:pPr>
            <w:r w:rsidRPr="00670437">
              <w:rPr>
                <w:rFonts w:eastAsia="Times New Roman" w:cs="Arial"/>
                <w:b/>
                <w:bCs/>
                <w:color w:val="000000"/>
                <w:szCs w:val="24"/>
                <w:lang w:eastAsia="cs-CZ"/>
              </w:rPr>
              <w:t>L</w:t>
            </w:r>
          </w:p>
        </w:tc>
        <w:tc>
          <w:tcPr>
            <w:tcW w:w="7715" w:type="dxa"/>
            <w:gridSpan w:val="3"/>
            <w:tcBorders>
              <w:top w:val="single" w:sz="8" w:space="0" w:color="auto"/>
              <w:left w:val="nil"/>
              <w:right w:val="nil"/>
            </w:tcBorders>
            <w:shd w:val="clear" w:color="auto" w:fill="auto"/>
            <w:noWrap/>
            <w:vAlign w:val="center"/>
            <w:hideMark/>
          </w:tcPr>
          <w:p w:rsidR="00670437" w:rsidRPr="00670437" w:rsidRDefault="00670437"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Popis</w:t>
            </w:r>
          </w:p>
        </w:tc>
        <w:tc>
          <w:tcPr>
            <w:tcW w:w="1000" w:type="dxa"/>
            <w:tcBorders>
              <w:top w:val="single" w:sz="8" w:space="0" w:color="auto"/>
              <w:left w:val="nil"/>
              <w:right w:val="nil"/>
            </w:tcBorders>
            <w:shd w:val="clear" w:color="auto" w:fill="auto"/>
            <w:noWrap/>
            <w:vAlign w:val="center"/>
          </w:tcPr>
          <w:p w:rsidR="00670437" w:rsidRPr="00670437" w:rsidRDefault="00670437" w:rsidP="00670437">
            <w:pPr>
              <w:spacing w:line="240" w:lineRule="auto"/>
              <w:jc w:val="center"/>
              <w:rPr>
                <w:rFonts w:eastAsia="Times New Roman" w:cs="Arial"/>
                <w:b/>
                <w:bCs/>
                <w:color w:val="000000"/>
                <w:szCs w:val="24"/>
                <w:u w:val="single"/>
                <w:lang w:eastAsia="cs-CZ"/>
              </w:rPr>
            </w:pPr>
          </w:p>
        </w:tc>
        <w:tc>
          <w:tcPr>
            <w:tcW w:w="1900" w:type="dxa"/>
            <w:tcBorders>
              <w:top w:val="single" w:sz="8" w:space="0" w:color="auto"/>
              <w:left w:val="nil"/>
              <w:right w:val="single" w:sz="8" w:space="0" w:color="auto"/>
            </w:tcBorders>
            <w:shd w:val="clear" w:color="auto" w:fill="auto"/>
            <w:noWrap/>
            <w:vAlign w:val="center"/>
          </w:tcPr>
          <w:p w:rsidR="00670437" w:rsidRPr="00670437" w:rsidRDefault="00670437" w:rsidP="00670437">
            <w:pPr>
              <w:spacing w:line="240" w:lineRule="auto"/>
              <w:jc w:val="center"/>
              <w:rPr>
                <w:rFonts w:eastAsia="Times New Roman" w:cs="Arial"/>
                <w:b/>
                <w:bCs/>
                <w:color w:val="000000"/>
                <w:szCs w:val="24"/>
                <w:u w:val="single"/>
                <w:lang w:eastAsia="cs-CZ"/>
              </w:rPr>
            </w:pPr>
          </w:p>
        </w:tc>
      </w:tr>
      <w:tr w:rsidR="00670437" w:rsidRPr="00670437" w:rsidTr="000D7385">
        <w:trPr>
          <w:trHeight w:val="570"/>
        </w:trPr>
        <w:tc>
          <w:tcPr>
            <w:tcW w:w="709" w:type="dxa"/>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13507" w:type="dxa"/>
            <w:gridSpan w:val="9"/>
            <w:tcBorders>
              <w:top w:val="nil"/>
              <w:left w:val="nil"/>
              <w:bottom w:val="double" w:sz="6" w:space="0" w:color="auto"/>
              <w:right w:val="single" w:sz="8" w:space="0" w:color="000000"/>
            </w:tcBorders>
            <w:shd w:val="clear" w:color="auto" w:fill="auto"/>
            <w:vAlign w:val="center"/>
            <w:hideMark/>
          </w:tcPr>
          <w:p w:rsidR="00670437" w:rsidRPr="00670437" w:rsidRDefault="00670437" w:rsidP="001C7F7C">
            <w:pPr>
              <w:spacing w:line="240" w:lineRule="auto"/>
              <w:rPr>
                <w:rFonts w:eastAsia="Times New Roman" w:cs="Arial"/>
                <w:color w:val="000000"/>
                <w:szCs w:val="24"/>
                <w:lang w:eastAsia="cs-CZ"/>
              </w:rPr>
            </w:pPr>
            <w:r w:rsidRPr="00670437">
              <w:rPr>
                <w:rFonts w:eastAsia="Times New Roman" w:cs="Arial"/>
                <w:color w:val="000000"/>
                <w:szCs w:val="24"/>
                <w:lang w:eastAsia="cs-CZ"/>
              </w:rPr>
              <w:t xml:space="preserve">MPSV provede revizi systému agenturního zaměstnávání, zejména v rámci </w:t>
            </w:r>
            <w:proofErr w:type="spellStart"/>
            <w:r w:rsidR="001C7F7C">
              <w:rPr>
                <w:rFonts w:eastAsia="Times New Roman" w:cs="Arial"/>
                <w:color w:val="000000"/>
                <w:szCs w:val="24"/>
                <w:lang w:eastAsia="cs-CZ"/>
              </w:rPr>
              <w:t>ZoZ</w:t>
            </w:r>
            <w:proofErr w:type="spellEnd"/>
            <w:r w:rsidRPr="00670437">
              <w:rPr>
                <w:rFonts w:eastAsia="Times New Roman" w:cs="Arial"/>
                <w:color w:val="000000"/>
                <w:szCs w:val="24"/>
                <w:lang w:eastAsia="cs-CZ"/>
              </w:rPr>
              <w:t xml:space="preserve"> s cílem zvýšit jistotu na trhu práce zaměstnanců agentur práce dočasně přidělovaných k uživatelům.</w:t>
            </w:r>
          </w:p>
        </w:tc>
      </w:tr>
      <w:tr w:rsidR="00EE055B" w:rsidRPr="00670437" w:rsidTr="000D7385">
        <w:trPr>
          <w:trHeight w:val="266"/>
        </w:trPr>
        <w:tc>
          <w:tcPr>
            <w:tcW w:w="709" w:type="dxa"/>
            <w:vMerge/>
            <w:tcBorders>
              <w:top w:val="nil"/>
              <w:left w:val="single" w:sz="8" w:space="0" w:color="auto"/>
              <w:bottom w:val="single" w:sz="8" w:space="0" w:color="000000"/>
              <w:right w:val="double" w:sz="6" w:space="0" w:color="auto"/>
            </w:tcBorders>
            <w:vAlign w:val="center"/>
            <w:hideMark/>
          </w:tcPr>
          <w:p w:rsidR="00EE055B" w:rsidRPr="00670437" w:rsidRDefault="00EE055B" w:rsidP="00670437">
            <w:pPr>
              <w:spacing w:line="240" w:lineRule="auto"/>
              <w:jc w:val="left"/>
              <w:rPr>
                <w:rFonts w:eastAsia="Times New Roman" w:cs="Arial"/>
                <w:b/>
                <w:bCs/>
                <w:color w:val="000000"/>
                <w:szCs w:val="24"/>
                <w:lang w:eastAsia="cs-CZ"/>
              </w:rPr>
            </w:pPr>
          </w:p>
        </w:tc>
        <w:tc>
          <w:tcPr>
            <w:tcW w:w="2892" w:type="dxa"/>
            <w:gridSpan w:val="4"/>
            <w:tcBorders>
              <w:top w:val="double" w:sz="6" w:space="0" w:color="auto"/>
              <w:left w:val="double" w:sz="6" w:space="0" w:color="auto"/>
              <w:bottom w:val="double" w:sz="6" w:space="0" w:color="auto"/>
              <w:right w:val="double" w:sz="6" w:space="0" w:color="auto"/>
            </w:tcBorders>
            <w:shd w:val="clear" w:color="000000" w:fill="F2DCDB"/>
            <w:noWrap/>
            <w:vAlign w:val="center"/>
          </w:tcPr>
          <w:p w:rsidR="00EE055B" w:rsidRPr="00670437" w:rsidRDefault="00EE055B" w:rsidP="00EE055B">
            <w:pPr>
              <w:spacing w:line="240" w:lineRule="auto"/>
              <w:jc w:val="center"/>
              <w:rPr>
                <w:rFonts w:eastAsia="Times New Roman" w:cs="Arial"/>
                <w:b/>
                <w:bCs/>
                <w:color w:val="000000"/>
                <w:szCs w:val="24"/>
                <w:lang w:eastAsia="cs-CZ"/>
              </w:rPr>
            </w:pPr>
            <w:r w:rsidRPr="00670437">
              <w:rPr>
                <w:rFonts w:eastAsia="Times New Roman" w:cs="Arial"/>
                <w:b/>
                <w:bCs/>
                <w:color w:val="000000"/>
                <w:szCs w:val="24"/>
                <w:lang w:eastAsia="cs-CZ"/>
              </w:rPr>
              <w:t>Řešeno</w:t>
            </w:r>
          </w:p>
        </w:tc>
        <w:tc>
          <w:tcPr>
            <w:tcW w:w="7715" w:type="dxa"/>
            <w:gridSpan w:val="3"/>
            <w:tcBorders>
              <w:top w:val="double" w:sz="6" w:space="0" w:color="auto"/>
              <w:left w:val="double" w:sz="6" w:space="0" w:color="auto"/>
              <w:bottom w:val="nil"/>
              <w:right w:val="nil"/>
            </w:tcBorders>
            <w:shd w:val="clear" w:color="auto" w:fill="auto"/>
            <w:vAlign w:val="center"/>
            <w:hideMark/>
          </w:tcPr>
          <w:p w:rsidR="00EE055B" w:rsidRPr="00670437" w:rsidRDefault="00EE055B"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Plnění</w:t>
            </w:r>
          </w:p>
        </w:tc>
        <w:tc>
          <w:tcPr>
            <w:tcW w:w="1000" w:type="dxa"/>
            <w:tcBorders>
              <w:top w:val="nil"/>
              <w:left w:val="single" w:sz="8" w:space="0" w:color="auto"/>
              <w:bottom w:val="single" w:sz="8" w:space="0" w:color="auto"/>
              <w:right w:val="nil"/>
            </w:tcBorders>
            <w:shd w:val="clear" w:color="auto" w:fill="auto"/>
            <w:vAlign w:val="center"/>
            <w:hideMark/>
          </w:tcPr>
          <w:p w:rsidR="00EE055B" w:rsidRPr="00670437" w:rsidRDefault="00EE055B" w:rsidP="00670437">
            <w:pPr>
              <w:spacing w:line="240" w:lineRule="auto"/>
              <w:jc w:val="right"/>
              <w:rPr>
                <w:rFonts w:eastAsia="Times New Roman" w:cs="Arial"/>
                <w:color w:val="000000"/>
                <w:szCs w:val="24"/>
                <w:lang w:eastAsia="cs-CZ"/>
              </w:rPr>
            </w:pPr>
            <w:r w:rsidRPr="00670437">
              <w:rPr>
                <w:rFonts w:eastAsia="Times New Roman" w:cs="Arial"/>
                <w:color w:val="000000"/>
                <w:szCs w:val="24"/>
                <w:lang w:eastAsia="cs-CZ"/>
              </w:rPr>
              <w:t>k datu</w:t>
            </w:r>
          </w:p>
        </w:tc>
        <w:tc>
          <w:tcPr>
            <w:tcW w:w="1900" w:type="dxa"/>
            <w:tcBorders>
              <w:top w:val="nil"/>
              <w:left w:val="nil"/>
              <w:bottom w:val="single" w:sz="8" w:space="0" w:color="auto"/>
              <w:right w:val="single" w:sz="8" w:space="0" w:color="auto"/>
            </w:tcBorders>
            <w:shd w:val="clear" w:color="auto" w:fill="auto"/>
            <w:vAlign w:val="center"/>
            <w:hideMark/>
          </w:tcPr>
          <w:p w:rsidR="00EE055B" w:rsidRPr="00670437" w:rsidRDefault="00EE055B" w:rsidP="00670437">
            <w:pPr>
              <w:spacing w:line="240" w:lineRule="auto"/>
              <w:jc w:val="center"/>
              <w:rPr>
                <w:rFonts w:eastAsia="Times New Roman" w:cs="Arial"/>
                <w:b/>
                <w:bCs/>
                <w:color w:val="000000"/>
                <w:szCs w:val="24"/>
                <w:u w:val="single"/>
                <w:lang w:eastAsia="cs-CZ"/>
              </w:rPr>
            </w:pPr>
            <w:r w:rsidRPr="00670437">
              <w:rPr>
                <w:rFonts w:eastAsia="Times New Roman" w:cs="Arial"/>
                <w:b/>
                <w:bCs/>
                <w:color w:val="000000"/>
                <w:szCs w:val="24"/>
                <w:u w:val="single"/>
                <w:lang w:eastAsia="cs-CZ"/>
              </w:rPr>
              <w:t>31.</w:t>
            </w:r>
            <w:r>
              <w:rPr>
                <w:rFonts w:eastAsia="Times New Roman" w:cs="Arial"/>
                <w:b/>
                <w:bCs/>
                <w:color w:val="000000"/>
                <w:szCs w:val="24"/>
                <w:u w:val="single"/>
                <w:lang w:eastAsia="cs-CZ"/>
              </w:rPr>
              <w:t xml:space="preserve"> </w:t>
            </w:r>
            <w:r w:rsidRPr="00670437">
              <w:rPr>
                <w:rFonts w:eastAsia="Times New Roman" w:cs="Arial"/>
                <w:b/>
                <w:bCs/>
                <w:color w:val="000000"/>
                <w:szCs w:val="24"/>
                <w:u w:val="single"/>
                <w:lang w:eastAsia="cs-CZ"/>
              </w:rPr>
              <w:t>12.</w:t>
            </w:r>
            <w:r>
              <w:rPr>
                <w:rFonts w:eastAsia="Times New Roman" w:cs="Arial"/>
                <w:b/>
                <w:bCs/>
                <w:color w:val="000000"/>
                <w:szCs w:val="24"/>
                <w:u w:val="single"/>
                <w:lang w:eastAsia="cs-CZ"/>
              </w:rPr>
              <w:t xml:space="preserve"> </w:t>
            </w:r>
            <w:r w:rsidRPr="00670437">
              <w:rPr>
                <w:rFonts w:eastAsia="Times New Roman" w:cs="Arial"/>
                <w:b/>
                <w:bCs/>
                <w:color w:val="000000"/>
                <w:szCs w:val="24"/>
                <w:u w:val="single"/>
                <w:lang w:eastAsia="cs-CZ"/>
              </w:rPr>
              <w:t>2016</w:t>
            </w:r>
          </w:p>
        </w:tc>
      </w:tr>
      <w:tr w:rsidR="00670437" w:rsidRPr="00670437" w:rsidTr="000D7385">
        <w:trPr>
          <w:trHeight w:val="5486"/>
        </w:trPr>
        <w:tc>
          <w:tcPr>
            <w:tcW w:w="709" w:type="dxa"/>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709" w:type="dxa"/>
            <w:gridSpan w:val="2"/>
            <w:tcBorders>
              <w:top w:val="nil"/>
              <w:left w:val="nil"/>
              <w:bottom w:val="nil"/>
              <w:right w:val="single" w:sz="4" w:space="0" w:color="auto"/>
            </w:tcBorders>
            <w:shd w:val="clear" w:color="auto" w:fill="auto"/>
            <w:textDirection w:val="btLr"/>
            <w:vAlign w:val="center"/>
            <w:hideMark/>
          </w:tcPr>
          <w:p w:rsidR="00670437" w:rsidRPr="00670437" w:rsidRDefault="00670437" w:rsidP="00670437">
            <w:pPr>
              <w:spacing w:line="240" w:lineRule="auto"/>
              <w:jc w:val="center"/>
              <w:rPr>
                <w:rFonts w:eastAsia="Times New Roman" w:cs="Arial"/>
                <w:color w:val="000000"/>
                <w:szCs w:val="24"/>
                <w:lang w:eastAsia="cs-CZ"/>
              </w:rPr>
            </w:pPr>
            <w:r w:rsidRPr="00670437">
              <w:rPr>
                <w:rFonts w:eastAsia="Times New Roman" w:cs="Arial"/>
                <w:color w:val="000000"/>
                <w:szCs w:val="24"/>
                <w:lang w:eastAsia="cs-CZ"/>
              </w:rPr>
              <w:t xml:space="preserve">předchozí </w:t>
            </w:r>
          </w:p>
        </w:tc>
        <w:tc>
          <w:tcPr>
            <w:tcW w:w="12798" w:type="dxa"/>
            <w:gridSpan w:val="7"/>
            <w:tcBorders>
              <w:top w:val="nil"/>
              <w:left w:val="nil"/>
              <w:bottom w:val="nil"/>
              <w:right w:val="single" w:sz="8" w:space="0" w:color="000000"/>
            </w:tcBorders>
            <w:shd w:val="clear" w:color="auto" w:fill="auto"/>
            <w:vAlign w:val="center"/>
            <w:hideMark/>
          </w:tcPr>
          <w:p w:rsidR="001C7F7C" w:rsidRDefault="00670437" w:rsidP="000D7385">
            <w:pPr>
              <w:spacing w:line="240" w:lineRule="auto"/>
              <w:rPr>
                <w:rFonts w:eastAsia="Times New Roman" w:cs="Arial"/>
                <w:color w:val="000000"/>
                <w:szCs w:val="24"/>
                <w:lang w:eastAsia="cs-CZ"/>
              </w:rPr>
            </w:pPr>
            <w:r w:rsidRPr="00670437">
              <w:rPr>
                <w:rFonts w:eastAsia="Times New Roman" w:cs="Arial"/>
                <w:color w:val="000000"/>
                <w:szCs w:val="24"/>
                <w:lang w:eastAsia="cs-CZ"/>
              </w:rPr>
              <w:t xml:space="preserve">Vládou ČR projednán a schválen návrh novely </w:t>
            </w:r>
            <w:proofErr w:type="spellStart"/>
            <w:r w:rsidR="001C7F7C">
              <w:rPr>
                <w:rFonts w:eastAsia="Times New Roman" w:cs="Arial"/>
                <w:color w:val="000000"/>
                <w:szCs w:val="24"/>
                <w:lang w:eastAsia="cs-CZ"/>
              </w:rPr>
              <w:t>ZoZ</w:t>
            </w:r>
            <w:proofErr w:type="spellEnd"/>
            <w:r w:rsidRPr="00670437">
              <w:rPr>
                <w:rFonts w:eastAsia="Times New Roman" w:cs="Arial"/>
                <w:color w:val="000000"/>
                <w:szCs w:val="24"/>
                <w:lang w:eastAsia="cs-CZ"/>
              </w:rPr>
              <w:t>, který obsahuje:</w:t>
            </w:r>
          </w:p>
          <w:p w:rsidR="003D561C" w:rsidRDefault="003D561C" w:rsidP="001C7F7C">
            <w:pPr>
              <w:pStyle w:val="Odstavecseseznamem"/>
              <w:numPr>
                <w:ilvl w:val="0"/>
                <w:numId w:val="15"/>
              </w:numPr>
              <w:spacing w:before="120" w:line="240" w:lineRule="auto"/>
              <w:contextualSpacing w:val="0"/>
              <w:rPr>
                <w:rFonts w:eastAsia="Times New Roman" w:cs="Arial"/>
                <w:color w:val="000000"/>
                <w:szCs w:val="24"/>
                <w:lang w:eastAsia="cs-CZ"/>
              </w:rPr>
            </w:pPr>
            <w:r w:rsidRPr="00D108C0">
              <w:rPr>
                <w:rFonts w:cs="Arial"/>
                <w:szCs w:val="24"/>
              </w:rPr>
              <w:t xml:space="preserve">zřízení komise pro udělování povolení ke zprostředkování zaměstnání </w:t>
            </w:r>
            <w:r>
              <w:rPr>
                <w:rFonts w:cs="Arial"/>
                <w:szCs w:val="24"/>
              </w:rPr>
              <w:t>GŘ</w:t>
            </w:r>
            <w:r w:rsidRPr="00D108C0">
              <w:rPr>
                <w:rFonts w:cs="Arial"/>
                <w:szCs w:val="24"/>
              </w:rPr>
              <w:t xml:space="preserve"> ÚP ČR</w:t>
            </w:r>
            <w:r w:rsidR="000901EA">
              <w:rPr>
                <w:rFonts w:cs="Arial"/>
                <w:szCs w:val="24"/>
              </w:rPr>
              <w:t>,</w:t>
            </w:r>
            <w:r w:rsidRPr="00D108C0">
              <w:rPr>
                <w:rFonts w:cs="Arial"/>
                <w:szCs w:val="24"/>
              </w:rPr>
              <w:t xml:space="preserve"> poradní</w:t>
            </w:r>
            <w:r w:rsidR="000901EA">
              <w:rPr>
                <w:rFonts w:cs="Arial"/>
                <w:szCs w:val="24"/>
              </w:rPr>
              <w:t xml:space="preserve"> orgán</w:t>
            </w:r>
            <w:r w:rsidRPr="00D108C0">
              <w:rPr>
                <w:rFonts w:cs="Arial"/>
                <w:szCs w:val="24"/>
              </w:rPr>
              <w:t xml:space="preserve"> k posouzení žádosti o povolení ke zprostředkování zaměstnání</w:t>
            </w:r>
            <w:r w:rsidR="000901EA">
              <w:rPr>
                <w:rFonts w:cs="Arial"/>
                <w:szCs w:val="24"/>
              </w:rPr>
              <w:t>,</w:t>
            </w:r>
            <w:r w:rsidRPr="00D108C0">
              <w:rPr>
                <w:rFonts w:cs="Arial"/>
                <w:szCs w:val="24"/>
              </w:rPr>
              <w:t xml:space="preserve"> </w:t>
            </w:r>
            <w:r w:rsidR="000901EA">
              <w:rPr>
                <w:rFonts w:cs="Arial"/>
                <w:szCs w:val="24"/>
              </w:rPr>
              <w:t>o nejméně 5 členech</w:t>
            </w:r>
            <w:r w:rsidRPr="00D108C0">
              <w:rPr>
                <w:rFonts w:cs="Arial"/>
                <w:szCs w:val="24"/>
              </w:rPr>
              <w:t xml:space="preserve"> </w:t>
            </w:r>
            <w:r w:rsidR="000901EA">
              <w:rPr>
                <w:rFonts w:cs="Arial"/>
                <w:szCs w:val="24"/>
              </w:rPr>
              <w:t>(</w:t>
            </w:r>
            <w:r w:rsidRPr="00D108C0">
              <w:rPr>
                <w:rFonts w:cs="Arial"/>
                <w:szCs w:val="24"/>
              </w:rPr>
              <w:t xml:space="preserve">ÚP ČR, </w:t>
            </w:r>
            <w:r>
              <w:rPr>
                <w:rFonts w:cs="Arial"/>
                <w:szCs w:val="24"/>
              </w:rPr>
              <w:t>MPSV</w:t>
            </w:r>
            <w:r w:rsidR="000901EA">
              <w:rPr>
                <w:rFonts w:cs="Arial"/>
                <w:szCs w:val="24"/>
              </w:rPr>
              <w:t xml:space="preserve">, </w:t>
            </w:r>
            <w:r w:rsidRPr="00D108C0">
              <w:rPr>
                <w:rFonts w:cs="Arial"/>
                <w:szCs w:val="24"/>
              </w:rPr>
              <w:t xml:space="preserve">další </w:t>
            </w:r>
            <w:r w:rsidR="000901EA">
              <w:rPr>
                <w:rFonts w:cs="Arial"/>
                <w:szCs w:val="24"/>
              </w:rPr>
              <w:t xml:space="preserve">nestranné </w:t>
            </w:r>
            <w:r w:rsidRPr="00D108C0">
              <w:rPr>
                <w:rFonts w:cs="Arial"/>
                <w:szCs w:val="24"/>
              </w:rPr>
              <w:t>fyzick</w:t>
            </w:r>
            <w:r w:rsidR="000901EA">
              <w:rPr>
                <w:rFonts w:cs="Arial"/>
                <w:szCs w:val="24"/>
              </w:rPr>
              <w:t>é</w:t>
            </w:r>
            <w:r w:rsidRPr="00D108C0">
              <w:rPr>
                <w:rFonts w:cs="Arial"/>
                <w:szCs w:val="24"/>
              </w:rPr>
              <w:t xml:space="preserve"> osob</w:t>
            </w:r>
            <w:r w:rsidR="000901EA">
              <w:rPr>
                <w:rFonts w:cs="Arial"/>
                <w:szCs w:val="24"/>
              </w:rPr>
              <w:t>y) jmenovaných</w:t>
            </w:r>
            <w:r w:rsidRPr="00D108C0">
              <w:rPr>
                <w:rStyle w:val="Odkaznakoment"/>
                <w:rFonts w:cs="Arial"/>
                <w:szCs w:val="24"/>
                <w:lang w:val="x-none"/>
              </w:rPr>
              <w:t xml:space="preserve"> </w:t>
            </w:r>
            <w:r w:rsidRPr="00D108C0">
              <w:rPr>
                <w:rFonts w:cs="Arial"/>
                <w:szCs w:val="24"/>
              </w:rPr>
              <w:t>generální</w:t>
            </w:r>
            <w:r w:rsidR="000901EA">
              <w:rPr>
                <w:rFonts w:cs="Arial"/>
                <w:szCs w:val="24"/>
              </w:rPr>
              <w:t>m</w:t>
            </w:r>
            <w:r w:rsidRPr="00D108C0">
              <w:rPr>
                <w:rFonts w:cs="Arial"/>
                <w:szCs w:val="24"/>
              </w:rPr>
              <w:t xml:space="preserve"> ředitel</w:t>
            </w:r>
            <w:r w:rsidR="000901EA">
              <w:rPr>
                <w:rFonts w:cs="Arial"/>
                <w:szCs w:val="24"/>
              </w:rPr>
              <w:t>em</w:t>
            </w:r>
            <w:r w:rsidRPr="00D108C0">
              <w:rPr>
                <w:rFonts w:cs="Arial"/>
                <w:szCs w:val="24"/>
              </w:rPr>
              <w:t xml:space="preserve"> ÚP ČR</w:t>
            </w:r>
            <w:r w:rsidR="000901EA">
              <w:rPr>
                <w:rFonts w:cs="Arial"/>
                <w:szCs w:val="24"/>
              </w:rPr>
              <w:t>, kterému bude</w:t>
            </w:r>
            <w:r w:rsidRPr="00D108C0">
              <w:rPr>
                <w:rFonts w:cs="Arial"/>
                <w:szCs w:val="24"/>
              </w:rPr>
              <w:t xml:space="preserve"> </w:t>
            </w:r>
            <w:r w:rsidR="000901EA">
              <w:rPr>
                <w:rFonts w:cs="Arial"/>
                <w:szCs w:val="24"/>
              </w:rPr>
              <w:t xml:space="preserve">komise </w:t>
            </w:r>
            <w:r w:rsidRPr="00D108C0">
              <w:rPr>
                <w:rFonts w:cs="Arial"/>
                <w:szCs w:val="24"/>
              </w:rPr>
              <w:t>předkládat návrh rozho</w:t>
            </w:r>
            <w:r w:rsidR="000901EA">
              <w:rPr>
                <w:rFonts w:cs="Arial"/>
                <w:szCs w:val="24"/>
              </w:rPr>
              <w:t>dnutí o žádosti o </w:t>
            </w:r>
            <w:r w:rsidRPr="00D108C0">
              <w:rPr>
                <w:rFonts w:cs="Arial"/>
                <w:szCs w:val="24"/>
              </w:rPr>
              <w:t>povolení ke zprostředkování zaměstnání. Činnost komise bude zabezpečovat ÚP ČR</w:t>
            </w:r>
            <w:r>
              <w:rPr>
                <w:rFonts w:cs="Arial"/>
                <w:szCs w:val="24"/>
              </w:rPr>
              <w:t>,</w:t>
            </w:r>
          </w:p>
          <w:p w:rsidR="001C7F7C" w:rsidRDefault="00670437" w:rsidP="001C7F7C">
            <w:pPr>
              <w:pStyle w:val="Odstavecseseznamem"/>
              <w:numPr>
                <w:ilvl w:val="0"/>
                <w:numId w:val="15"/>
              </w:numPr>
              <w:spacing w:before="120" w:line="240" w:lineRule="auto"/>
              <w:contextualSpacing w:val="0"/>
              <w:rPr>
                <w:rFonts w:eastAsia="Times New Roman" w:cs="Arial"/>
                <w:color w:val="000000"/>
                <w:szCs w:val="24"/>
                <w:lang w:eastAsia="cs-CZ"/>
              </w:rPr>
            </w:pPr>
            <w:r w:rsidRPr="001C7F7C">
              <w:rPr>
                <w:rFonts w:eastAsia="Times New Roman" w:cs="Arial"/>
                <w:color w:val="000000"/>
                <w:szCs w:val="24"/>
                <w:lang w:eastAsia="cs-CZ"/>
              </w:rPr>
              <w:t xml:space="preserve">ukotvení institutu kauce ve výši 500 000 Kč k prokázání finanční způsobilosti agentury práce; povinná úhrada kauce se vztahuje pouze na agentury práce s povolením ke zprostředkování zaměstnání – přidělení k uživateli. </w:t>
            </w:r>
            <w:r w:rsidR="003D561C">
              <w:rPr>
                <w:rFonts w:eastAsia="Times New Roman" w:cs="Arial"/>
                <w:color w:val="000000"/>
                <w:szCs w:val="24"/>
                <w:lang w:eastAsia="cs-CZ"/>
              </w:rPr>
              <w:t>Cílem je</w:t>
            </w:r>
            <w:r w:rsidRPr="001C7F7C">
              <w:rPr>
                <w:rFonts w:eastAsia="Times New Roman" w:cs="Arial"/>
                <w:color w:val="000000"/>
                <w:szCs w:val="24"/>
                <w:lang w:eastAsia="cs-CZ"/>
              </w:rPr>
              <w:t xml:space="preserve"> elimin</w:t>
            </w:r>
            <w:r w:rsidR="003D561C">
              <w:rPr>
                <w:rFonts w:eastAsia="Times New Roman" w:cs="Arial"/>
                <w:color w:val="000000"/>
                <w:szCs w:val="24"/>
                <w:lang w:eastAsia="cs-CZ"/>
              </w:rPr>
              <w:t>ovat</w:t>
            </w:r>
            <w:r w:rsidRPr="001C7F7C">
              <w:rPr>
                <w:rFonts w:eastAsia="Times New Roman" w:cs="Arial"/>
                <w:color w:val="000000"/>
                <w:szCs w:val="24"/>
                <w:lang w:eastAsia="cs-CZ"/>
              </w:rPr>
              <w:t xml:space="preserve"> účelové zakládání agentur práce a obcházení právních předpisů</w:t>
            </w:r>
            <w:r w:rsidR="003D561C">
              <w:rPr>
                <w:rFonts w:eastAsia="Times New Roman" w:cs="Arial"/>
                <w:color w:val="000000"/>
                <w:szCs w:val="24"/>
                <w:lang w:eastAsia="cs-CZ"/>
              </w:rPr>
              <w:t xml:space="preserve">, </w:t>
            </w:r>
            <w:r w:rsidRPr="001C7F7C">
              <w:rPr>
                <w:rFonts w:eastAsia="Times New Roman" w:cs="Arial"/>
                <w:color w:val="000000"/>
                <w:szCs w:val="24"/>
                <w:lang w:eastAsia="cs-CZ"/>
              </w:rPr>
              <w:t>poskytn</w:t>
            </w:r>
            <w:r w:rsidR="003D561C">
              <w:rPr>
                <w:rFonts w:eastAsia="Times New Roman" w:cs="Arial"/>
                <w:color w:val="000000"/>
                <w:szCs w:val="24"/>
                <w:lang w:eastAsia="cs-CZ"/>
              </w:rPr>
              <w:t>out</w:t>
            </w:r>
            <w:r w:rsidRPr="001C7F7C">
              <w:rPr>
                <w:rFonts w:eastAsia="Times New Roman" w:cs="Arial"/>
                <w:color w:val="000000"/>
                <w:szCs w:val="24"/>
                <w:lang w:eastAsia="cs-CZ"/>
              </w:rPr>
              <w:t xml:space="preserve"> jistinu na případné neuhrazené splatné nedoplatky vůči veřejným rozpočtům během </w:t>
            </w:r>
            <w:r w:rsidR="001C7F7C">
              <w:rPr>
                <w:rFonts w:eastAsia="Times New Roman" w:cs="Arial"/>
                <w:color w:val="000000"/>
                <w:szCs w:val="24"/>
                <w:lang w:eastAsia="cs-CZ"/>
              </w:rPr>
              <w:t>zprostředkovatelské činnosti.</w:t>
            </w:r>
          </w:p>
          <w:p w:rsidR="001C7F7C" w:rsidRDefault="001C7F7C" w:rsidP="001C7F7C">
            <w:pPr>
              <w:pStyle w:val="Odstavecseseznamem"/>
              <w:numPr>
                <w:ilvl w:val="0"/>
                <w:numId w:val="15"/>
              </w:numPr>
              <w:spacing w:before="120" w:line="240" w:lineRule="auto"/>
              <w:contextualSpacing w:val="0"/>
              <w:rPr>
                <w:rFonts w:eastAsia="Times New Roman" w:cs="Arial"/>
                <w:color w:val="000000"/>
                <w:szCs w:val="24"/>
                <w:lang w:eastAsia="cs-CZ"/>
              </w:rPr>
            </w:pPr>
            <w:r>
              <w:rPr>
                <w:rFonts w:eastAsia="Times New Roman" w:cs="Arial"/>
                <w:color w:val="000000"/>
                <w:szCs w:val="24"/>
                <w:lang w:eastAsia="cs-CZ"/>
              </w:rPr>
              <w:t>V</w:t>
            </w:r>
            <w:r w:rsidR="00670437" w:rsidRPr="001C7F7C">
              <w:rPr>
                <w:rFonts w:eastAsia="Times New Roman" w:cs="Arial"/>
                <w:color w:val="000000"/>
                <w:szCs w:val="24"/>
                <w:lang w:eastAsia="cs-CZ"/>
              </w:rPr>
              <w:t>ložení nového § 307b do zákoníku práce, kdy se přisuzuje odpovědnost za způsob, jakým je dočasné přidělování zaměstnanců agentur práce realizováno uživateli; uživatel bude nově povinen společně s agenturou práce zajistit, aby zaměstnanec nebyl dočasně přidělen k výkonu práce u toho uživatele, u něhož je současně zaměstnán v</w:t>
            </w:r>
            <w:r w:rsidR="000901EA">
              <w:rPr>
                <w:rFonts w:eastAsia="Times New Roman" w:cs="Arial"/>
                <w:color w:val="000000"/>
                <w:szCs w:val="24"/>
                <w:lang w:eastAsia="cs-CZ"/>
              </w:rPr>
              <w:t> </w:t>
            </w:r>
            <w:r w:rsidR="00670437" w:rsidRPr="001C7F7C">
              <w:rPr>
                <w:rFonts w:eastAsia="Times New Roman" w:cs="Arial"/>
                <w:color w:val="000000"/>
                <w:szCs w:val="24"/>
                <w:lang w:eastAsia="cs-CZ"/>
              </w:rPr>
              <w:t xml:space="preserve">základním pracovněprávním vztahu anebo konal nebo koná v témže měsíci práci na základě dočasného </w:t>
            </w:r>
            <w:r>
              <w:rPr>
                <w:rFonts w:eastAsia="Times New Roman" w:cs="Arial"/>
                <w:color w:val="000000"/>
                <w:szCs w:val="24"/>
                <w:lang w:eastAsia="cs-CZ"/>
              </w:rPr>
              <w:t>přidělení jinou agenturou práce.</w:t>
            </w:r>
          </w:p>
          <w:p w:rsidR="00670437" w:rsidRPr="001C7F7C" w:rsidRDefault="001C7F7C" w:rsidP="001C7F7C">
            <w:pPr>
              <w:pStyle w:val="Odstavecseseznamem"/>
              <w:numPr>
                <w:ilvl w:val="0"/>
                <w:numId w:val="15"/>
              </w:numPr>
              <w:spacing w:before="120" w:line="240" w:lineRule="auto"/>
              <w:contextualSpacing w:val="0"/>
              <w:rPr>
                <w:rFonts w:eastAsia="Times New Roman" w:cs="Arial"/>
                <w:color w:val="000000"/>
                <w:szCs w:val="24"/>
                <w:lang w:eastAsia="cs-CZ"/>
              </w:rPr>
            </w:pPr>
            <w:r>
              <w:rPr>
                <w:rFonts w:eastAsia="Times New Roman" w:cs="Arial"/>
                <w:color w:val="000000"/>
                <w:szCs w:val="24"/>
                <w:lang w:eastAsia="cs-CZ"/>
              </w:rPr>
              <w:t>Z</w:t>
            </w:r>
            <w:r w:rsidR="00670437" w:rsidRPr="001C7F7C">
              <w:rPr>
                <w:rFonts w:eastAsia="Times New Roman" w:cs="Arial"/>
                <w:color w:val="000000"/>
                <w:szCs w:val="24"/>
                <w:lang w:eastAsia="cs-CZ"/>
              </w:rPr>
              <w:t xml:space="preserve">měna zákona č. 251/2005 Sb., o inspekci práce, ve znění pozdějších předpisů, tak, že se deliktního jednání dopustí takový uživatelský subjekt, který nezajistí, aby dohoda o dočasném přidělení zaměstnance agentury práce obsahovala informace o pracovních a mzdových nebo platových podmínkách zaměstnance uživatele, který vykonává nebo by vykonával stejnou práci jako dočasně přidělený zaměstnanec, </w:t>
            </w:r>
            <w:r w:rsidR="00881A0C">
              <w:rPr>
                <w:rFonts w:eastAsia="Times New Roman" w:cs="Arial"/>
                <w:color w:val="000000"/>
                <w:szCs w:val="24"/>
                <w:lang w:eastAsia="cs-CZ"/>
              </w:rPr>
              <w:t>s přihlédnutím ke kvalifikaci a </w:t>
            </w:r>
            <w:r w:rsidR="00670437" w:rsidRPr="001C7F7C">
              <w:rPr>
                <w:rFonts w:eastAsia="Times New Roman" w:cs="Arial"/>
                <w:color w:val="000000"/>
                <w:szCs w:val="24"/>
                <w:lang w:eastAsia="cs-CZ"/>
              </w:rPr>
              <w:t>délce odborné praxe, nebo tyto údaje uvede nepravdivě.</w:t>
            </w:r>
          </w:p>
        </w:tc>
      </w:tr>
      <w:tr w:rsidR="00670437" w:rsidRPr="00670437" w:rsidTr="000D7385">
        <w:trPr>
          <w:trHeight w:val="897"/>
        </w:trPr>
        <w:tc>
          <w:tcPr>
            <w:tcW w:w="709" w:type="dxa"/>
            <w:vMerge/>
            <w:tcBorders>
              <w:top w:val="nil"/>
              <w:left w:val="single" w:sz="8" w:space="0" w:color="auto"/>
              <w:bottom w:val="single" w:sz="8" w:space="0" w:color="000000"/>
              <w:right w:val="single" w:sz="8" w:space="0" w:color="auto"/>
            </w:tcBorders>
            <w:vAlign w:val="center"/>
            <w:hideMark/>
          </w:tcPr>
          <w:p w:rsidR="00670437" w:rsidRPr="00670437" w:rsidRDefault="00670437" w:rsidP="00670437">
            <w:pPr>
              <w:spacing w:line="240" w:lineRule="auto"/>
              <w:jc w:val="left"/>
              <w:rPr>
                <w:rFonts w:eastAsia="Times New Roman" w:cs="Arial"/>
                <w:b/>
                <w:bCs/>
                <w:color w:val="000000"/>
                <w:szCs w:val="24"/>
                <w:lang w:eastAsia="cs-CZ"/>
              </w:rPr>
            </w:pPr>
          </w:p>
        </w:tc>
        <w:tc>
          <w:tcPr>
            <w:tcW w:w="709"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670437" w:rsidRPr="00670437" w:rsidRDefault="00670437" w:rsidP="00670437">
            <w:pPr>
              <w:spacing w:line="240" w:lineRule="auto"/>
              <w:jc w:val="center"/>
              <w:rPr>
                <w:rFonts w:eastAsia="Times New Roman" w:cs="Arial"/>
                <w:color w:val="000000"/>
                <w:szCs w:val="24"/>
                <w:lang w:eastAsia="cs-CZ"/>
              </w:rPr>
            </w:pPr>
            <w:r w:rsidRPr="00670437">
              <w:rPr>
                <w:rFonts w:eastAsia="Times New Roman" w:cs="Arial"/>
                <w:color w:val="000000"/>
                <w:szCs w:val="24"/>
                <w:lang w:eastAsia="cs-CZ"/>
              </w:rPr>
              <w:t>sledované období</w:t>
            </w:r>
          </w:p>
        </w:tc>
        <w:tc>
          <w:tcPr>
            <w:tcW w:w="12798" w:type="dxa"/>
            <w:gridSpan w:val="7"/>
            <w:tcBorders>
              <w:top w:val="single" w:sz="4" w:space="0" w:color="auto"/>
              <w:left w:val="nil"/>
              <w:bottom w:val="single" w:sz="8" w:space="0" w:color="auto"/>
              <w:right w:val="single" w:sz="8" w:space="0" w:color="000000"/>
            </w:tcBorders>
            <w:shd w:val="clear" w:color="auto" w:fill="auto"/>
            <w:vAlign w:val="center"/>
            <w:hideMark/>
          </w:tcPr>
          <w:p w:rsidR="00670437" w:rsidRPr="00670437" w:rsidRDefault="003D561C" w:rsidP="000901EA">
            <w:pPr>
              <w:spacing w:line="240" w:lineRule="auto"/>
              <w:rPr>
                <w:rFonts w:eastAsia="Times New Roman" w:cs="Arial"/>
                <w:color w:val="000000"/>
                <w:szCs w:val="24"/>
                <w:lang w:eastAsia="cs-CZ"/>
              </w:rPr>
            </w:pPr>
            <w:r>
              <w:rPr>
                <w:rFonts w:eastAsia="Times New Roman" w:cs="Arial"/>
                <w:color w:val="000000"/>
                <w:szCs w:val="20"/>
                <w:lang w:eastAsia="cs-CZ"/>
              </w:rPr>
              <w:t>Sněmovní tisk 911 byl dne 2. 12. 2016 projednán na 53. schůzi PS PČR v 1. čtení a přikázán k projednání výborům (usnesení č. 1442)</w:t>
            </w:r>
          </w:p>
        </w:tc>
      </w:tr>
    </w:tbl>
    <w:p w:rsidR="00301F26" w:rsidRDefault="00301F26" w:rsidP="00484D3B">
      <w:pPr>
        <w:spacing w:line="240" w:lineRule="auto"/>
      </w:pPr>
    </w:p>
    <w:tbl>
      <w:tblPr>
        <w:tblW w:w="14079" w:type="dxa"/>
        <w:tblInd w:w="-72" w:type="dxa"/>
        <w:tblCellMar>
          <w:left w:w="70" w:type="dxa"/>
          <w:right w:w="70" w:type="dxa"/>
        </w:tblCellMar>
        <w:tblLook w:val="04A0" w:firstRow="1" w:lastRow="0" w:firstColumn="1" w:lastColumn="0" w:noHBand="0" w:noVBand="1"/>
      </w:tblPr>
      <w:tblGrid>
        <w:gridCol w:w="119"/>
        <w:gridCol w:w="8"/>
        <w:gridCol w:w="441"/>
        <w:gridCol w:w="99"/>
        <w:gridCol w:w="460"/>
        <w:gridCol w:w="8"/>
        <w:gridCol w:w="464"/>
        <w:gridCol w:w="548"/>
        <w:gridCol w:w="737"/>
        <w:gridCol w:w="223"/>
        <w:gridCol w:w="705"/>
        <w:gridCol w:w="415"/>
        <w:gridCol w:w="1031"/>
        <w:gridCol w:w="289"/>
        <w:gridCol w:w="2370"/>
        <w:gridCol w:w="2905"/>
        <w:gridCol w:w="45"/>
        <w:gridCol w:w="1020"/>
        <w:gridCol w:w="69"/>
        <w:gridCol w:w="141"/>
        <w:gridCol w:w="1653"/>
        <w:gridCol w:w="329"/>
      </w:tblGrid>
      <w:tr w:rsidR="00A629BC" w:rsidRPr="0064576D" w:rsidTr="00B76143">
        <w:trPr>
          <w:gridBefore w:val="1"/>
          <w:gridAfter w:val="1"/>
          <w:wBefore w:w="119" w:type="dxa"/>
          <w:wAfter w:w="329" w:type="dxa"/>
          <w:trHeight w:val="435"/>
        </w:trPr>
        <w:tc>
          <w:tcPr>
            <w:tcW w:w="13631" w:type="dxa"/>
            <w:gridSpan w:val="20"/>
            <w:tcBorders>
              <w:top w:val="double" w:sz="6" w:space="0" w:color="auto"/>
              <w:left w:val="double" w:sz="6" w:space="0" w:color="auto"/>
              <w:bottom w:val="double" w:sz="6" w:space="0" w:color="auto"/>
              <w:right w:val="double" w:sz="6" w:space="0" w:color="000000"/>
            </w:tcBorders>
            <w:shd w:val="clear" w:color="000000" w:fill="C4D79B"/>
            <w:noWrap/>
            <w:vAlign w:val="center"/>
            <w:hideMark/>
          </w:tcPr>
          <w:p w:rsidR="00A629BC" w:rsidRPr="0064576D" w:rsidRDefault="00A629BC" w:rsidP="00FE5B58">
            <w:pPr>
              <w:pStyle w:val="Nadpis2"/>
              <w:numPr>
                <w:ilvl w:val="0"/>
                <w:numId w:val="0"/>
              </w:numPr>
              <w:spacing w:before="0" w:after="0"/>
              <w:jc w:val="center"/>
              <w:rPr>
                <w:rFonts w:eastAsia="Times New Roman"/>
                <w:lang w:eastAsia="cs-CZ"/>
              </w:rPr>
            </w:pPr>
            <w:bookmarkStart w:id="98" w:name="_Toc476556245"/>
            <w:r>
              <w:rPr>
                <w:rFonts w:eastAsia="Times New Roman"/>
                <w:lang w:eastAsia="cs-CZ"/>
              </w:rPr>
              <w:t xml:space="preserve">Sk. 2: </w:t>
            </w:r>
            <w:r w:rsidRPr="0064576D">
              <w:rPr>
                <w:rFonts w:eastAsia="Times New Roman"/>
                <w:lang w:eastAsia="cs-CZ"/>
              </w:rPr>
              <w:t>Motivace zaměstnavatelů zaměstnávat znevýhodněné skupiny osob (intenzivní využití dostupné pracovní síly)</w:t>
            </w:r>
            <w:bookmarkEnd w:id="98"/>
          </w:p>
        </w:tc>
      </w:tr>
      <w:tr w:rsidR="0064576D" w:rsidRPr="0064576D" w:rsidTr="00B76143">
        <w:trPr>
          <w:gridBefore w:val="2"/>
          <w:gridAfter w:val="1"/>
          <w:wBefore w:w="127" w:type="dxa"/>
          <w:wAfter w:w="329" w:type="dxa"/>
          <w:trHeight w:val="285"/>
        </w:trPr>
        <w:tc>
          <w:tcPr>
            <w:tcW w:w="540" w:type="dxa"/>
            <w:gridSpan w:val="2"/>
            <w:tcBorders>
              <w:top w:val="single" w:sz="8" w:space="0" w:color="auto"/>
              <w:left w:val="single" w:sz="8" w:space="0" w:color="auto"/>
              <w:bottom w:val="nil"/>
              <w:right w:val="nil"/>
            </w:tcBorders>
            <w:shd w:val="clear" w:color="000000" w:fill="EBF1DE"/>
            <w:noWrap/>
            <w:vAlign w:val="center"/>
            <w:hideMark/>
          </w:tcPr>
          <w:p w:rsidR="0064576D" w:rsidRPr="0064576D" w:rsidRDefault="0064576D" w:rsidP="0064576D">
            <w:pPr>
              <w:spacing w:line="240" w:lineRule="auto"/>
              <w:jc w:val="center"/>
              <w:rPr>
                <w:rFonts w:eastAsia="Times New Roman" w:cs="Arial"/>
                <w:b/>
                <w:bCs/>
                <w:color w:val="000000"/>
                <w:szCs w:val="20"/>
                <w:lang w:eastAsia="cs-CZ"/>
              </w:rPr>
            </w:pPr>
            <w:r w:rsidRPr="0064576D">
              <w:rPr>
                <w:rFonts w:eastAsia="Times New Roman" w:cs="Arial"/>
                <w:b/>
                <w:bCs/>
                <w:color w:val="000000"/>
                <w:szCs w:val="20"/>
                <w:lang w:eastAsia="cs-CZ"/>
              </w:rPr>
              <w:t>2.1</w:t>
            </w:r>
          </w:p>
        </w:tc>
        <w:tc>
          <w:tcPr>
            <w:tcW w:w="460" w:type="dxa"/>
            <w:tcBorders>
              <w:top w:val="single" w:sz="8" w:space="0" w:color="auto"/>
              <w:left w:val="single" w:sz="8" w:space="0" w:color="auto"/>
              <w:bottom w:val="single" w:sz="4" w:space="0" w:color="auto"/>
              <w:right w:val="nil"/>
            </w:tcBorders>
            <w:shd w:val="clear" w:color="auto" w:fill="auto"/>
            <w:noWrap/>
            <w:vAlign w:val="center"/>
            <w:hideMark/>
          </w:tcPr>
          <w:p w:rsidR="0064576D" w:rsidRPr="0064576D" w:rsidRDefault="0064576D" w:rsidP="0064576D">
            <w:pPr>
              <w:spacing w:line="240" w:lineRule="auto"/>
              <w:jc w:val="right"/>
              <w:rPr>
                <w:rFonts w:eastAsia="Times New Roman" w:cs="Arial"/>
                <w:b/>
                <w:bCs/>
                <w:color w:val="000000"/>
                <w:szCs w:val="20"/>
                <w:lang w:eastAsia="cs-CZ"/>
              </w:rPr>
            </w:pPr>
            <w:r w:rsidRPr="0064576D">
              <w:rPr>
                <w:rFonts w:eastAsia="Times New Roman" w:cs="Arial"/>
                <w:b/>
                <w:bCs/>
                <w:color w:val="000000"/>
                <w:szCs w:val="20"/>
                <w:lang w:eastAsia="cs-CZ"/>
              </w:rPr>
              <w:t>T:</w:t>
            </w:r>
          </w:p>
        </w:tc>
        <w:tc>
          <w:tcPr>
            <w:tcW w:w="1020" w:type="dxa"/>
            <w:gridSpan w:val="3"/>
            <w:tcBorders>
              <w:top w:val="single" w:sz="8" w:space="0" w:color="auto"/>
              <w:left w:val="nil"/>
              <w:bottom w:val="single" w:sz="4" w:space="0" w:color="auto"/>
              <w:right w:val="nil"/>
            </w:tcBorders>
            <w:shd w:val="clear" w:color="auto" w:fill="auto"/>
            <w:noWrap/>
            <w:vAlign w:val="center"/>
            <w:hideMark/>
          </w:tcPr>
          <w:p w:rsidR="0064576D" w:rsidRPr="0064576D" w:rsidRDefault="0064576D" w:rsidP="0064576D">
            <w:pPr>
              <w:spacing w:line="240" w:lineRule="auto"/>
              <w:jc w:val="center"/>
              <w:rPr>
                <w:rFonts w:eastAsia="Times New Roman" w:cs="Arial"/>
                <w:b/>
                <w:bCs/>
                <w:color w:val="000000"/>
                <w:szCs w:val="20"/>
                <w:lang w:eastAsia="cs-CZ"/>
              </w:rPr>
            </w:pPr>
            <w:r w:rsidRPr="0064576D">
              <w:rPr>
                <w:rFonts w:eastAsia="Times New Roman" w:cs="Arial"/>
                <w:b/>
                <w:bCs/>
                <w:color w:val="000000"/>
                <w:szCs w:val="20"/>
                <w:lang w:eastAsia="cs-CZ"/>
              </w:rPr>
              <w:t>2016</w:t>
            </w:r>
          </w:p>
        </w:tc>
        <w:tc>
          <w:tcPr>
            <w:tcW w:w="960" w:type="dxa"/>
            <w:gridSpan w:val="2"/>
            <w:tcBorders>
              <w:top w:val="single" w:sz="12" w:space="0" w:color="auto"/>
              <w:left w:val="single" w:sz="12" w:space="0" w:color="auto"/>
              <w:bottom w:val="single" w:sz="12" w:space="0" w:color="auto"/>
              <w:right w:val="nil"/>
            </w:tcBorders>
            <w:shd w:val="clear" w:color="auto" w:fill="auto"/>
            <w:noWrap/>
            <w:vAlign w:val="center"/>
            <w:hideMark/>
          </w:tcPr>
          <w:p w:rsidR="0064576D" w:rsidRPr="0064576D" w:rsidRDefault="0064576D" w:rsidP="0064576D">
            <w:pPr>
              <w:spacing w:line="240" w:lineRule="auto"/>
              <w:jc w:val="right"/>
              <w:rPr>
                <w:rFonts w:eastAsia="Times New Roman" w:cs="Arial"/>
                <w:b/>
                <w:bCs/>
                <w:color w:val="000000"/>
                <w:szCs w:val="20"/>
                <w:lang w:eastAsia="cs-CZ"/>
              </w:rPr>
            </w:pPr>
            <w:r w:rsidRPr="0064576D">
              <w:rPr>
                <w:rFonts w:eastAsia="Times New Roman" w:cs="Arial"/>
                <w:b/>
                <w:bCs/>
                <w:color w:val="000000"/>
                <w:szCs w:val="20"/>
                <w:lang w:eastAsia="cs-CZ"/>
              </w:rPr>
              <w:t>gesce:</w:t>
            </w:r>
          </w:p>
        </w:tc>
        <w:tc>
          <w:tcPr>
            <w:tcW w:w="1120" w:type="dxa"/>
            <w:gridSpan w:val="2"/>
            <w:tcBorders>
              <w:top w:val="single" w:sz="12" w:space="0" w:color="auto"/>
              <w:left w:val="nil"/>
              <w:bottom w:val="single" w:sz="8" w:space="0" w:color="auto"/>
              <w:right w:val="single" w:sz="4" w:space="0" w:color="auto"/>
            </w:tcBorders>
            <w:shd w:val="clear" w:color="auto" w:fill="auto"/>
            <w:noWrap/>
            <w:vAlign w:val="center"/>
            <w:hideMark/>
          </w:tcPr>
          <w:p w:rsidR="0064576D" w:rsidRPr="0064576D" w:rsidRDefault="0064576D" w:rsidP="0064576D">
            <w:pPr>
              <w:spacing w:line="240" w:lineRule="auto"/>
              <w:jc w:val="left"/>
              <w:rPr>
                <w:rFonts w:eastAsia="Times New Roman" w:cs="Arial"/>
                <w:b/>
                <w:bCs/>
                <w:color w:val="000000"/>
                <w:szCs w:val="20"/>
                <w:lang w:eastAsia="cs-CZ"/>
              </w:rPr>
            </w:pPr>
            <w:r w:rsidRPr="0064576D">
              <w:rPr>
                <w:rFonts w:eastAsia="Times New Roman" w:cs="Arial"/>
                <w:b/>
                <w:bCs/>
                <w:color w:val="000000"/>
                <w:szCs w:val="20"/>
                <w:lang w:eastAsia="cs-CZ"/>
              </w:rPr>
              <w:t>MPSV</w:t>
            </w:r>
          </w:p>
        </w:tc>
        <w:tc>
          <w:tcPr>
            <w:tcW w:w="1320" w:type="dxa"/>
            <w:gridSpan w:val="2"/>
            <w:tcBorders>
              <w:left w:val="single" w:sz="4" w:space="0" w:color="auto"/>
              <w:bottom w:val="single" w:sz="8" w:space="0" w:color="auto"/>
            </w:tcBorders>
            <w:shd w:val="clear" w:color="auto" w:fill="auto"/>
            <w:noWrap/>
            <w:vAlign w:val="center"/>
          </w:tcPr>
          <w:p w:rsidR="0064576D" w:rsidRPr="0064576D" w:rsidRDefault="0064576D" w:rsidP="0064576D">
            <w:pPr>
              <w:spacing w:line="240" w:lineRule="auto"/>
              <w:jc w:val="right"/>
              <w:rPr>
                <w:rFonts w:eastAsia="Times New Roman" w:cs="Arial"/>
                <w:color w:val="000000"/>
                <w:szCs w:val="20"/>
                <w:lang w:eastAsia="cs-CZ"/>
              </w:rPr>
            </w:pPr>
          </w:p>
        </w:tc>
        <w:tc>
          <w:tcPr>
            <w:tcW w:w="5320" w:type="dxa"/>
            <w:gridSpan w:val="3"/>
            <w:tcBorders>
              <w:bottom w:val="single" w:sz="8" w:space="0" w:color="auto"/>
            </w:tcBorders>
            <w:shd w:val="clear" w:color="auto" w:fill="auto"/>
            <w:noWrap/>
            <w:vAlign w:val="center"/>
          </w:tcPr>
          <w:p w:rsidR="0064576D" w:rsidRPr="0064576D" w:rsidRDefault="0064576D" w:rsidP="0064576D">
            <w:pPr>
              <w:spacing w:line="240" w:lineRule="auto"/>
              <w:jc w:val="right"/>
              <w:rPr>
                <w:rFonts w:eastAsia="Times New Roman" w:cs="Arial"/>
                <w:color w:val="000000"/>
                <w:szCs w:val="20"/>
                <w:lang w:eastAsia="cs-CZ"/>
              </w:rPr>
            </w:pPr>
          </w:p>
        </w:tc>
        <w:tc>
          <w:tcPr>
            <w:tcW w:w="1020" w:type="dxa"/>
            <w:tcBorders>
              <w:bottom w:val="single" w:sz="8" w:space="0" w:color="auto"/>
            </w:tcBorders>
            <w:shd w:val="clear" w:color="auto" w:fill="auto"/>
            <w:noWrap/>
            <w:vAlign w:val="center"/>
          </w:tcPr>
          <w:p w:rsidR="0064576D" w:rsidRPr="0064576D" w:rsidRDefault="0064576D" w:rsidP="0064576D">
            <w:pPr>
              <w:spacing w:line="240" w:lineRule="auto"/>
              <w:jc w:val="right"/>
              <w:rPr>
                <w:rFonts w:eastAsia="Times New Roman" w:cs="Arial"/>
                <w:color w:val="000000"/>
                <w:szCs w:val="20"/>
                <w:lang w:eastAsia="cs-CZ"/>
              </w:rPr>
            </w:pPr>
          </w:p>
        </w:tc>
        <w:tc>
          <w:tcPr>
            <w:tcW w:w="1863" w:type="dxa"/>
            <w:gridSpan w:val="3"/>
            <w:tcBorders>
              <w:bottom w:val="single" w:sz="8" w:space="0" w:color="auto"/>
            </w:tcBorders>
            <w:shd w:val="clear" w:color="auto" w:fill="auto"/>
            <w:noWrap/>
            <w:vAlign w:val="center"/>
          </w:tcPr>
          <w:p w:rsidR="0064576D" w:rsidRPr="0064576D" w:rsidRDefault="0064576D" w:rsidP="0064576D">
            <w:pPr>
              <w:spacing w:line="240" w:lineRule="auto"/>
              <w:jc w:val="right"/>
              <w:rPr>
                <w:rFonts w:eastAsia="Times New Roman" w:cs="Arial"/>
                <w:b/>
                <w:bCs/>
                <w:color w:val="000000"/>
                <w:szCs w:val="20"/>
                <w:lang w:eastAsia="cs-CZ"/>
              </w:rPr>
            </w:pPr>
          </w:p>
        </w:tc>
      </w:tr>
      <w:tr w:rsidR="0064576D" w:rsidRPr="0064576D" w:rsidTr="00B76143">
        <w:trPr>
          <w:gridBefore w:val="2"/>
          <w:gridAfter w:val="1"/>
          <w:wBefore w:w="127" w:type="dxa"/>
          <w:wAfter w:w="329" w:type="dxa"/>
          <w:trHeight w:val="285"/>
        </w:trPr>
        <w:tc>
          <w:tcPr>
            <w:tcW w:w="540" w:type="dxa"/>
            <w:gridSpan w:val="2"/>
            <w:vMerge w:val="restart"/>
            <w:tcBorders>
              <w:top w:val="single" w:sz="8" w:space="0" w:color="auto"/>
              <w:left w:val="single" w:sz="8" w:space="0" w:color="auto"/>
              <w:bottom w:val="single" w:sz="8" w:space="0" w:color="000000"/>
              <w:right w:val="single" w:sz="8" w:space="0" w:color="auto"/>
            </w:tcBorders>
            <w:shd w:val="clear" w:color="000000" w:fill="EBF1DE"/>
            <w:noWrap/>
            <w:textDirection w:val="btLr"/>
            <w:vAlign w:val="center"/>
            <w:hideMark/>
          </w:tcPr>
          <w:p w:rsidR="0064576D" w:rsidRPr="0064576D" w:rsidRDefault="0064576D" w:rsidP="0064576D">
            <w:pPr>
              <w:spacing w:line="240" w:lineRule="auto"/>
              <w:jc w:val="center"/>
              <w:rPr>
                <w:rFonts w:eastAsia="Times New Roman" w:cs="Arial"/>
                <w:b/>
                <w:bCs/>
                <w:color w:val="000000"/>
                <w:szCs w:val="20"/>
                <w:lang w:eastAsia="cs-CZ"/>
              </w:rPr>
            </w:pPr>
            <w:r w:rsidRPr="0064576D">
              <w:rPr>
                <w:rFonts w:eastAsia="Times New Roman" w:cs="Arial"/>
                <w:b/>
                <w:bCs/>
                <w:color w:val="000000"/>
                <w:szCs w:val="20"/>
                <w:lang w:eastAsia="cs-CZ"/>
              </w:rPr>
              <w:t>Cílené poskytování příspěvků APZ</w:t>
            </w:r>
          </w:p>
        </w:tc>
        <w:tc>
          <w:tcPr>
            <w:tcW w:w="1480" w:type="dxa"/>
            <w:gridSpan w:val="4"/>
            <w:tcBorders>
              <w:top w:val="single" w:sz="4" w:space="0" w:color="auto"/>
              <w:left w:val="nil"/>
              <w:bottom w:val="double" w:sz="6" w:space="0" w:color="auto"/>
              <w:right w:val="nil"/>
            </w:tcBorders>
            <w:shd w:val="clear" w:color="auto" w:fill="auto"/>
            <w:noWrap/>
            <w:vAlign w:val="center"/>
            <w:hideMark/>
          </w:tcPr>
          <w:p w:rsidR="0064576D" w:rsidRPr="0064576D" w:rsidRDefault="0064576D" w:rsidP="0064576D">
            <w:pPr>
              <w:spacing w:line="240" w:lineRule="auto"/>
              <w:jc w:val="right"/>
              <w:rPr>
                <w:rFonts w:eastAsia="Times New Roman" w:cs="Arial"/>
                <w:b/>
                <w:bCs/>
                <w:color w:val="000000"/>
                <w:szCs w:val="20"/>
                <w:lang w:eastAsia="cs-CZ"/>
              </w:rPr>
            </w:pPr>
            <w:r w:rsidRPr="0064576D">
              <w:rPr>
                <w:rFonts w:eastAsia="Times New Roman" w:cs="Arial"/>
                <w:b/>
                <w:bCs/>
                <w:color w:val="000000"/>
                <w:szCs w:val="20"/>
                <w:lang w:eastAsia="cs-CZ"/>
              </w:rPr>
              <w:t>povaha:</w:t>
            </w:r>
          </w:p>
        </w:tc>
        <w:tc>
          <w:tcPr>
            <w:tcW w:w="960" w:type="dxa"/>
            <w:gridSpan w:val="2"/>
            <w:tcBorders>
              <w:top w:val="nil"/>
              <w:left w:val="nil"/>
              <w:bottom w:val="double" w:sz="6" w:space="0" w:color="auto"/>
              <w:right w:val="double" w:sz="6" w:space="0" w:color="auto"/>
            </w:tcBorders>
            <w:shd w:val="clear" w:color="auto" w:fill="auto"/>
            <w:noWrap/>
            <w:vAlign w:val="center"/>
            <w:hideMark/>
          </w:tcPr>
          <w:p w:rsidR="0064576D" w:rsidRPr="0064576D" w:rsidRDefault="0064576D" w:rsidP="009A4989">
            <w:pPr>
              <w:spacing w:line="240" w:lineRule="auto"/>
              <w:jc w:val="left"/>
              <w:rPr>
                <w:rFonts w:eastAsia="Times New Roman" w:cs="Arial"/>
                <w:b/>
                <w:bCs/>
                <w:color w:val="000000"/>
                <w:szCs w:val="20"/>
                <w:lang w:eastAsia="cs-CZ"/>
              </w:rPr>
            </w:pPr>
            <w:r w:rsidRPr="0064576D">
              <w:rPr>
                <w:rFonts w:eastAsia="Times New Roman" w:cs="Arial"/>
                <w:b/>
                <w:bCs/>
                <w:color w:val="000000"/>
                <w:szCs w:val="20"/>
                <w:lang w:eastAsia="cs-CZ"/>
              </w:rPr>
              <w:t>N</w:t>
            </w:r>
          </w:p>
        </w:tc>
        <w:tc>
          <w:tcPr>
            <w:tcW w:w="7760" w:type="dxa"/>
            <w:gridSpan w:val="7"/>
            <w:tcBorders>
              <w:top w:val="single" w:sz="8" w:space="0" w:color="auto"/>
              <w:left w:val="nil"/>
              <w:right w:val="nil"/>
            </w:tcBorders>
            <w:shd w:val="clear" w:color="auto" w:fill="auto"/>
            <w:noWrap/>
            <w:vAlign w:val="center"/>
            <w:hideMark/>
          </w:tcPr>
          <w:p w:rsidR="0064576D" w:rsidRPr="0064576D" w:rsidRDefault="0064576D" w:rsidP="0064576D">
            <w:pPr>
              <w:spacing w:line="240" w:lineRule="auto"/>
              <w:jc w:val="center"/>
              <w:rPr>
                <w:rFonts w:eastAsia="Times New Roman" w:cs="Arial"/>
                <w:b/>
                <w:bCs/>
                <w:color w:val="000000"/>
                <w:szCs w:val="20"/>
                <w:u w:val="single"/>
                <w:lang w:eastAsia="cs-CZ"/>
              </w:rPr>
            </w:pPr>
            <w:r w:rsidRPr="0064576D">
              <w:rPr>
                <w:rFonts w:eastAsia="Times New Roman" w:cs="Arial"/>
                <w:b/>
                <w:bCs/>
                <w:color w:val="000000"/>
                <w:szCs w:val="20"/>
                <w:u w:val="single"/>
                <w:lang w:eastAsia="cs-CZ"/>
              </w:rPr>
              <w:t>Popis</w:t>
            </w:r>
          </w:p>
        </w:tc>
        <w:tc>
          <w:tcPr>
            <w:tcW w:w="1020" w:type="dxa"/>
            <w:tcBorders>
              <w:top w:val="single" w:sz="8" w:space="0" w:color="auto"/>
              <w:left w:val="nil"/>
              <w:right w:val="nil"/>
            </w:tcBorders>
            <w:shd w:val="clear" w:color="auto" w:fill="auto"/>
            <w:noWrap/>
            <w:vAlign w:val="center"/>
          </w:tcPr>
          <w:p w:rsidR="0064576D" w:rsidRPr="0064576D" w:rsidRDefault="0064576D" w:rsidP="0064576D">
            <w:pPr>
              <w:spacing w:line="240" w:lineRule="auto"/>
              <w:jc w:val="center"/>
              <w:rPr>
                <w:rFonts w:eastAsia="Times New Roman" w:cs="Arial"/>
                <w:b/>
                <w:bCs/>
                <w:color w:val="000000"/>
                <w:szCs w:val="20"/>
                <w:u w:val="single"/>
                <w:lang w:eastAsia="cs-CZ"/>
              </w:rPr>
            </w:pPr>
          </w:p>
        </w:tc>
        <w:tc>
          <w:tcPr>
            <w:tcW w:w="1863" w:type="dxa"/>
            <w:gridSpan w:val="3"/>
            <w:tcBorders>
              <w:top w:val="single" w:sz="8" w:space="0" w:color="auto"/>
              <w:left w:val="nil"/>
              <w:right w:val="single" w:sz="8" w:space="0" w:color="auto"/>
            </w:tcBorders>
            <w:shd w:val="clear" w:color="auto" w:fill="auto"/>
            <w:noWrap/>
            <w:vAlign w:val="center"/>
          </w:tcPr>
          <w:p w:rsidR="0064576D" w:rsidRPr="0064576D" w:rsidRDefault="0064576D" w:rsidP="0064576D">
            <w:pPr>
              <w:spacing w:line="240" w:lineRule="auto"/>
              <w:jc w:val="center"/>
              <w:rPr>
                <w:rFonts w:eastAsia="Times New Roman" w:cs="Arial"/>
                <w:b/>
                <w:bCs/>
                <w:color w:val="000000"/>
                <w:szCs w:val="20"/>
                <w:u w:val="single"/>
                <w:lang w:eastAsia="cs-CZ"/>
              </w:rPr>
            </w:pPr>
          </w:p>
        </w:tc>
      </w:tr>
      <w:tr w:rsidR="0064576D" w:rsidRPr="0064576D" w:rsidTr="00B76143">
        <w:trPr>
          <w:gridBefore w:val="2"/>
          <w:gridAfter w:val="1"/>
          <w:wBefore w:w="127" w:type="dxa"/>
          <w:wAfter w:w="329" w:type="dxa"/>
          <w:trHeight w:val="1384"/>
        </w:trPr>
        <w:tc>
          <w:tcPr>
            <w:tcW w:w="540" w:type="dxa"/>
            <w:gridSpan w:val="2"/>
            <w:vMerge/>
            <w:tcBorders>
              <w:top w:val="single" w:sz="8" w:space="0" w:color="auto"/>
              <w:left w:val="single" w:sz="8" w:space="0" w:color="auto"/>
              <w:bottom w:val="single" w:sz="8" w:space="0" w:color="000000"/>
              <w:right w:val="single" w:sz="8" w:space="0" w:color="auto"/>
            </w:tcBorders>
            <w:vAlign w:val="center"/>
            <w:hideMark/>
          </w:tcPr>
          <w:p w:rsidR="0064576D" w:rsidRPr="0064576D" w:rsidRDefault="0064576D" w:rsidP="0064576D">
            <w:pPr>
              <w:spacing w:line="240" w:lineRule="auto"/>
              <w:jc w:val="left"/>
              <w:rPr>
                <w:rFonts w:eastAsia="Times New Roman" w:cs="Arial"/>
                <w:b/>
                <w:bCs/>
                <w:color w:val="000000"/>
                <w:szCs w:val="20"/>
                <w:lang w:eastAsia="cs-CZ"/>
              </w:rPr>
            </w:pPr>
          </w:p>
        </w:tc>
        <w:tc>
          <w:tcPr>
            <w:tcW w:w="13083" w:type="dxa"/>
            <w:gridSpan w:val="17"/>
            <w:tcBorders>
              <w:top w:val="nil"/>
              <w:left w:val="nil"/>
              <w:bottom w:val="double" w:sz="6" w:space="0" w:color="auto"/>
              <w:right w:val="single" w:sz="8" w:space="0" w:color="000000"/>
            </w:tcBorders>
            <w:shd w:val="clear" w:color="auto" w:fill="auto"/>
            <w:vAlign w:val="center"/>
            <w:hideMark/>
          </w:tcPr>
          <w:p w:rsidR="0064576D" w:rsidRPr="0064576D" w:rsidRDefault="0064576D" w:rsidP="00BE641A">
            <w:pPr>
              <w:spacing w:line="240" w:lineRule="auto"/>
              <w:rPr>
                <w:rFonts w:eastAsia="Times New Roman" w:cs="Arial"/>
                <w:color w:val="000000"/>
                <w:szCs w:val="20"/>
                <w:lang w:eastAsia="cs-CZ"/>
              </w:rPr>
            </w:pPr>
            <w:r w:rsidRPr="0064576D">
              <w:rPr>
                <w:rFonts w:eastAsia="Times New Roman" w:cs="Arial"/>
                <w:color w:val="000000"/>
                <w:szCs w:val="20"/>
                <w:lang w:eastAsia="cs-CZ"/>
              </w:rPr>
              <w:t>Významně eliminovat tzv. „</w:t>
            </w:r>
            <w:proofErr w:type="spellStart"/>
            <w:r w:rsidRPr="0064576D">
              <w:rPr>
                <w:rFonts w:eastAsia="Times New Roman" w:cs="Arial"/>
                <w:color w:val="000000"/>
                <w:szCs w:val="20"/>
                <w:lang w:eastAsia="cs-CZ"/>
              </w:rPr>
              <w:t>cream-off</w:t>
            </w:r>
            <w:proofErr w:type="spellEnd"/>
            <w:r w:rsidRPr="0064576D">
              <w:rPr>
                <w:rFonts w:eastAsia="Times New Roman" w:cs="Arial"/>
                <w:color w:val="000000"/>
                <w:szCs w:val="20"/>
                <w:lang w:eastAsia="cs-CZ"/>
              </w:rPr>
              <w:t xml:space="preserve"> </w:t>
            </w:r>
            <w:proofErr w:type="spellStart"/>
            <w:r w:rsidRPr="0064576D">
              <w:rPr>
                <w:rFonts w:eastAsia="Times New Roman" w:cs="Arial"/>
                <w:color w:val="000000"/>
                <w:szCs w:val="20"/>
                <w:lang w:eastAsia="cs-CZ"/>
              </w:rPr>
              <w:t>effect</w:t>
            </w:r>
            <w:proofErr w:type="spellEnd"/>
            <w:r w:rsidRPr="0064576D">
              <w:rPr>
                <w:rFonts w:eastAsia="Times New Roman" w:cs="Arial"/>
                <w:color w:val="000000"/>
                <w:szCs w:val="20"/>
                <w:lang w:eastAsia="cs-CZ"/>
              </w:rPr>
              <w:t xml:space="preserve">“ u nástrojů APZ – tzn. při poskytování příspěvků zaměstnavatelům na podporu zaměstnanosti uchazečů o zaměstnání cíleně reflektovat míru znevýhodnění </w:t>
            </w:r>
            <w:proofErr w:type="spellStart"/>
            <w:r w:rsidR="009A4989">
              <w:rPr>
                <w:rFonts w:eastAsia="Times New Roman" w:cs="Arial"/>
                <w:color w:val="000000"/>
                <w:szCs w:val="20"/>
                <w:lang w:eastAsia="cs-CZ"/>
              </w:rPr>
              <w:t>UoZ</w:t>
            </w:r>
            <w:proofErr w:type="spellEnd"/>
            <w:r w:rsidRPr="0064576D">
              <w:rPr>
                <w:rFonts w:eastAsia="Times New Roman" w:cs="Arial"/>
                <w:color w:val="000000"/>
                <w:szCs w:val="20"/>
                <w:lang w:eastAsia="cs-CZ"/>
              </w:rPr>
              <w:t xml:space="preserve"> na trhu práce. APZ využívat k motivaci zaměstnavatelů zaměstnávat nejvíce znevýhodněné skupiny osob (dlouhodobě nezaměstnané, </w:t>
            </w:r>
            <w:r w:rsidR="00BE641A">
              <w:rPr>
                <w:rFonts w:eastAsia="Times New Roman" w:cs="Arial"/>
                <w:color w:val="000000"/>
                <w:szCs w:val="20"/>
                <w:lang w:eastAsia="cs-CZ"/>
              </w:rPr>
              <w:t xml:space="preserve">s </w:t>
            </w:r>
            <w:r w:rsidRPr="0064576D">
              <w:rPr>
                <w:rFonts w:eastAsia="Times New Roman" w:cs="Arial"/>
                <w:color w:val="000000"/>
                <w:szCs w:val="20"/>
                <w:lang w:eastAsia="cs-CZ"/>
              </w:rPr>
              <w:t>kumulac</w:t>
            </w:r>
            <w:r w:rsidR="00BE641A">
              <w:rPr>
                <w:rFonts w:eastAsia="Times New Roman" w:cs="Arial"/>
                <w:color w:val="000000"/>
                <w:szCs w:val="20"/>
                <w:lang w:eastAsia="cs-CZ"/>
              </w:rPr>
              <w:t>í</w:t>
            </w:r>
            <w:r w:rsidRPr="0064576D">
              <w:rPr>
                <w:rFonts w:eastAsia="Times New Roman" w:cs="Arial"/>
                <w:color w:val="000000"/>
                <w:szCs w:val="20"/>
                <w:lang w:eastAsia="cs-CZ"/>
              </w:rPr>
              <w:t xml:space="preserve"> hendikepů). Zvýšený zájem zaměstnavatelů o no</w:t>
            </w:r>
            <w:r w:rsidR="009A4989">
              <w:rPr>
                <w:rFonts w:eastAsia="Times New Roman" w:cs="Arial"/>
                <w:color w:val="000000"/>
                <w:szCs w:val="20"/>
                <w:lang w:eastAsia="cs-CZ"/>
              </w:rPr>
              <w:t xml:space="preserve">vé zaměstnance vytváří prostor </w:t>
            </w:r>
            <w:r w:rsidRPr="0064576D">
              <w:rPr>
                <w:rFonts w:eastAsia="Times New Roman" w:cs="Arial"/>
                <w:color w:val="000000"/>
                <w:szCs w:val="20"/>
                <w:lang w:eastAsia="cs-CZ"/>
              </w:rPr>
              <w:t xml:space="preserve">pro pracovní uplatnění </w:t>
            </w:r>
            <w:proofErr w:type="spellStart"/>
            <w:r w:rsidR="009A4989">
              <w:rPr>
                <w:rFonts w:eastAsia="Times New Roman" w:cs="Arial"/>
                <w:color w:val="000000"/>
                <w:szCs w:val="20"/>
                <w:lang w:eastAsia="cs-CZ"/>
              </w:rPr>
              <w:t>UoZ</w:t>
            </w:r>
            <w:proofErr w:type="spellEnd"/>
            <w:r w:rsidRPr="0064576D">
              <w:rPr>
                <w:rFonts w:eastAsia="Times New Roman" w:cs="Arial"/>
                <w:color w:val="000000"/>
                <w:szCs w:val="20"/>
                <w:lang w:eastAsia="cs-CZ"/>
              </w:rPr>
              <w:t xml:space="preserve">, kteří pro svůj zdravotní stav, věk, péči o dítě nebo z jiných vážných důvodů </w:t>
            </w:r>
            <w:r w:rsidR="009A4989">
              <w:rPr>
                <w:rFonts w:eastAsia="Times New Roman" w:cs="Arial"/>
                <w:color w:val="000000"/>
                <w:szCs w:val="20"/>
                <w:lang w:eastAsia="cs-CZ"/>
              </w:rPr>
              <w:t>obtížně nalézají pracovní</w:t>
            </w:r>
            <w:r w:rsidR="00BE641A">
              <w:rPr>
                <w:rFonts w:eastAsia="Times New Roman" w:cs="Arial"/>
                <w:color w:val="000000"/>
                <w:szCs w:val="20"/>
                <w:lang w:eastAsia="cs-CZ"/>
              </w:rPr>
              <w:t xml:space="preserve"> uplatnění</w:t>
            </w:r>
            <w:r w:rsidR="009A4989">
              <w:rPr>
                <w:rFonts w:eastAsia="Times New Roman" w:cs="Arial"/>
                <w:color w:val="000000"/>
                <w:szCs w:val="20"/>
                <w:lang w:eastAsia="cs-CZ"/>
              </w:rPr>
              <w:t xml:space="preserve">. </w:t>
            </w:r>
          </w:p>
        </w:tc>
      </w:tr>
      <w:tr w:rsidR="00881A0C" w:rsidRPr="0064576D" w:rsidTr="00B76143">
        <w:trPr>
          <w:gridBefore w:val="2"/>
          <w:gridAfter w:val="1"/>
          <w:wBefore w:w="127" w:type="dxa"/>
          <w:wAfter w:w="329" w:type="dxa"/>
          <w:trHeight w:val="285"/>
        </w:trPr>
        <w:tc>
          <w:tcPr>
            <w:tcW w:w="540" w:type="dxa"/>
            <w:gridSpan w:val="2"/>
            <w:vMerge/>
            <w:tcBorders>
              <w:top w:val="single" w:sz="8" w:space="0" w:color="auto"/>
              <w:left w:val="single" w:sz="8" w:space="0" w:color="auto"/>
              <w:bottom w:val="single" w:sz="8" w:space="0" w:color="000000"/>
              <w:right w:val="double" w:sz="6" w:space="0" w:color="auto"/>
            </w:tcBorders>
            <w:vAlign w:val="center"/>
            <w:hideMark/>
          </w:tcPr>
          <w:p w:rsidR="00881A0C" w:rsidRPr="0064576D" w:rsidRDefault="00881A0C" w:rsidP="0064576D">
            <w:pPr>
              <w:spacing w:line="240" w:lineRule="auto"/>
              <w:jc w:val="left"/>
              <w:rPr>
                <w:rFonts w:eastAsia="Times New Roman" w:cs="Arial"/>
                <w:b/>
                <w:bCs/>
                <w:color w:val="000000"/>
                <w:szCs w:val="20"/>
                <w:lang w:eastAsia="cs-CZ"/>
              </w:rPr>
            </w:pPr>
          </w:p>
        </w:tc>
        <w:tc>
          <w:tcPr>
            <w:tcW w:w="2440" w:type="dxa"/>
            <w:gridSpan w:val="6"/>
            <w:tcBorders>
              <w:top w:val="double" w:sz="6" w:space="0" w:color="auto"/>
              <w:left w:val="double" w:sz="6" w:space="0" w:color="auto"/>
              <w:bottom w:val="double" w:sz="6" w:space="0" w:color="auto"/>
              <w:right w:val="double" w:sz="6" w:space="0" w:color="auto"/>
            </w:tcBorders>
            <w:shd w:val="clear" w:color="000000" w:fill="D8E4BC"/>
            <w:noWrap/>
            <w:vAlign w:val="center"/>
            <w:hideMark/>
          </w:tcPr>
          <w:p w:rsidR="00881A0C" w:rsidRPr="0064576D" w:rsidRDefault="00881A0C" w:rsidP="00881A0C">
            <w:pPr>
              <w:spacing w:line="240" w:lineRule="auto"/>
              <w:jc w:val="center"/>
              <w:rPr>
                <w:rFonts w:eastAsia="Times New Roman" w:cs="Arial"/>
                <w:b/>
                <w:bCs/>
                <w:color w:val="000000"/>
                <w:szCs w:val="20"/>
                <w:lang w:eastAsia="cs-CZ"/>
              </w:rPr>
            </w:pPr>
            <w:r w:rsidRPr="0064576D">
              <w:rPr>
                <w:rFonts w:eastAsia="Times New Roman" w:cs="Arial"/>
                <w:b/>
                <w:bCs/>
                <w:color w:val="000000"/>
                <w:szCs w:val="20"/>
                <w:lang w:eastAsia="cs-CZ"/>
              </w:rPr>
              <w:t>Průběž</w:t>
            </w:r>
            <w:r>
              <w:rPr>
                <w:rFonts w:eastAsia="Times New Roman" w:cs="Arial"/>
                <w:b/>
                <w:bCs/>
                <w:color w:val="000000"/>
                <w:szCs w:val="20"/>
                <w:lang w:eastAsia="cs-CZ"/>
              </w:rPr>
              <w:t>ně</w:t>
            </w:r>
            <w:r w:rsidRPr="0064576D">
              <w:rPr>
                <w:rFonts w:eastAsia="Times New Roman" w:cs="Arial"/>
                <w:b/>
                <w:bCs/>
                <w:color w:val="000000"/>
                <w:szCs w:val="20"/>
                <w:lang w:eastAsia="cs-CZ"/>
              </w:rPr>
              <w:t xml:space="preserve"> plněno</w:t>
            </w:r>
          </w:p>
        </w:tc>
        <w:tc>
          <w:tcPr>
            <w:tcW w:w="7760" w:type="dxa"/>
            <w:gridSpan w:val="7"/>
            <w:tcBorders>
              <w:top w:val="double" w:sz="6" w:space="0" w:color="auto"/>
              <w:left w:val="double" w:sz="6" w:space="0" w:color="auto"/>
              <w:bottom w:val="nil"/>
              <w:right w:val="nil"/>
            </w:tcBorders>
            <w:shd w:val="clear" w:color="auto" w:fill="auto"/>
            <w:vAlign w:val="center"/>
            <w:hideMark/>
          </w:tcPr>
          <w:p w:rsidR="00881A0C" w:rsidRPr="0064576D" w:rsidRDefault="00881A0C" w:rsidP="0064576D">
            <w:pPr>
              <w:spacing w:line="240" w:lineRule="auto"/>
              <w:jc w:val="center"/>
              <w:rPr>
                <w:rFonts w:eastAsia="Times New Roman" w:cs="Arial"/>
                <w:b/>
                <w:bCs/>
                <w:color w:val="000000"/>
                <w:szCs w:val="20"/>
                <w:u w:val="single"/>
                <w:lang w:eastAsia="cs-CZ"/>
              </w:rPr>
            </w:pPr>
            <w:r w:rsidRPr="0064576D">
              <w:rPr>
                <w:rFonts w:eastAsia="Times New Roman" w:cs="Arial"/>
                <w:b/>
                <w:bCs/>
                <w:color w:val="000000"/>
                <w:szCs w:val="20"/>
                <w:u w:val="single"/>
                <w:lang w:eastAsia="cs-CZ"/>
              </w:rPr>
              <w:t>Plnění</w:t>
            </w:r>
          </w:p>
        </w:tc>
        <w:tc>
          <w:tcPr>
            <w:tcW w:w="1020" w:type="dxa"/>
            <w:tcBorders>
              <w:top w:val="nil"/>
              <w:left w:val="single" w:sz="8" w:space="0" w:color="auto"/>
              <w:bottom w:val="single" w:sz="8" w:space="0" w:color="auto"/>
              <w:right w:val="nil"/>
            </w:tcBorders>
            <w:shd w:val="clear" w:color="auto" w:fill="auto"/>
            <w:vAlign w:val="center"/>
            <w:hideMark/>
          </w:tcPr>
          <w:p w:rsidR="00881A0C" w:rsidRPr="0064576D" w:rsidRDefault="00881A0C" w:rsidP="0064576D">
            <w:pPr>
              <w:spacing w:line="240" w:lineRule="auto"/>
              <w:jc w:val="right"/>
              <w:rPr>
                <w:rFonts w:eastAsia="Times New Roman" w:cs="Arial"/>
                <w:color w:val="000000"/>
                <w:szCs w:val="20"/>
                <w:lang w:eastAsia="cs-CZ"/>
              </w:rPr>
            </w:pPr>
            <w:r w:rsidRPr="0064576D">
              <w:rPr>
                <w:rFonts w:eastAsia="Times New Roman" w:cs="Arial"/>
                <w:color w:val="000000"/>
                <w:szCs w:val="20"/>
                <w:lang w:eastAsia="cs-CZ"/>
              </w:rPr>
              <w:t>k datu</w:t>
            </w:r>
          </w:p>
        </w:tc>
        <w:tc>
          <w:tcPr>
            <w:tcW w:w="1863" w:type="dxa"/>
            <w:gridSpan w:val="3"/>
            <w:tcBorders>
              <w:top w:val="nil"/>
              <w:left w:val="nil"/>
              <w:bottom w:val="single" w:sz="8" w:space="0" w:color="auto"/>
              <w:right w:val="single" w:sz="8" w:space="0" w:color="auto"/>
            </w:tcBorders>
            <w:shd w:val="clear" w:color="auto" w:fill="auto"/>
            <w:vAlign w:val="center"/>
            <w:hideMark/>
          </w:tcPr>
          <w:p w:rsidR="00881A0C" w:rsidRPr="0064576D" w:rsidRDefault="00881A0C" w:rsidP="0064576D">
            <w:pPr>
              <w:spacing w:line="240" w:lineRule="auto"/>
              <w:jc w:val="center"/>
              <w:rPr>
                <w:rFonts w:eastAsia="Times New Roman" w:cs="Arial"/>
                <w:b/>
                <w:bCs/>
                <w:color w:val="000000"/>
                <w:szCs w:val="20"/>
                <w:u w:val="single"/>
                <w:lang w:eastAsia="cs-CZ"/>
              </w:rPr>
            </w:pPr>
            <w:r w:rsidRPr="0064576D">
              <w:rPr>
                <w:rFonts w:eastAsia="Times New Roman" w:cs="Arial"/>
                <w:b/>
                <w:bCs/>
                <w:color w:val="000000"/>
                <w:szCs w:val="20"/>
                <w:u w:val="single"/>
                <w:lang w:eastAsia="cs-CZ"/>
              </w:rPr>
              <w:t>31.</w:t>
            </w:r>
            <w:r>
              <w:rPr>
                <w:rFonts w:eastAsia="Times New Roman" w:cs="Arial"/>
                <w:b/>
                <w:bCs/>
                <w:color w:val="000000"/>
                <w:szCs w:val="20"/>
                <w:u w:val="single"/>
                <w:lang w:eastAsia="cs-CZ"/>
              </w:rPr>
              <w:t xml:space="preserve"> </w:t>
            </w:r>
            <w:r w:rsidRPr="0064576D">
              <w:rPr>
                <w:rFonts w:eastAsia="Times New Roman" w:cs="Arial"/>
                <w:b/>
                <w:bCs/>
                <w:color w:val="000000"/>
                <w:szCs w:val="20"/>
                <w:u w:val="single"/>
                <w:lang w:eastAsia="cs-CZ"/>
              </w:rPr>
              <w:t>12.</w:t>
            </w:r>
            <w:r>
              <w:rPr>
                <w:rFonts w:eastAsia="Times New Roman" w:cs="Arial"/>
                <w:b/>
                <w:bCs/>
                <w:color w:val="000000"/>
                <w:szCs w:val="20"/>
                <w:u w:val="single"/>
                <w:lang w:eastAsia="cs-CZ"/>
              </w:rPr>
              <w:t xml:space="preserve"> </w:t>
            </w:r>
            <w:r w:rsidRPr="0064576D">
              <w:rPr>
                <w:rFonts w:eastAsia="Times New Roman" w:cs="Arial"/>
                <w:b/>
                <w:bCs/>
                <w:color w:val="000000"/>
                <w:szCs w:val="20"/>
                <w:u w:val="single"/>
                <w:lang w:eastAsia="cs-CZ"/>
              </w:rPr>
              <w:t>2016</w:t>
            </w:r>
          </w:p>
        </w:tc>
      </w:tr>
      <w:tr w:rsidR="0064576D" w:rsidRPr="0064576D" w:rsidTr="00B76143">
        <w:trPr>
          <w:gridBefore w:val="2"/>
          <w:gridAfter w:val="1"/>
          <w:wBefore w:w="127" w:type="dxa"/>
          <w:wAfter w:w="329" w:type="dxa"/>
          <w:trHeight w:val="2173"/>
        </w:trPr>
        <w:tc>
          <w:tcPr>
            <w:tcW w:w="540" w:type="dxa"/>
            <w:gridSpan w:val="2"/>
            <w:vMerge/>
            <w:tcBorders>
              <w:top w:val="single" w:sz="8" w:space="0" w:color="auto"/>
              <w:left w:val="single" w:sz="8" w:space="0" w:color="auto"/>
              <w:bottom w:val="single" w:sz="8" w:space="0" w:color="000000"/>
              <w:right w:val="single" w:sz="8" w:space="0" w:color="auto"/>
            </w:tcBorders>
            <w:vAlign w:val="center"/>
            <w:hideMark/>
          </w:tcPr>
          <w:p w:rsidR="0064576D" w:rsidRPr="0064576D" w:rsidRDefault="0064576D" w:rsidP="0064576D">
            <w:pPr>
              <w:spacing w:line="240" w:lineRule="auto"/>
              <w:jc w:val="left"/>
              <w:rPr>
                <w:rFonts w:eastAsia="Times New Roman" w:cs="Arial"/>
                <w:b/>
                <w:bCs/>
                <w:color w:val="000000"/>
                <w:szCs w:val="20"/>
                <w:lang w:eastAsia="cs-CZ"/>
              </w:rPr>
            </w:pPr>
          </w:p>
        </w:tc>
        <w:tc>
          <w:tcPr>
            <w:tcW w:w="460" w:type="dxa"/>
            <w:tcBorders>
              <w:top w:val="nil"/>
              <w:left w:val="nil"/>
              <w:bottom w:val="single" w:sz="8" w:space="0" w:color="auto"/>
              <w:right w:val="single" w:sz="8" w:space="0" w:color="auto"/>
            </w:tcBorders>
            <w:shd w:val="clear" w:color="auto" w:fill="auto"/>
            <w:textDirection w:val="btLr"/>
            <w:vAlign w:val="center"/>
            <w:hideMark/>
          </w:tcPr>
          <w:p w:rsidR="0064576D" w:rsidRPr="0064576D" w:rsidRDefault="0064576D" w:rsidP="0064576D">
            <w:pPr>
              <w:spacing w:line="240" w:lineRule="auto"/>
              <w:jc w:val="center"/>
              <w:rPr>
                <w:rFonts w:eastAsia="Times New Roman" w:cs="Arial"/>
                <w:color w:val="000000"/>
                <w:szCs w:val="20"/>
                <w:lang w:eastAsia="cs-CZ"/>
              </w:rPr>
            </w:pPr>
            <w:r w:rsidRPr="0064576D">
              <w:rPr>
                <w:rFonts w:eastAsia="Times New Roman" w:cs="Arial"/>
                <w:color w:val="000000"/>
                <w:szCs w:val="20"/>
                <w:lang w:eastAsia="cs-CZ"/>
              </w:rPr>
              <w:t xml:space="preserve">předchozí </w:t>
            </w:r>
          </w:p>
        </w:tc>
        <w:tc>
          <w:tcPr>
            <w:tcW w:w="12623" w:type="dxa"/>
            <w:gridSpan w:val="16"/>
            <w:tcBorders>
              <w:top w:val="nil"/>
              <w:left w:val="single" w:sz="8" w:space="0" w:color="auto"/>
              <w:bottom w:val="single" w:sz="4" w:space="0" w:color="auto"/>
              <w:right w:val="single" w:sz="8" w:space="0" w:color="auto"/>
            </w:tcBorders>
            <w:shd w:val="clear" w:color="auto" w:fill="auto"/>
            <w:hideMark/>
          </w:tcPr>
          <w:p w:rsidR="0064576D" w:rsidRPr="0064576D" w:rsidRDefault="009A4989" w:rsidP="009F1FBB">
            <w:pPr>
              <w:spacing w:after="120" w:line="240" w:lineRule="auto"/>
              <w:rPr>
                <w:rFonts w:eastAsia="Times New Roman" w:cs="Arial"/>
                <w:color w:val="000000"/>
                <w:szCs w:val="20"/>
                <w:lang w:eastAsia="cs-CZ"/>
              </w:rPr>
            </w:pPr>
            <w:r>
              <w:rPr>
                <w:rFonts w:eastAsia="Times New Roman" w:cs="Arial"/>
                <w:color w:val="000000"/>
                <w:szCs w:val="20"/>
                <w:lang w:eastAsia="cs-CZ"/>
              </w:rPr>
              <w:t>Dle Instrukce č. 15/2014</w:t>
            </w:r>
            <w:r w:rsidR="0064576D" w:rsidRPr="0064576D">
              <w:rPr>
                <w:rFonts w:eastAsia="Times New Roman" w:cs="Arial"/>
                <w:color w:val="000000"/>
                <w:szCs w:val="20"/>
                <w:lang w:eastAsia="cs-CZ"/>
              </w:rPr>
              <w:t xml:space="preserve"> </w:t>
            </w:r>
            <w:r>
              <w:rPr>
                <w:rFonts w:eastAsia="Times New Roman" w:cs="Arial"/>
                <w:color w:val="000000"/>
                <w:szCs w:val="20"/>
                <w:lang w:eastAsia="cs-CZ"/>
              </w:rPr>
              <w:t xml:space="preserve">upravující </w:t>
            </w:r>
            <w:r w:rsidR="0064576D" w:rsidRPr="0064576D">
              <w:rPr>
                <w:rFonts w:eastAsia="Times New Roman" w:cs="Arial"/>
                <w:color w:val="000000"/>
                <w:szCs w:val="20"/>
                <w:lang w:eastAsia="cs-CZ"/>
              </w:rPr>
              <w:t xml:space="preserve">postup ÚP ČR při realizaci APZ musí být APZ přednostně podporováni </w:t>
            </w:r>
            <w:proofErr w:type="spellStart"/>
            <w:r>
              <w:rPr>
                <w:rFonts w:eastAsia="Times New Roman" w:cs="Arial"/>
                <w:color w:val="000000"/>
                <w:szCs w:val="20"/>
                <w:lang w:eastAsia="cs-CZ"/>
              </w:rPr>
              <w:t>UoZ</w:t>
            </w:r>
            <w:proofErr w:type="spellEnd"/>
            <w:r>
              <w:rPr>
                <w:rFonts w:eastAsia="Times New Roman" w:cs="Arial"/>
                <w:color w:val="000000"/>
                <w:szCs w:val="20"/>
                <w:lang w:eastAsia="cs-CZ"/>
              </w:rPr>
              <w:t xml:space="preserve"> </w:t>
            </w:r>
            <w:r w:rsidR="0064576D" w:rsidRPr="0064576D">
              <w:rPr>
                <w:rFonts w:eastAsia="Times New Roman" w:cs="Arial"/>
                <w:color w:val="000000"/>
                <w:szCs w:val="20"/>
                <w:lang w:eastAsia="cs-CZ"/>
              </w:rPr>
              <w:t>dlouhodobě nezaměstnaní či s výraznými hendikepy na trhu práce.</w:t>
            </w:r>
            <w:r w:rsidR="00D229A2">
              <w:rPr>
                <w:rFonts w:eastAsia="Times New Roman" w:cs="Arial"/>
                <w:color w:val="000000"/>
                <w:szCs w:val="20"/>
                <w:lang w:eastAsia="cs-CZ"/>
              </w:rPr>
              <w:t xml:space="preserve"> </w:t>
            </w:r>
            <w:r w:rsidR="0064576D" w:rsidRPr="0064576D">
              <w:rPr>
                <w:rFonts w:eastAsia="Times New Roman" w:cs="Arial"/>
                <w:color w:val="000000"/>
                <w:szCs w:val="20"/>
                <w:lang w:eastAsia="cs-CZ"/>
              </w:rPr>
              <w:t xml:space="preserve">Od začátku roku do konce září </w:t>
            </w:r>
            <w:r w:rsidR="00DA350A">
              <w:rPr>
                <w:rFonts w:eastAsia="Times New Roman" w:cs="Arial"/>
                <w:color w:val="000000"/>
                <w:szCs w:val="20"/>
                <w:lang w:eastAsia="cs-CZ"/>
              </w:rPr>
              <w:t xml:space="preserve">2016 </w:t>
            </w:r>
            <w:r w:rsidR="0064576D" w:rsidRPr="0064576D">
              <w:rPr>
                <w:rFonts w:eastAsia="Times New Roman" w:cs="Arial"/>
                <w:color w:val="000000"/>
                <w:szCs w:val="20"/>
                <w:lang w:eastAsia="cs-CZ"/>
              </w:rPr>
              <w:t xml:space="preserve">bylo v rámci VPP vytvořeno celkem 18 863 pracovních míst </w:t>
            </w:r>
            <w:r w:rsidR="00B76143">
              <w:rPr>
                <w:rFonts w:eastAsia="Times New Roman" w:cs="Arial"/>
                <w:color w:val="000000"/>
                <w:szCs w:val="20"/>
                <w:lang w:eastAsia="cs-CZ"/>
              </w:rPr>
              <w:t>pro</w:t>
            </w:r>
            <w:r w:rsidR="0064576D" w:rsidRPr="0064576D">
              <w:rPr>
                <w:rFonts w:eastAsia="Times New Roman" w:cs="Arial"/>
                <w:color w:val="000000"/>
                <w:szCs w:val="20"/>
                <w:lang w:eastAsia="cs-CZ"/>
              </w:rPr>
              <w:t xml:space="preserve"> 19 827 </w:t>
            </w:r>
            <w:proofErr w:type="spellStart"/>
            <w:r w:rsidR="00DA350A">
              <w:rPr>
                <w:rFonts w:eastAsia="Times New Roman" w:cs="Arial"/>
                <w:color w:val="000000"/>
                <w:szCs w:val="20"/>
                <w:lang w:eastAsia="cs-CZ"/>
              </w:rPr>
              <w:t>UoZ</w:t>
            </w:r>
            <w:proofErr w:type="spellEnd"/>
            <w:r w:rsidR="0064576D" w:rsidRPr="0064576D">
              <w:rPr>
                <w:rFonts w:eastAsia="Times New Roman" w:cs="Arial"/>
                <w:color w:val="000000"/>
                <w:szCs w:val="20"/>
                <w:lang w:eastAsia="cs-CZ"/>
              </w:rPr>
              <w:t>. Kladen je důraz zejména na umísťování osob, které jsou pro svou osobní charakteristiku dlouhodobě neuplatnitelné na nepodporovaném trhu práce a osob, které pobírají dávky hmotné nouze.</w:t>
            </w:r>
            <w:r w:rsidR="000067AD">
              <w:rPr>
                <w:rFonts w:eastAsia="Times New Roman" w:cs="Arial"/>
                <w:color w:val="000000"/>
                <w:szCs w:val="20"/>
                <w:lang w:eastAsia="cs-CZ"/>
              </w:rPr>
              <w:t xml:space="preserve"> </w:t>
            </w:r>
            <w:r w:rsidR="0064576D" w:rsidRPr="0064576D">
              <w:rPr>
                <w:rFonts w:eastAsia="Times New Roman" w:cs="Arial"/>
                <w:color w:val="000000"/>
                <w:szCs w:val="20"/>
                <w:lang w:eastAsia="cs-CZ"/>
              </w:rPr>
              <w:t xml:space="preserve">Od začátku roku do konce </w:t>
            </w:r>
            <w:r w:rsidR="009F1FBB">
              <w:rPr>
                <w:rFonts w:eastAsia="Times New Roman" w:cs="Arial"/>
                <w:color w:val="000000"/>
                <w:szCs w:val="20"/>
                <w:lang w:eastAsia="cs-CZ"/>
              </w:rPr>
              <w:t>září</w:t>
            </w:r>
            <w:r w:rsidR="009F1FBB" w:rsidRPr="0064576D">
              <w:rPr>
                <w:rFonts w:eastAsia="Times New Roman" w:cs="Arial"/>
                <w:color w:val="000000"/>
                <w:szCs w:val="20"/>
                <w:lang w:eastAsia="cs-CZ"/>
              </w:rPr>
              <w:t xml:space="preserve"> </w:t>
            </w:r>
            <w:r w:rsidR="00DA350A">
              <w:rPr>
                <w:rFonts w:eastAsia="Times New Roman" w:cs="Arial"/>
                <w:color w:val="000000"/>
                <w:szCs w:val="20"/>
                <w:lang w:eastAsia="cs-CZ"/>
              </w:rPr>
              <w:t xml:space="preserve">2016 </w:t>
            </w:r>
            <w:r w:rsidR="0064576D" w:rsidRPr="0064576D">
              <w:rPr>
                <w:rFonts w:eastAsia="Times New Roman" w:cs="Arial"/>
                <w:color w:val="000000"/>
                <w:szCs w:val="20"/>
                <w:lang w:eastAsia="cs-CZ"/>
              </w:rPr>
              <w:t xml:space="preserve">ÚP ČR poskytl příspěvek na vyhrazení 20 739 SÚPM. Příspěvek na zřízení SÚPM byl do </w:t>
            </w:r>
            <w:r w:rsidR="009F1FBB">
              <w:rPr>
                <w:rFonts w:eastAsia="Times New Roman" w:cs="Arial"/>
                <w:color w:val="000000"/>
                <w:szCs w:val="20"/>
                <w:lang w:eastAsia="cs-CZ"/>
              </w:rPr>
              <w:t>září</w:t>
            </w:r>
            <w:r w:rsidR="009F1FBB" w:rsidRPr="0064576D">
              <w:rPr>
                <w:rFonts w:eastAsia="Times New Roman" w:cs="Arial"/>
                <w:color w:val="000000"/>
                <w:szCs w:val="20"/>
                <w:lang w:eastAsia="cs-CZ"/>
              </w:rPr>
              <w:t xml:space="preserve"> </w:t>
            </w:r>
            <w:r w:rsidR="0064576D" w:rsidRPr="0064576D">
              <w:rPr>
                <w:rFonts w:eastAsia="Times New Roman" w:cs="Arial"/>
                <w:color w:val="000000"/>
                <w:szCs w:val="20"/>
                <w:lang w:eastAsia="cs-CZ"/>
              </w:rPr>
              <w:t xml:space="preserve">2016 poskytnut na vybavení 1 535 pracovních míst pro </w:t>
            </w:r>
            <w:proofErr w:type="spellStart"/>
            <w:r w:rsidR="00DA350A">
              <w:rPr>
                <w:rFonts w:eastAsia="Times New Roman" w:cs="Arial"/>
                <w:color w:val="000000"/>
                <w:szCs w:val="20"/>
                <w:lang w:eastAsia="cs-CZ"/>
              </w:rPr>
              <w:t>UoZ</w:t>
            </w:r>
            <w:proofErr w:type="spellEnd"/>
            <w:r w:rsidR="0064576D" w:rsidRPr="0064576D">
              <w:rPr>
                <w:rFonts w:eastAsia="Times New Roman" w:cs="Arial"/>
                <w:color w:val="000000"/>
                <w:szCs w:val="20"/>
                <w:lang w:eastAsia="cs-CZ"/>
              </w:rPr>
              <w:t xml:space="preserve">, přičemž výrazně dominovaly příspěvky na zahájení </w:t>
            </w:r>
            <w:r>
              <w:rPr>
                <w:rFonts w:eastAsia="Times New Roman" w:cs="Arial"/>
                <w:color w:val="000000"/>
                <w:szCs w:val="20"/>
                <w:lang w:eastAsia="cs-CZ"/>
              </w:rPr>
              <w:t xml:space="preserve">samostatně výdělečné činnosti. </w:t>
            </w:r>
            <w:r w:rsidR="000067AD">
              <w:rPr>
                <w:rFonts w:eastAsia="Times New Roman" w:cs="Arial"/>
                <w:color w:val="000000"/>
                <w:szCs w:val="20"/>
                <w:lang w:eastAsia="cs-CZ"/>
              </w:rPr>
              <w:t xml:space="preserve"> </w:t>
            </w:r>
            <w:r w:rsidR="00B76143">
              <w:rPr>
                <w:rFonts w:eastAsia="Times New Roman" w:cs="Arial"/>
                <w:color w:val="000000"/>
                <w:szCs w:val="20"/>
                <w:lang w:eastAsia="cs-CZ"/>
              </w:rPr>
              <w:t>Podporováno je rovněž vytváření pracovních míst se zkrácenou pracovní dobou</w:t>
            </w:r>
          </w:p>
        </w:tc>
      </w:tr>
      <w:tr w:rsidR="0064576D" w:rsidRPr="0064576D" w:rsidTr="00B76143">
        <w:trPr>
          <w:gridBefore w:val="2"/>
          <w:gridAfter w:val="1"/>
          <w:wBefore w:w="127" w:type="dxa"/>
          <w:wAfter w:w="329" w:type="dxa"/>
          <w:trHeight w:val="3661"/>
        </w:trPr>
        <w:tc>
          <w:tcPr>
            <w:tcW w:w="540" w:type="dxa"/>
            <w:gridSpan w:val="2"/>
            <w:vMerge/>
            <w:tcBorders>
              <w:top w:val="single" w:sz="8" w:space="0" w:color="auto"/>
              <w:left w:val="single" w:sz="8" w:space="0" w:color="auto"/>
              <w:bottom w:val="single" w:sz="8" w:space="0" w:color="000000"/>
              <w:right w:val="single" w:sz="8" w:space="0" w:color="auto"/>
            </w:tcBorders>
            <w:vAlign w:val="center"/>
            <w:hideMark/>
          </w:tcPr>
          <w:p w:rsidR="0064576D" w:rsidRPr="0064576D" w:rsidRDefault="0064576D" w:rsidP="0064576D">
            <w:pPr>
              <w:spacing w:line="240" w:lineRule="auto"/>
              <w:jc w:val="left"/>
              <w:rPr>
                <w:rFonts w:eastAsia="Times New Roman" w:cs="Arial"/>
                <w:b/>
                <w:bCs/>
                <w:color w:val="000000"/>
                <w:szCs w:val="20"/>
                <w:lang w:eastAsia="cs-CZ"/>
              </w:rPr>
            </w:pPr>
          </w:p>
        </w:tc>
        <w:tc>
          <w:tcPr>
            <w:tcW w:w="460" w:type="dxa"/>
            <w:tcBorders>
              <w:top w:val="single" w:sz="8" w:space="0" w:color="auto"/>
              <w:left w:val="nil"/>
              <w:bottom w:val="single" w:sz="8" w:space="0" w:color="auto"/>
              <w:right w:val="single" w:sz="4" w:space="0" w:color="auto"/>
            </w:tcBorders>
            <w:shd w:val="clear" w:color="auto" w:fill="auto"/>
            <w:textDirection w:val="btLr"/>
            <w:vAlign w:val="center"/>
            <w:hideMark/>
          </w:tcPr>
          <w:p w:rsidR="0064576D" w:rsidRPr="0064576D" w:rsidRDefault="0064576D" w:rsidP="0064576D">
            <w:pPr>
              <w:spacing w:line="240" w:lineRule="auto"/>
              <w:jc w:val="center"/>
              <w:rPr>
                <w:rFonts w:eastAsia="Times New Roman" w:cs="Arial"/>
                <w:color w:val="000000"/>
                <w:szCs w:val="20"/>
                <w:lang w:eastAsia="cs-CZ"/>
              </w:rPr>
            </w:pPr>
            <w:r w:rsidRPr="0064576D">
              <w:rPr>
                <w:rFonts w:eastAsia="Times New Roman" w:cs="Arial"/>
                <w:color w:val="000000"/>
                <w:szCs w:val="20"/>
                <w:lang w:eastAsia="cs-CZ"/>
              </w:rPr>
              <w:t>sledované období</w:t>
            </w:r>
          </w:p>
        </w:tc>
        <w:tc>
          <w:tcPr>
            <w:tcW w:w="12623" w:type="dxa"/>
            <w:gridSpan w:val="16"/>
            <w:tcBorders>
              <w:top w:val="single" w:sz="4" w:space="0" w:color="auto"/>
              <w:left w:val="single" w:sz="4" w:space="0" w:color="auto"/>
              <w:bottom w:val="single" w:sz="4" w:space="0" w:color="auto"/>
              <w:right w:val="single" w:sz="4" w:space="0" w:color="auto"/>
            </w:tcBorders>
            <w:shd w:val="clear" w:color="auto" w:fill="auto"/>
            <w:hideMark/>
          </w:tcPr>
          <w:p w:rsidR="0064576D" w:rsidRPr="0064576D" w:rsidRDefault="000067AD" w:rsidP="00B76143">
            <w:pPr>
              <w:spacing w:line="240" w:lineRule="auto"/>
              <w:rPr>
                <w:rFonts w:eastAsia="Times New Roman" w:cs="Arial"/>
                <w:color w:val="000000"/>
                <w:szCs w:val="20"/>
                <w:lang w:eastAsia="cs-CZ"/>
              </w:rPr>
            </w:pPr>
            <w:r>
              <w:rPr>
                <w:rFonts w:eastAsia="Times New Roman" w:cs="Arial"/>
                <w:color w:val="000000"/>
                <w:szCs w:val="20"/>
                <w:lang w:eastAsia="cs-CZ"/>
              </w:rPr>
              <w:t>N</w:t>
            </w:r>
            <w:r w:rsidR="0064576D" w:rsidRPr="0064576D">
              <w:rPr>
                <w:rFonts w:eastAsia="Times New Roman" w:cs="Arial"/>
                <w:color w:val="000000"/>
                <w:szCs w:val="20"/>
                <w:lang w:eastAsia="cs-CZ"/>
              </w:rPr>
              <w:t xml:space="preserve">ástroje a opatření </w:t>
            </w:r>
            <w:r w:rsidR="00F31E71">
              <w:rPr>
                <w:rFonts w:eastAsia="Times New Roman" w:cs="Arial"/>
                <w:color w:val="000000"/>
                <w:szCs w:val="20"/>
                <w:lang w:eastAsia="cs-CZ"/>
              </w:rPr>
              <w:t>APZ</w:t>
            </w:r>
            <w:r w:rsidR="0064576D" w:rsidRPr="0064576D">
              <w:rPr>
                <w:rFonts w:eastAsia="Times New Roman" w:cs="Arial"/>
                <w:color w:val="000000"/>
                <w:szCs w:val="20"/>
                <w:lang w:eastAsia="cs-CZ"/>
              </w:rPr>
              <w:t xml:space="preserve"> pom</w:t>
            </w:r>
            <w:r>
              <w:rPr>
                <w:rFonts w:eastAsia="Times New Roman" w:cs="Arial"/>
                <w:color w:val="000000"/>
                <w:szCs w:val="20"/>
                <w:lang w:eastAsia="cs-CZ"/>
              </w:rPr>
              <w:t>áhají</w:t>
            </w:r>
            <w:r w:rsidR="00F31E71">
              <w:rPr>
                <w:rFonts w:eastAsia="Times New Roman" w:cs="Arial"/>
                <w:color w:val="000000"/>
                <w:szCs w:val="20"/>
                <w:lang w:eastAsia="cs-CZ"/>
              </w:rPr>
              <w:t xml:space="preserve"> v</w:t>
            </w:r>
            <w:r w:rsidR="0064576D" w:rsidRPr="0064576D">
              <w:rPr>
                <w:rFonts w:eastAsia="Times New Roman" w:cs="Arial"/>
                <w:color w:val="000000"/>
                <w:szCs w:val="20"/>
                <w:lang w:eastAsia="cs-CZ"/>
              </w:rPr>
              <w:t xml:space="preserve"> návratu na trh práce osobám, které by se vzhledem ke svému věku, vzděl</w:t>
            </w:r>
            <w:r>
              <w:rPr>
                <w:rFonts w:eastAsia="Times New Roman" w:cs="Arial"/>
                <w:color w:val="000000"/>
                <w:szCs w:val="20"/>
                <w:lang w:eastAsia="cs-CZ"/>
              </w:rPr>
              <w:t>án</w:t>
            </w:r>
            <w:r w:rsidR="0064576D" w:rsidRPr="0064576D">
              <w:rPr>
                <w:rFonts w:eastAsia="Times New Roman" w:cs="Arial"/>
                <w:color w:val="000000"/>
                <w:szCs w:val="20"/>
                <w:lang w:eastAsia="cs-CZ"/>
              </w:rPr>
              <w:t>í, zdravotním</w:t>
            </w:r>
            <w:r>
              <w:rPr>
                <w:rFonts w:eastAsia="Times New Roman" w:cs="Arial"/>
                <w:color w:val="000000"/>
                <w:szCs w:val="20"/>
                <w:lang w:eastAsia="cs-CZ"/>
              </w:rPr>
              <w:t xml:space="preserve">u omezení či jinému </w:t>
            </w:r>
            <w:r w:rsidR="00B76143">
              <w:rPr>
                <w:rFonts w:eastAsia="Times New Roman" w:cs="Arial"/>
                <w:color w:val="000000"/>
                <w:szCs w:val="20"/>
                <w:lang w:eastAsia="cs-CZ"/>
              </w:rPr>
              <w:t>znevýhodnění</w:t>
            </w:r>
            <w:r w:rsidR="0064576D" w:rsidRPr="0064576D">
              <w:rPr>
                <w:rFonts w:eastAsia="Times New Roman" w:cs="Arial"/>
                <w:color w:val="000000"/>
                <w:szCs w:val="20"/>
                <w:lang w:eastAsia="cs-CZ"/>
              </w:rPr>
              <w:t xml:space="preserve"> </w:t>
            </w:r>
            <w:r w:rsidR="00F31E71">
              <w:rPr>
                <w:rFonts w:eastAsia="Times New Roman" w:cs="Arial"/>
                <w:color w:val="000000"/>
                <w:szCs w:val="20"/>
                <w:lang w:eastAsia="cs-CZ"/>
              </w:rPr>
              <w:t>stěží uplatnily</w:t>
            </w:r>
            <w:r w:rsidR="0064576D" w:rsidRPr="0064576D">
              <w:rPr>
                <w:rFonts w:eastAsia="Times New Roman" w:cs="Arial"/>
                <w:color w:val="000000"/>
                <w:szCs w:val="20"/>
                <w:lang w:eastAsia="cs-CZ"/>
              </w:rPr>
              <w:t xml:space="preserve"> na trhu práce. APZ slouží rovněž jako prevence proti sociálnímu vyloučení. V</w:t>
            </w:r>
            <w:r w:rsidR="00F31E71">
              <w:rPr>
                <w:rFonts w:eastAsia="Times New Roman" w:cs="Arial"/>
                <w:color w:val="000000"/>
                <w:szCs w:val="20"/>
                <w:lang w:eastAsia="cs-CZ"/>
              </w:rPr>
              <w:t xml:space="preserve"> </w:t>
            </w:r>
            <w:r w:rsidR="00B76143" w:rsidRPr="0064576D">
              <w:rPr>
                <w:rFonts w:eastAsia="Times New Roman" w:cs="Arial"/>
                <w:color w:val="000000"/>
                <w:szCs w:val="20"/>
                <w:lang w:eastAsia="cs-CZ"/>
              </w:rPr>
              <w:t xml:space="preserve">roce 2016 </w:t>
            </w:r>
            <w:r w:rsidR="0064576D" w:rsidRPr="0064576D">
              <w:rPr>
                <w:rFonts w:eastAsia="Times New Roman" w:cs="Arial"/>
                <w:color w:val="000000"/>
                <w:szCs w:val="20"/>
                <w:lang w:eastAsia="cs-CZ"/>
              </w:rPr>
              <w:t xml:space="preserve">pokračovala podpora tvorby míst na zkrácený pracovní úvazek. Důvodem je jednak snaha o poskytnutí podpory co nejširšímu okruhu problémově umístitelných </w:t>
            </w:r>
            <w:proofErr w:type="spellStart"/>
            <w:r w:rsidR="00F31E71">
              <w:rPr>
                <w:rFonts w:eastAsia="Times New Roman" w:cs="Arial"/>
                <w:color w:val="000000"/>
                <w:szCs w:val="20"/>
                <w:lang w:eastAsia="cs-CZ"/>
              </w:rPr>
              <w:t>UoZ</w:t>
            </w:r>
            <w:proofErr w:type="spellEnd"/>
            <w:r w:rsidR="0064576D" w:rsidRPr="0064576D">
              <w:rPr>
                <w:rFonts w:eastAsia="Times New Roman" w:cs="Arial"/>
                <w:color w:val="000000"/>
                <w:szCs w:val="20"/>
                <w:lang w:eastAsia="cs-CZ"/>
              </w:rPr>
              <w:t xml:space="preserve">, tak </w:t>
            </w:r>
            <w:r>
              <w:rPr>
                <w:rFonts w:eastAsia="Times New Roman" w:cs="Arial"/>
                <w:color w:val="000000"/>
                <w:szCs w:val="20"/>
                <w:lang w:eastAsia="cs-CZ"/>
              </w:rPr>
              <w:t>i snaha optimalizovat podporu i </w:t>
            </w:r>
            <w:r w:rsidR="0064576D" w:rsidRPr="0064576D">
              <w:rPr>
                <w:rFonts w:eastAsia="Times New Roman" w:cs="Arial"/>
                <w:color w:val="000000"/>
                <w:szCs w:val="20"/>
                <w:lang w:eastAsia="cs-CZ"/>
              </w:rPr>
              <w:t xml:space="preserve">pro ty </w:t>
            </w:r>
            <w:proofErr w:type="spellStart"/>
            <w:r w:rsidR="00F31E71">
              <w:rPr>
                <w:rFonts w:eastAsia="Times New Roman" w:cs="Arial"/>
                <w:color w:val="000000"/>
                <w:szCs w:val="20"/>
                <w:lang w:eastAsia="cs-CZ"/>
              </w:rPr>
              <w:t>UoZ</w:t>
            </w:r>
            <w:proofErr w:type="spellEnd"/>
            <w:r w:rsidR="0064576D" w:rsidRPr="0064576D">
              <w:rPr>
                <w:rFonts w:eastAsia="Times New Roman" w:cs="Arial"/>
                <w:color w:val="000000"/>
                <w:szCs w:val="20"/>
                <w:lang w:eastAsia="cs-CZ"/>
              </w:rPr>
              <w:t xml:space="preserve">, kteří z různých důvodů nejsou schopni vykonávat pracovní činnost na plný úvazek. </w:t>
            </w:r>
            <w:r w:rsidR="00F31E71">
              <w:rPr>
                <w:rFonts w:eastAsia="Times New Roman" w:cs="Arial"/>
                <w:color w:val="000000"/>
                <w:szCs w:val="20"/>
                <w:lang w:eastAsia="cs-CZ"/>
              </w:rPr>
              <w:t>ÚP</w:t>
            </w:r>
            <w:r w:rsidR="0064576D" w:rsidRPr="0064576D">
              <w:rPr>
                <w:rFonts w:eastAsia="Times New Roman" w:cs="Arial"/>
                <w:color w:val="000000"/>
                <w:szCs w:val="20"/>
                <w:lang w:eastAsia="cs-CZ"/>
              </w:rPr>
              <w:t xml:space="preserve"> ČR motivuje zaměstnavatele k přijímání mladých do 30 let věku a osob starší 50 let věku.</w:t>
            </w:r>
            <w:r>
              <w:rPr>
                <w:rFonts w:eastAsia="Times New Roman" w:cs="Arial"/>
                <w:color w:val="000000"/>
                <w:szCs w:val="20"/>
                <w:lang w:eastAsia="cs-CZ"/>
              </w:rPr>
              <w:t xml:space="preserve"> Cekem bylo v roce 2016 vytvořeno 21 </w:t>
            </w:r>
            <w:r w:rsidR="0064576D" w:rsidRPr="0064576D">
              <w:rPr>
                <w:rFonts w:eastAsia="Times New Roman" w:cs="Arial"/>
                <w:color w:val="000000"/>
                <w:szCs w:val="20"/>
                <w:lang w:eastAsia="cs-CZ"/>
              </w:rPr>
              <w:t>137 míst VPP</w:t>
            </w:r>
            <w:r>
              <w:rPr>
                <w:rFonts w:eastAsia="Times New Roman" w:cs="Arial"/>
                <w:color w:val="000000"/>
                <w:szCs w:val="20"/>
                <w:lang w:eastAsia="cs-CZ"/>
              </w:rPr>
              <w:t xml:space="preserve"> pro</w:t>
            </w:r>
            <w:r w:rsidR="0064576D" w:rsidRPr="0064576D">
              <w:rPr>
                <w:rFonts w:eastAsia="Times New Roman" w:cs="Arial"/>
                <w:color w:val="000000"/>
                <w:szCs w:val="20"/>
                <w:lang w:eastAsia="cs-CZ"/>
              </w:rPr>
              <w:t xml:space="preserve"> 22 608 </w:t>
            </w:r>
            <w:proofErr w:type="spellStart"/>
            <w:r w:rsidR="0064576D" w:rsidRPr="0064576D">
              <w:rPr>
                <w:rFonts w:eastAsia="Times New Roman" w:cs="Arial"/>
                <w:color w:val="000000"/>
                <w:szCs w:val="20"/>
                <w:lang w:eastAsia="cs-CZ"/>
              </w:rPr>
              <w:t>UoZ</w:t>
            </w:r>
            <w:proofErr w:type="spellEnd"/>
            <w:r w:rsidR="00B76143">
              <w:rPr>
                <w:rFonts w:eastAsia="Times New Roman" w:cs="Arial"/>
                <w:color w:val="000000"/>
                <w:szCs w:val="20"/>
                <w:lang w:eastAsia="cs-CZ"/>
              </w:rPr>
              <w:t xml:space="preserve"> a</w:t>
            </w:r>
            <w:r w:rsidR="0064576D" w:rsidRPr="0064576D">
              <w:rPr>
                <w:rFonts w:eastAsia="Times New Roman" w:cs="Arial"/>
                <w:color w:val="000000"/>
                <w:szCs w:val="20"/>
                <w:lang w:eastAsia="cs-CZ"/>
              </w:rPr>
              <w:t xml:space="preserve"> vyhrazen</w:t>
            </w:r>
            <w:r w:rsidR="00B76143">
              <w:rPr>
                <w:rFonts w:eastAsia="Times New Roman" w:cs="Arial"/>
                <w:color w:val="000000"/>
                <w:szCs w:val="20"/>
                <w:lang w:eastAsia="cs-CZ"/>
              </w:rPr>
              <w:t>o</w:t>
            </w:r>
            <w:r w:rsidR="0064576D" w:rsidRPr="0064576D">
              <w:rPr>
                <w:rFonts w:eastAsia="Times New Roman" w:cs="Arial"/>
                <w:color w:val="000000"/>
                <w:szCs w:val="20"/>
                <w:lang w:eastAsia="cs-CZ"/>
              </w:rPr>
              <w:t xml:space="preserve"> </w:t>
            </w:r>
            <w:r w:rsidR="00F31E71" w:rsidRPr="0064576D">
              <w:rPr>
                <w:rFonts w:eastAsia="Times New Roman" w:cs="Arial"/>
                <w:color w:val="000000"/>
                <w:szCs w:val="20"/>
                <w:lang w:eastAsia="cs-CZ"/>
              </w:rPr>
              <w:t>25 244 SÚPM. Příspěvek na zřízení SÚPM, včetně SÚPM-SVČ, byl v roce 2016 poskytnut na vybavení 1 964 pracovních m</w:t>
            </w:r>
            <w:r w:rsidR="00F31E71">
              <w:rPr>
                <w:rFonts w:eastAsia="Times New Roman" w:cs="Arial"/>
                <w:color w:val="000000"/>
                <w:szCs w:val="20"/>
                <w:lang w:eastAsia="cs-CZ"/>
              </w:rPr>
              <w:t xml:space="preserve">íst pro </w:t>
            </w:r>
            <w:proofErr w:type="spellStart"/>
            <w:r w:rsidR="00F31E71">
              <w:rPr>
                <w:rFonts w:eastAsia="Times New Roman" w:cs="Arial"/>
                <w:color w:val="000000"/>
                <w:szCs w:val="20"/>
                <w:lang w:eastAsia="cs-CZ"/>
              </w:rPr>
              <w:t>UoZ</w:t>
            </w:r>
            <w:proofErr w:type="spellEnd"/>
            <w:r w:rsidR="0064576D" w:rsidRPr="0064576D">
              <w:rPr>
                <w:rFonts w:eastAsia="Times New Roman" w:cs="Arial"/>
                <w:color w:val="000000"/>
                <w:szCs w:val="20"/>
                <w:lang w:eastAsia="cs-CZ"/>
              </w:rPr>
              <w:t>.</w:t>
            </w:r>
            <w:r w:rsidR="00F31E71">
              <w:rPr>
                <w:rFonts w:eastAsia="Times New Roman" w:cs="Arial"/>
                <w:color w:val="000000"/>
                <w:szCs w:val="20"/>
                <w:lang w:eastAsia="cs-CZ"/>
              </w:rPr>
              <w:t xml:space="preserve"> </w:t>
            </w:r>
            <w:r w:rsidR="0064576D" w:rsidRPr="0064576D">
              <w:rPr>
                <w:rFonts w:eastAsia="Times New Roman" w:cs="Arial"/>
                <w:color w:val="000000"/>
                <w:szCs w:val="20"/>
                <w:lang w:eastAsia="cs-CZ"/>
              </w:rPr>
              <w:t xml:space="preserve">Na zkrácený úvazek bylo prostřednictvím APZ umístěno celkem 3 233 </w:t>
            </w:r>
            <w:proofErr w:type="spellStart"/>
            <w:r w:rsidR="0064576D" w:rsidRPr="0064576D">
              <w:rPr>
                <w:rFonts w:eastAsia="Times New Roman" w:cs="Arial"/>
                <w:color w:val="000000"/>
                <w:szCs w:val="20"/>
                <w:lang w:eastAsia="cs-CZ"/>
              </w:rPr>
              <w:t>UoZ</w:t>
            </w:r>
            <w:proofErr w:type="spellEnd"/>
            <w:r w:rsidR="0064576D" w:rsidRPr="0064576D">
              <w:rPr>
                <w:rFonts w:eastAsia="Times New Roman" w:cs="Arial"/>
                <w:color w:val="000000"/>
                <w:szCs w:val="20"/>
                <w:lang w:eastAsia="cs-CZ"/>
              </w:rPr>
              <w:t>.</w:t>
            </w:r>
            <w:r>
              <w:rPr>
                <w:rFonts w:eastAsia="Times New Roman" w:cs="Arial"/>
                <w:color w:val="000000"/>
                <w:szCs w:val="20"/>
                <w:lang w:eastAsia="cs-CZ"/>
              </w:rPr>
              <w:t xml:space="preserve"> Nadále jsou </w:t>
            </w:r>
            <w:r w:rsidRPr="0064576D">
              <w:rPr>
                <w:rFonts w:eastAsia="Times New Roman" w:cs="Arial"/>
                <w:color w:val="000000"/>
                <w:szCs w:val="20"/>
                <w:lang w:eastAsia="cs-CZ"/>
              </w:rPr>
              <w:t xml:space="preserve">nástroji APZ přednostně podporováni </w:t>
            </w:r>
            <w:proofErr w:type="spellStart"/>
            <w:r>
              <w:rPr>
                <w:rFonts w:eastAsia="Times New Roman" w:cs="Arial"/>
                <w:color w:val="000000"/>
                <w:szCs w:val="20"/>
                <w:lang w:eastAsia="cs-CZ"/>
              </w:rPr>
              <w:t>UoZ</w:t>
            </w:r>
            <w:proofErr w:type="spellEnd"/>
            <w:r w:rsidRPr="0064576D">
              <w:rPr>
                <w:rFonts w:eastAsia="Times New Roman" w:cs="Arial"/>
                <w:color w:val="000000"/>
                <w:szCs w:val="20"/>
                <w:lang w:eastAsia="cs-CZ"/>
              </w:rPr>
              <w:t xml:space="preserve"> dlouhodobě nezamě</w:t>
            </w:r>
            <w:r>
              <w:rPr>
                <w:rFonts w:eastAsia="Times New Roman" w:cs="Arial"/>
                <w:color w:val="000000"/>
                <w:szCs w:val="20"/>
                <w:lang w:eastAsia="cs-CZ"/>
              </w:rPr>
              <w:t>stnaní či uchazeči o </w:t>
            </w:r>
            <w:r w:rsidRPr="0064576D">
              <w:rPr>
                <w:rFonts w:eastAsia="Times New Roman" w:cs="Arial"/>
                <w:color w:val="000000"/>
                <w:szCs w:val="20"/>
                <w:lang w:eastAsia="cs-CZ"/>
              </w:rPr>
              <w:t>zaměstnání s výraznými hendikepy na trhu práce.</w:t>
            </w:r>
            <w:r>
              <w:rPr>
                <w:rFonts w:eastAsia="Times New Roman" w:cs="Arial"/>
                <w:color w:val="000000"/>
                <w:szCs w:val="20"/>
                <w:lang w:eastAsia="cs-CZ"/>
              </w:rPr>
              <w:t xml:space="preserve"> Počátkem roku 2017 byla zahájena realizace projektu </w:t>
            </w:r>
            <w:r w:rsidRPr="00F31E71">
              <w:rPr>
                <w:rFonts w:eastAsia="Times New Roman" w:cs="Arial"/>
                <w:i/>
                <w:color w:val="000000"/>
                <w:szCs w:val="20"/>
                <w:lang w:eastAsia="cs-CZ"/>
              </w:rPr>
              <w:t>Vyhodnocování účinnosti a efektivity realizace APZ</w:t>
            </w:r>
            <w:r>
              <w:rPr>
                <w:rFonts w:eastAsia="Times New Roman" w:cs="Arial"/>
                <w:color w:val="000000"/>
                <w:szCs w:val="20"/>
                <w:lang w:eastAsia="cs-CZ"/>
              </w:rPr>
              <w:t>, který je realizován Výzkumným ústavem práce a sociálních věcí. Cílem opatření je p</w:t>
            </w:r>
            <w:r w:rsidRPr="00F31E71">
              <w:rPr>
                <w:rFonts w:eastAsia="Times New Roman" w:cs="Arial"/>
                <w:color w:val="000000"/>
                <w:szCs w:val="20"/>
                <w:lang w:eastAsia="cs-CZ"/>
              </w:rPr>
              <w:t>oskytnout relevantn</w:t>
            </w:r>
            <w:r>
              <w:rPr>
                <w:rFonts w:eastAsia="Times New Roman" w:cs="Arial"/>
                <w:color w:val="000000"/>
                <w:szCs w:val="20"/>
                <w:lang w:eastAsia="cs-CZ"/>
              </w:rPr>
              <w:t>í informace o účinnosti nástrojů</w:t>
            </w:r>
            <w:r w:rsidRPr="00F31E71">
              <w:rPr>
                <w:rFonts w:eastAsia="Times New Roman" w:cs="Arial"/>
                <w:color w:val="000000"/>
                <w:szCs w:val="20"/>
                <w:lang w:eastAsia="cs-CZ"/>
              </w:rPr>
              <w:t xml:space="preserve"> </w:t>
            </w:r>
            <w:r>
              <w:rPr>
                <w:rFonts w:eastAsia="Times New Roman" w:cs="Arial"/>
                <w:color w:val="000000"/>
                <w:szCs w:val="20"/>
                <w:lang w:eastAsia="cs-CZ"/>
              </w:rPr>
              <w:t>APZ</w:t>
            </w:r>
            <w:r w:rsidRPr="00F31E71">
              <w:rPr>
                <w:rFonts w:eastAsia="Times New Roman" w:cs="Arial"/>
                <w:color w:val="000000"/>
                <w:szCs w:val="20"/>
                <w:lang w:eastAsia="cs-CZ"/>
              </w:rPr>
              <w:t xml:space="preserve"> pro jednot</w:t>
            </w:r>
            <w:r>
              <w:rPr>
                <w:rFonts w:eastAsia="Times New Roman" w:cs="Arial"/>
                <w:color w:val="000000"/>
                <w:szCs w:val="20"/>
                <w:lang w:eastAsia="cs-CZ"/>
              </w:rPr>
              <w:t>livé skupiny podporovaných osob a</w:t>
            </w:r>
            <w:r w:rsidRPr="00F31E71">
              <w:rPr>
                <w:rFonts w:eastAsia="Times New Roman" w:cs="Arial"/>
                <w:color w:val="000000"/>
                <w:szCs w:val="20"/>
                <w:lang w:eastAsia="cs-CZ"/>
              </w:rPr>
              <w:t xml:space="preserve"> </w:t>
            </w:r>
            <w:r>
              <w:rPr>
                <w:rFonts w:eastAsia="Times New Roman" w:cs="Arial"/>
                <w:color w:val="000000"/>
                <w:szCs w:val="20"/>
                <w:lang w:eastAsia="cs-CZ"/>
              </w:rPr>
              <w:t>z</w:t>
            </w:r>
            <w:r w:rsidRPr="00F31E71">
              <w:rPr>
                <w:rFonts w:eastAsia="Times New Roman" w:cs="Arial"/>
                <w:color w:val="000000"/>
                <w:szCs w:val="20"/>
                <w:lang w:eastAsia="cs-CZ"/>
              </w:rPr>
              <w:t xml:space="preserve">abezpečení průběžných informací o účincích </w:t>
            </w:r>
            <w:r>
              <w:rPr>
                <w:rFonts w:eastAsia="Times New Roman" w:cs="Arial"/>
                <w:color w:val="000000"/>
                <w:szCs w:val="20"/>
                <w:lang w:eastAsia="cs-CZ"/>
              </w:rPr>
              <w:t>APZ</w:t>
            </w:r>
            <w:r w:rsidRPr="00F31E71">
              <w:rPr>
                <w:rFonts w:eastAsia="Times New Roman" w:cs="Arial"/>
                <w:color w:val="000000"/>
                <w:szCs w:val="20"/>
                <w:lang w:eastAsia="cs-CZ"/>
              </w:rPr>
              <w:t xml:space="preserve"> na trh práce</w:t>
            </w:r>
            <w:r>
              <w:rPr>
                <w:rFonts w:eastAsia="Times New Roman" w:cs="Arial"/>
                <w:color w:val="000000"/>
                <w:szCs w:val="20"/>
                <w:lang w:eastAsia="cs-CZ"/>
              </w:rPr>
              <w:t>.</w:t>
            </w:r>
          </w:p>
        </w:tc>
      </w:tr>
      <w:tr w:rsidR="00A629BC" w:rsidRPr="00513E71" w:rsidTr="00B76143">
        <w:trPr>
          <w:trHeight w:val="330"/>
        </w:trPr>
        <w:tc>
          <w:tcPr>
            <w:tcW w:w="14079" w:type="dxa"/>
            <w:gridSpan w:val="22"/>
            <w:tcBorders>
              <w:top w:val="double" w:sz="6" w:space="0" w:color="auto"/>
              <w:left w:val="double" w:sz="6" w:space="0" w:color="auto"/>
              <w:bottom w:val="double" w:sz="6" w:space="0" w:color="auto"/>
              <w:right w:val="double" w:sz="6" w:space="0" w:color="000000"/>
            </w:tcBorders>
            <w:shd w:val="clear" w:color="000000" w:fill="FABF8F"/>
            <w:noWrap/>
            <w:vAlign w:val="center"/>
            <w:hideMark/>
          </w:tcPr>
          <w:p w:rsidR="00A629BC" w:rsidRPr="00513E71" w:rsidRDefault="00A629BC" w:rsidP="00FE5B58">
            <w:pPr>
              <w:pStyle w:val="Nadpis2"/>
              <w:numPr>
                <w:ilvl w:val="0"/>
                <w:numId w:val="0"/>
              </w:numPr>
              <w:spacing w:before="0" w:after="0"/>
              <w:jc w:val="center"/>
              <w:rPr>
                <w:rFonts w:eastAsia="Times New Roman"/>
                <w:lang w:eastAsia="cs-CZ"/>
              </w:rPr>
            </w:pPr>
            <w:bookmarkStart w:id="99" w:name="_Toc476556246"/>
            <w:r>
              <w:rPr>
                <w:rFonts w:eastAsia="Times New Roman"/>
                <w:lang w:eastAsia="cs-CZ"/>
              </w:rPr>
              <w:t xml:space="preserve">Sk. 3: </w:t>
            </w:r>
            <w:r w:rsidRPr="00513E71">
              <w:rPr>
                <w:rFonts w:eastAsia="Times New Roman"/>
                <w:lang w:eastAsia="cs-CZ"/>
              </w:rPr>
              <w:t>Intenzifikace činnosti ÚP ČR a SUIP</w:t>
            </w:r>
            <w:bookmarkEnd w:id="99"/>
          </w:p>
        </w:tc>
      </w:tr>
      <w:tr w:rsidR="00513E71" w:rsidRPr="00513E71" w:rsidTr="00B76143">
        <w:trPr>
          <w:trHeight w:val="285"/>
        </w:trPr>
        <w:tc>
          <w:tcPr>
            <w:tcW w:w="568" w:type="dxa"/>
            <w:gridSpan w:val="3"/>
            <w:tcBorders>
              <w:top w:val="single" w:sz="8" w:space="0" w:color="auto"/>
              <w:left w:val="single" w:sz="8" w:space="0" w:color="auto"/>
              <w:bottom w:val="single" w:sz="4" w:space="0" w:color="auto"/>
              <w:right w:val="nil"/>
            </w:tcBorders>
            <w:shd w:val="clear" w:color="000000" w:fill="FDE9D9"/>
            <w:noWrap/>
            <w:vAlign w:val="center"/>
            <w:hideMark/>
          </w:tcPr>
          <w:p w:rsidR="00513E71" w:rsidRPr="00513E71" w:rsidRDefault="00513E71" w:rsidP="00513E71">
            <w:pPr>
              <w:spacing w:line="240" w:lineRule="auto"/>
              <w:jc w:val="center"/>
              <w:rPr>
                <w:rFonts w:eastAsia="Times New Roman" w:cs="Arial"/>
                <w:b/>
                <w:bCs/>
                <w:color w:val="000000"/>
                <w:szCs w:val="24"/>
                <w:lang w:eastAsia="cs-CZ"/>
              </w:rPr>
            </w:pPr>
            <w:r w:rsidRPr="00513E71">
              <w:rPr>
                <w:rFonts w:eastAsia="Times New Roman" w:cs="Arial"/>
                <w:b/>
                <w:bCs/>
                <w:color w:val="000000"/>
                <w:szCs w:val="24"/>
                <w:lang w:eastAsia="cs-CZ"/>
              </w:rPr>
              <w:t>3.1</w:t>
            </w:r>
          </w:p>
        </w:tc>
        <w:tc>
          <w:tcPr>
            <w:tcW w:w="1031" w:type="dxa"/>
            <w:gridSpan w:val="4"/>
            <w:tcBorders>
              <w:top w:val="single" w:sz="8" w:space="0" w:color="auto"/>
              <w:left w:val="single" w:sz="8" w:space="0" w:color="auto"/>
              <w:bottom w:val="single" w:sz="4" w:space="0" w:color="auto"/>
              <w:right w:val="nil"/>
            </w:tcBorders>
            <w:shd w:val="clear" w:color="auto" w:fill="auto"/>
            <w:noWrap/>
            <w:vAlign w:val="center"/>
            <w:hideMark/>
          </w:tcPr>
          <w:p w:rsidR="00513E71" w:rsidRPr="00513E71" w:rsidRDefault="00513E71" w:rsidP="00513E71">
            <w:pPr>
              <w:spacing w:line="240" w:lineRule="auto"/>
              <w:jc w:val="right"/>
              <w:rPr>
                <w:rFonts w:eastAsia="Times New Roman" w:cs="Arial"/>
                <w:b/>
                <w:bCs/>
                <w:color w:val="000000"/>
                <w:szCs w:val="24"/>
                <w:lang w:eastAsia="cs-CZ"/>
              </w:rPr>
            </w:pPr>
            <w:r w:rsidRPr="00513E71">
              <w:rPr>
                <w:rFonts w:eastAsia="Times New Roman" w:cs="Arial"/>
                <w:b/>
                <w:bCs/>
                <w:color w:val="000000"/>
                <w:szCs w:val="24"/>
                <w:lang w:eastAsia="cs-CZ"/>
              </w:rPr>
              <w:t>T:</w:t>
            </w:r>
          </w:p>
        </w:tc>
        <w:tc>
          <w:tcPr>
            <w:tcW w:w="1285" w:type="dxa"/>
            <w:gridSpan w:val="2"/>
            <w:tcBorders>
              <w:top w:val="single" w:sz="8" w:space="0" w:color="auto"/>
              <w:left w:val="nil"/>
              <w:bottom w:val="single" w:sz="4" w:space="0" w:color="auto"/>
              <w:right w:val="nil"/>
            </w:tcBorders>
            <w:shd w:val="clear" w:color="auto" w:fill="auto"/>
            <w:noWrap/>
            <w:vAlign w:val="center"/>
            <w:hideMark/>
          </w:tcPr>
          <w:p w:rsidR="00513E71" w:rsidRPr="00513E71" w:rsidRDefault="00513E71" w:rsidP="00513E71">
            <w:pPr>
              <w:spacing w:line="240" w:lineRule="auto"/>
              <w:jc w:val="center"/>
              <w:rPr>
                <w:rFonts w:eastAsia="Times New Roman" w:cs="Arial"/>
                <w:b/>
                <w:bCs/>
                <w:color w:val="000000"/>
                <w:szCs w:val="24"/>
                <w:lang w:eastAsia="cs-CZ"/>
              </w:rPr>
            </w:pPr>
            <w:r w:rsidRPr="00513E71">
              <w:rPr>
                <w:rFonts w:eastAsia="Times New Roman" w:cs="Arial"/>
                <w:b/>
                <w:bCs/>
                <w:color w:val="000000"/>
                <w:szCs w:val="24"/>
                <w:lang w:eastAsia="cs-CZ"/>
              </w:rPr>
              <w:t>průběžně</w:t>
            </w:r>
          </w:p>
        </w:tc>
        <w:tc>
          <w:tcPr>
            <w:tcW w:w="928" w:type="dxa"/>
            <w:gridSpan w:val="2"/>
            <w:tcBorders>
              <w:top w:val="single" w:sz="12" w:space="0" w:color="auto"/>
              <w:left w:val="single" w:sz="12" w:space="0" w:color="auto"/>
              <w:bottom w:val="single" w:sz="12" w:space="0" w:color="auto"/>
              <w:right w:val="nil"/>
            </w:tcBorders>
            <w:shd w:val="clear" w:color="auto" w:fill="auto"/>
            <w:noWrap/>
            <w:vAlign w:val="center"/>
            <w:hideMark/>
          </w:tcPr>
          <w:p w:rsidR="00513E71" w:rsidRPr="00513E71" w:rsidRDefault="00513E71" w:rsidP="00513E71">
            <w:pPr>
              <w:spacing w:line="240" w:lineRule="auto"/>
              <w:jc w:val="right"/>
              <w:rPr>
                <w:rFonts w:eastAsia="Times New Roman" w:cs="Arial"/>
                <w:b/>
                <w:bCs/>
                <w:color w:val="000000"/>
                <w:szCs w:val="24"/>
                <w:lang w:eastAsia="cs-CZ"/>
              </w:rPr>
            </w:pPr>
            <w:r w:rsidRPr="00513E71">
              <w:rPr>
                <w:rFonts w:eastAsia="Times New Roman" w:cs="Arial"/>
                <w:b/>
                <w:bCs/>
                <w:color w:val="000000"/>
                <w:szCs w:val="24"/>
                <w:lang w:eastAsia="cs-CZ"/>
              </w:rPr>
              <w:t>gesce:</w:t>
            </w:r>
          </w:p>
        </w:tc>
        <w:tc>
          <w:tcPr>
            <w:tcW w:w="1446" w:type="dxa"/>
            <w:gridSpan w:val="2"/>
            <w:tcBorders>
              <w:top w:val="single" w:sz="12" w:space="0" w:color="auto"/>
              <w:left w:val="nil"/>
              <w:bottom w:val="single" w:sz="8" w:space="0" w:color="auto"/>
              <w:right w:val="single" w:sz="4" w:space="0" w:color="auto"/>
            </w:tcBorders>
            <w:shd w:val="clear" w:color="auto" w:fill="auto"/>
            <w:noWrap/>
            <w:vAlign w:val="center"/>
            <w:hideMark/>
          </w:tcPr>
          <w:p w:rsidR="00513E71" w:rsidRPr="00513E71" w:rsidRDefault="00513E71" w:rsidP="00513E71">
            <w:pPr>
              <w:spacing w:line="240" w:lineRule="auto"/>
              <w:jc w:val="left"/>
              <w:rPr>
                <w:rFonts w:eastAsia="Times New Roman" w:cs="Arial"/>
                <w:b/>
                <w:bCs/>
                <w:color w:val="000000"/>
                <w:szCs w:val="24"/>
                <w:lang w:eastAsia="cs-CZ"/>
              </w:rPr>
            </w:pPr>
            <w:r w:rsidRPr="00513E71">
              <w:rPr>
                <w:rFonts w:eastAsia="Times New Roman" w:cs="Arial"/>
                <w:b/>
                <w:bCs/>
                <w:color w:val="000000"/>
                <w:szCs w:val="24"/>
                <w:lang w:eastAsia="cs-CZ"/>
              </w:rPr>
              <w:t>MPSV</w:t>
            </w:r>
          </w:p>
        </w:tc>
        <w:tc>
          <w:tcPr>
            <w:tcW w:w="2659" w:type="dxa"/>
            <w:gridSpan w:val="2"/>
            <w:tcBorders>
              <w:left w:val="single" w:sz="4" w:space="0" w:color="auto"/>
              <w:bottom w:val="single" w:sz="8" w:space="0" w:color="auto"/>
            </w:tcBorders>
            <w:shd w:val="clear" w:color="auto" w:fill="auto"/>
            <w:noWrap/>
            <w:vAlign w:val="center"/>
          </w:tcPr>
          <w:p w:rsidR="00513E71" w:rsidRPr="00513E71" w:rsidRDefault="00513E71" w:rsidP="00513E71">
            <w:pPr>
              <w:spacing w:line="240" w:lineRule="auto"/>
              <w:jc w:val="right"/>
              <w:rPr>
                <w:rFonts w:eastAsia="Times New Roman" w:cs="Arial"/>
                <w:color w:val="000000"/>
                <w:szCs w:val="24"/>
                <w:lang w:eastAsia="cs-CZ"/>
              </w:rPr>
            </w:pPr>
          </w:p>
        </w:tc>
        <w:tc>
          <w:tcPr>
            <w:tcW w:w="2905" w:type="dxa"/>
            <w:tcBorders>
              <w:bottom w:val="single" w:sz="8" w:space="0" w:color="auto"/>
            </w:tcBorders>
            <w:shd w:val="clear" w:color="auto" w:fill="auto"/>
            <w:noWrap/>
            <w:vAlign w:val="center"/>
          </w:tcPr>
          <w:p w:rsidR="00513E71" w:rsidRPr="00513E71" w:rsidRDefault="00513E71" w:rsidP="00513E71">
            <w:pPr>
              <w:spacing w:line="240" w:lineRule="auto"/>
              <w:jc w:val="right"/>
              <w:rPr>
                <w:rFonts w:eastAsia="Times New Roman" w:cs="Arial"/>
                <w:color w:val="000000"/>
                <w:szCs w:val="24"/>
                <w:lang w:eastAsia="cs-CZ"/>
              </w:rPr>
            </w:pPr>
          </w:p>
        </w:tc>
        <w:tc>
          <w:tcPr>
            <w:tcW w:w="1275" w:type="dxa"/>
            <w:gridSpan w:val="4"/>
            <w:tcBorders>
              <w:bottom w:val="single" w:sz="8" w:space="0" w:color="auto"/>
            </w:tcBorders>
            <w:shd w:val="clear" w:color="auto" w:fill="auto"/>
            <w:noWrap/>
            <w:vAlign w:val="center"/>
          </w:tcPr>
          <w:p w:rsidR="00513E71" w:rsidRPr="00513E71" w:rsidRDefault="00513E71" w:rsidP="00513E71">
            <w:pPr>
              <w:spacing w:line="240" w:lineRule="auto"/>
              <w:jc w:val="right"/>
              <w:rPr>
                <w:rFonts w:eastAsia="Times New Roman" w:cs="Arial"/>
                <w:color w:val="000000"/>
                <w:szCs w:val="24"/>
                <w:lang w:eastAsia="cs-CZ"/>
              </w:rPr>
            </w:pPr>
          </w:p>
        </w:tc>
        <w:tc>
          <w:tcPr>
            <w:tcW w:w="1982" w:type="dxa"/>
            <w:gridSpan w:val="2"/>
            <w:tcBorders>
              <w:bottom w:val="single" w:sz="8" w:space="0" w:color="auto"/>
            </w:tcBorders>
            <w:shd w:val="clear" w:color="auto" w:fill="auto"/>
            <w:noWrap/>
            <w:vAlign w:val="center"/>
          </w:tcPr>
          <w:p w:rsidR="00513E71" w:rsidRPr="00513E71" w:rsidRDefault="00513E71" w:rsidP="00513E71">
            <w:pPr>
              <w:spacing w:line="240" w:lineRule="auto"/>
              <w:jc w:val="right"/>
              <w:rPr>
                <w:rFonts w:eastAsia="Times New Roman" w:cs="Arial"/>
                <w:b/>
                <w:bCs/>
                <w:color w:val="000000"/>
                <w:szCs w:val="24"/>
                <w:lang w:eastAsia="cs-CZ"/>
              </w:rPr>
            </w:pPr>
          </w:p>
        </w:tc>
      </w:tr>
      <w:tr w:rsidR="00F14D34" w:rsidRPr="00513E71" w:rsidTr="00B76143">
        <w:trPr>
          <w:trHeight w:val="285"/>
        </w:trPr>
        <w:tc>
          <w:tcPr>
            <w:tcW w:w="568" w:type="dxa"/>
            <w:gridSpan w:val="3"/>
            <w:vMerge w:val="restart"/>
            <w:tcBorders>
              <w:top w:val="nil"/>
              <w:left w:val="single" w:sz="8" w:space="0" w:color="auto"/>
              <w:bottom w:val="single" w:sz="8" w:space="0" w:color="000000"/>
              <w:right w:val="single" w:sz="8" w:space="0" w:color="auto"/>
            </w:tcBorders>
            <w:shd w:val="clear" w:color="000000" w:fill="FDE9D9"/>
            <w:noWrap/>
            <w:textDirection w:val="btLr"/>
            <w:vAlign w:val="center"/>
            <w:hideMark/>
          </w:tcPr>
          <w:p w:rsidR="00513E71" w:rsidRPr="00513E71" w:rsidRDefault="00513E71" w:rsidP="00513E71">
            <w:pPr>
              <w:spacing w:line="240" w:lineRule="auto"/>
              <w:jc w:val="center"/>
              <w:rPr>
                <w:rFonts w:eastAsia="Times New Roman" w:cs="Arial"/>
                <w:b/>
                <w:bCs/>
                <w:color w:val="000000"/>
                <w:szCs w:val="24"/>
                <w:lang w:eastAsia="cs-CZ"/>
              </w:rPr>
            </w:pPr>
            <w:r w:rsidRPr="00513E71">
              <w:rPr>
                <w:rFonts w:eastAsia="Times New Roman" w:cs="Arial"/>
                <w:b/>
                <w:bCs/>
                <w:color w:val="000000"/>
                <w:szCs w:val="24"/>
                <w:lang w:eastAsia="cs-CZ"/>
              </w:rPr>
              <w:t>Intenzifikace zprostředkovatelské činnosti ÚP ČR</w:t>
            </w:r>
          </w:p>
        </w:tc>
        <w:tc>
          <w:tcPr>
            <w:tcW w:w="2316" w:type="dxa"/>
            <w:gridSpan w:val="6"/>
            <w:tcBorders>
              <w:top w:val="single" w:sz="4" w:space="0" w:color="auto"/>
              <w:left w:val="nil"/>
              <w:bottom w:val="double" w:sz="6" w:space="0" w:color="auto"/>
              <w:right w:val="nil"/>
            </w:tcBorders>
            <w:shd w:val="clear" w:color="auto" w:fill="auto"/>
            <w:noWrap/>
            <w:vAlign w:val="center"/>
            <w:hideMark/>
          </w:tcPr>
          <w:p w:rsidR="00513E71" w:rsidRPr="00513E71" w:rsidRDefault="00513E71" w:rsidP="00513E71">
            <w:pPr>
              <w:spacing w:line="240" w:lineRule="auto"/>
              <w:jc w:val="right"/>
              <w:rPr>
                <w:rFonts w:eastAsia="Times New Roman" w:cs="Arial"/>
                <w:b/>
                <w:bCs/>
                <w:color w:val="000000"/>
                <w:szCs w:val="24"/>
                <w:lang w:eastAsia="cs-CZ"/>
              </w:rPr>
            </w:pPr>
            <w:r w:rsidRPr="00513E71">
              <w:rPr>
                <w:rFonts w:eastAsia="Times New Roman" w:cs="Arial"/>
                <w:b/>
                <w:bCs/>
                <w:color w:val="000000"/>
                <w:szCs w:val="24"/>
                <w:lang w:eastAsia="cs-CZ"/>
              </w:rPr>
              <w:t>povaha:</w:t>
            </w:r>
          </w:p>
        </w:tc>
        <w:tc>
          <w:tcPr>
            <w:tcW w:w="928" w:type="dxa"/>
            <w:gridSpan w:val="2"/>
            <w:tcBorders>
              <w:top w:val="nil"/>
              <w:left w:val="nil"/>
              <w:bottom w:val="double" w:sz="6" w:space="0" w:color="auto"/>
              <w:right w:val="double" w:sz="6" w:space="0" w:color="auto"/>
            </w:tcBorders>
            <w:shd w:val="clear" w:color="auto" w:fill="auto"/>
            <w:noWrap/>
            <w:vAlign w:val="center"/>
            <w:hideMark/>
          </w:tcPr>
          <w:p w:rsidR="00513E71" w:rsidRPr="00513E71" w:rsidRDefault="00513E71" w:rsidP="00513E71">
            <w:pPr>
              <w:spacing w:line="240" w:lineRule="auto"/>
              <w:jc w:val="left"/>
              <w:rPr>
                <w:rFonts w:eastAsia="Times New Roman" w:cs="Arial"/>
                <w:b/>
                <w:bCs/>
                <w:color w:val="000000"/>
                <w:szCs w:val="24"/>
                <w:lang w:eastAsia="cs-CZ"/>
              </w:rPr>
            </w:pPr>
            <w:r w:rsidRPr="00513E71">
              <w:rPr>
                <w:rFonts w:eastAsia="Times New Roman" w:cs="Arial"/>
                <w:b/>
                <w:bCs/>
                <w:color w:val="000000"/>
                <w:szCs w:val="24"/>
                <w:lang w:eastAsia="cs-CZ"/>
              </w:rPr>
              <w:t>N</w:t>
            </w:r>
          </w:p>
        </w:tc>
        <w:tc>
          <w:tcPr>
            <w:tcW w:w="7010" w:type="dxa"/>
            <w:gridSpan w:val="5"/>
            <w:tcBorders>
              <w:top w:val="single" w:sz="8" w:space="0" w:color="auto"/>
              <w:left w:val="nil"/>
              <w:right w:val="nil"/>
            </w:tcBorders>
            <w:shd w:val="clear" w:color="auto" w:fill="auto"/>
            <w:noWrap/>
            <w:vAlign w:val="center"/>
            <w:hideMark/>
          </w:tcPr>
          <w:p w:rsidR="00513E71" w:rsidRPr="00513E71" w:rsidRDefault="00513E71" w:rsidP="00513E71">
            <w:pPr>
              <w:spacing w:line="240" w:lineRule="auto"/>
              <w:jc w:val="center"/>
              <w:rPr>
                <w:rFonts w:eastAsia="Times New Roman" w:cs="Arial"/>
                <w:b/>
                <w:bCs/>
                <w:color w:val="000000"/>
                <w:szCs w:val="24"/>
                <w:u w:val="single"/>
                <w:lang w:eastAsia="cs-CZ"/>
              </w:rPr>
            </w:pPr>
            <w:r w:rsidRPr="00513E71">
              <w:rPr>
                <w:rFonts w:eastAsia="Times New Roman" w:cs="Arial"/>
                <w:b/>
                <w:bCs/>
                <w:color w:val="000000"/>
                <w:szCs w:val="24"/>
                <w:u w:val="single"/>
                <w:lang w:eastAsia="cs-CZ"/>
              </w:rPr>
              <w:t>Popis</w:t>
            </w:r>
          </w:p>
        </w:tc>
        <w:tc>
          <w:tcPr>
            <w:tcW w:w="1275" w:type="dxa"/>
            <w:gridSpan w:val="4"/>
            <w:tcBorders>
              <w:top w:val="single" w:sz="8" w:space="0" w:color="auto"/>
              <w:left w:val="nil"/>
              <w:right w:val="nil"/>
            </w:tcBorders>
            <w:shd w:val="clear" w:color="auto" w:fill="auto"/>
            <w:noWrap/>
            <w:vAlign w:val="center"/>
          </w:tcPr>
          <w:p w:rsidR="00513E71" w:rsidRPr="00513E71" w:rsidRDefault="00513E71" w:rsidP="00513E71">
            <w:pPr>
              <w:spacing w:line="240" w:lineRule="auto"/>
              <w:jc w:val="center"/>
              <w:rPr>
                <w:rFonts w:eastAsia="Times New Roman" w:cs="Arial"/>
                <w:b/>
                <w:bCs/>
                <w:color w:val="000000"/>
                <w:szCs w:val="24"/>
                <w:u w:val="single"/>
                <w:lang w:eastAsia="cs-CZ"/>
              </w:rPr>
            </w:pPr>
          </w:p>
        </w:tc>
        <w:tc>
          <w:tcPr>
            <w:tcW w:w="1982" w:type="dxa"/>
            <w:gridSpan w:val="2"/>
            <w:tcBorders>
              <w:top w:val="single" w:sz="8" w:space="0" w:color="auto"/>
              <w:left w:val="nil"/>
              <w:right w:val="single" w:sz="8" w:space="0" w:color="auto"/>
            </w:tcBorders>
            <w:shd w:val="clear" w:color="auto" w:fill="auto"/>
            <w:noWrap/>
            <w:vAlign w:val="center"/>
          </w:tcPr>
          <w:p w:rsidR="00513E71" w:rsidRPr="00513E71" w:rsidRDefault="00513E71" w:rsidP="00513E71">
            <w:pPr>
              <w:spacing w:line="240" w:lineRule="auto"/>
              <w:jc w:val="center"/>
              <w:rPr>
                <w:rFonts w:eastAsia="Times New Roman" w:cs="Arial"/>
                <w:b/>
                <w:bCs/>
                <w:color w:val="000000"/>
                <w:szCs w:val="24"/>
                <w:u w:val="single"/>
                <w:lang w:eastAsia="cs-CZ"/>
              </w:rPr>
            </w:pPr>
          </w:p>
        </w:tc>
      </w:tr>
      <w:tr w:rsidR="00513E71" w:rsidRPr="00513E71" w:rsidTr="00B76143">
        <w:trPr>
          <w:trHeight w:val="1785"/>
        </w:trPr>
        <w:tc>
          <w:tcPr>
            <w:tcW w:w="568" w:type="dxa"/>
            <w:gridSpan w:val="3"/>
            <w:vMerge/>
            <w:tcBorders>
              <w:top w:val="nil"/>
              <w:left w:val="single" w:sz="8" w:space="0" w:color="auto"/>
              <w:bottom w:val="single" w:sz="8" w:space="0" w:color="000000"/>
              <w:right w:val="single" w:sz="8" w:space="0" w:color="auto"/>
            </w:tcBorders>
            <w:vAlign w:val="center"/>
            <w:hideMark/>
          </w:tcPr>
          <w:p w:rsidR="00513E71" w:rsidRPr="00513E71" w:rsidRDefault="00513E71" w:rsidP="00513E71">
            <w:pPr>
              <w:spacing w:line="240" w:lineRule="auto"/>
              <w:jc w:val="left"/>
              <w:rPr>
                <w:rFonts w:eastAsia="Times New Roman" w:cs="Arial"/>
                <w:b/>
                <w:bCs/>
                <w:color w:val="000000"/>
                <w:szCs w:val="24"/>
                <w:lang w:eastAsia="cs-CZ"/>
              </w:rPr>
            </w:pPr>
          </w:p>
        </w:tc>
        <w:tc>
          <w:tcPr>
            <w:tcW w:w="13511" w:type="dxa"/>
            <w:gridSpan w:val="19"/>
            <w:tcBorders>
              <w:top w:val="nil"/>
              <w:left w:val="nil"/>
              <w:bottom w:val="double" w:sz="6" w:space="0" w:color="auto"/>
              <w:right w:val="single" w:sz="8" w:space="0" w:color="000000"/>
            </w:tcBorders>
            <w:shd w:val="clear" w:color="auto" w:fill="auto"/>
            <w:hideMark/>
          </w:tcPr>
          <w:p w:rsidR="00513E71" w:rsidRPr="00513E71" w:rsidRDefault="00513E71" w:rsidP="00513E71">
            <w:pPr>
              <w:spacing w:before="120" w:after="120" w:line="240" w:lineRule="auto"/>
              <w:rPr>
                <w:rFonts w:eastAsia="Times New Roman" w:cs="Arial"/>
                <w:color w:val="000000"/>
                <w:szCs w:val="24"/>
                <w:lang w:eastAsia="cs-CZ"/>
              </w:rPr>
            </w:pPr>
            <w:r w:rsidRPr="00513E71">
              <w:rPr>
                <w:rFonts w:eastAsia="Times New Roman" w:cs="Arial"/>
                <w:color w:val="000000"/>
                <w:szCs w:val="24"/>
                <w:lang w:eastAsia="cs-CZ"/>
              </w:rPr>
              <w:t xml:space="preserve">Intenzivní realizace a aktivní nabídka zprostředkovatelských služeb ÚP ČR, tj. včasná a kvalitní reakce na poptávku zaměstnavatelů po nových zaměstnancích. Zejména se bude jednat o organizaci cílených výběrových řízení za účelem obsazení hlášených </w:t>
            </w:r>
            <w:r>
              <w:rPr>
                <w:rFonts w:eastAsia="Times New Roman" w:cs="Arial"/>
                <w:color w:val="000000"/>
                <w:szCs w:val="24"/>
                <w:lang w:eastAsia="cs-CZ"/>
              </w:rPr>
              <w:t>VPM</w:t>
            </w:r>
            <w:r w:rsidRPr="00513E71">
              <w:rPr>
                <w:rFonts w:eastAsia="Times New Roman" w:cs="Arial"/>
                <w:color w:val="000000"/>
                <w:szCs w:val="24"/>
                <w:lang w:eastAsia="cs-CZ"/>
              </w:rPr>
              <w:t xml:space="preserve">. Výběrová řízení budou probíhat jak v prostorách ÚP ČR, tak i přímo v prostorách zaměstnavatelů. Aktivní asistence zaměstnanců ÚP ČR při výběrových řízeních přispěje k získání zpětné vazby o zájmu </w:t>
            </w:r>
            <w:proofErr w:type="spellStart"/>
            <w:r>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o pracovní uplatnění na trhu práce i o kvalitě nabídky ze strany zaměstnavatelů. Důraz bude kladen na genderovou rovnost v přístupu ke vhodnému zaměstnání.</w:t>
            </w:r>
          </w:p>
        </w:tc>
      </w:tr>
      <w:tr w:rsidR="00375D0A" w:rsidRPr="00513E71" w:rsidTr="009B7658">
        <w:trPr>
          <w:trHeight w:val="285"/>
        </w:trPr>
        <w:tc>
          <w:tcPr>
            <w:tcW w:w="568" w:type="dxa"/>
            <w:gridSpan w:val="3"/>
            <w:vMerge/>
            <w:tcBorders>
              <w:top w:val="nil"/>
              <w:left w:val="single" w:sz="8" w:space="0" w:color="auto"/>
              <w:bottom w:val="single" w:sz="8" w:space="0" w:color="000000"/>
              <w:right w:val="double" w:sz="6" w:space="0" w:color="auto"/>
            </w:tcBorders>
            <w:vAlign w:val="center"/>
            <w:hideMark/>
          </w:tcPr>
          <w:p w:rsidR="00375D0A" w:rsidRPr="00513E71" w:rsidRDefault="00375D0A" w:rsidP="00513E71">
            <w:pPr>
              <w:spacing w:line="240" w:lineRule="auto"/>
              <w:jc w:val="left"/>
              <w:rPr>
                <w:rFonts w:eastAsia="Times New Roman" w:cs="Arial"/>
                <w:b/>
                <w:bCs/>
                <w:color w:val="000000"/>
                <w:szCs w:val="24"/>
                <w:lang w:eastAsia="cs-CZ"/>
              </w:rPr>
            </w:pPr>
          </w:p>
        </w:tc>
        <w:tc>
          <w:tcPr>
            <w:tcW w:w="3244" w:type="dxa"/>
            <w:gridSpan w:val="8"/>
            <w:tcBorders>
              <w:top w:val="double" w:sz="6" w:space="0" w:color="auto"/>
              <w:left w:val="double" w:sz="6" w:space="0" w:color="auto"/>
              <w:bottom w:val="double" w:sz="6" w:space="0" w:color="auto"/>
              <w:right w:val="double" w:sz="6" w:space="0" w:color="auto"/>
            </w:tcBorders>
            <w:shd w:val="clear" w:color="000000" w:fill="F2DCDB"/>
            <w:noWrap/>
            <w:vAlign w:val="center"/>
            <w:hideMark/>
          </w:tcPr>
          <w:p w:rsidR="00375D0A" w:rsidRPr="00513E71" w:rsidRDefault="00375D0A" w:rsidP="00375D0A">
            <w:pPr>
              <w:spacing w:line="240" w:lineRule="auto"/>
              <w:jc w:val="center"/>
              <w:rPr>
                <w:rFonts w:eastAsia="Times New Roman" w:cs="Arial"/>
                <w:b/>
                <w:bCs/>
                <w:color w:val="000000"/>
                <w:szCs w:val="24"/>
                <w:lang w:eastAsia="cs-CZ"/>
              </w:rPr>
            </w:pPr>
            <w:r w:rsidRPr="00513E71">
              <w:rPr>
                <w:rFonts w:eastAsia="Times New Roman" w:cs="Arial"/>
                <w:b/>
                <w:bCs/>
                <w:color w:val="000000"/>
                <w:szCs w:val="24"/>
                <w:lang w:eastAsia="cs-CZ"/>
              </w:rPr>
              <w:t>Řešeno</w:t>
            </w:r>
          </w:p>
        </w:tc>
        <w:tc>
          <w:tcPr>
            <w:tcW w:w="7010" w:type="dxa"/>
            <w:gridSpan w:val="5"/>
            <w:tcBorders>
              <w:top w:val="double" w:sz="6" w:space="0" w:color="auto"/>
              <w:left w:val="double" w:sz="6" w:space="0" w:color="auto"/>
              <w:right w:val="nil"/>
            </w:tcBorders>
            <w:shd w:val="clear" w:color="auto" w:fill="auto"/>
            <w:vAlign w:val="center"/>
            <w:hideMark/>
          </w:tcPr>
          <w:p w:rsidR="00375D0A" w:rsidRPr="00513E71" w:rsidRDefault="00375D0A" w:rsidP="00513E71">
            <w:pPr>
              <w:spacing w:line="240" w:lineRule="auto"/>
              <w:jc w:val="center"/>
              <w:rPr>
                <w:rFonts w:eastAsia="Times New Roman" w:cs="Arial"/>
                <w:b/>
                <w:bCs/>
                <w:color w:val="000000"/>
                <w:szCs w:val="24"/>
                <w:u w:val="single"/>
                <w:lang w:eastAsia="cs-CZ"/>
              </w:rPr>
            </w:pPr>
            <w:r w:rsidRPr="00513E71">
              <w:rPr>
                <w:rFonts w:eastAsia="Times New Roman" w:cs="Arial"/>
                <w:b/>
                <w:bCs/>
                <w:color w:val="000000"/>
                <w:szCs w:val="24"/>
                <w:u w:val="single"/>
                <w:lang w:eastAsia="cs-CZ"/>
              </w:rPr>
              <w:t>Plnění</w:t>
            </w:r>
          </w:p>
        </w:tc>
        <w:tc>
          <w:tcPr>
            <w:tcW w:w="1134" w:type="dxa"/>
            <w:gridSpan w:val="3"/>
            <w:tcBorders>
              <w:top w:val="double" w:sz="6" w:space="0" w:color="auto"/>
              <w:left w:val="single" w:sz="8" w:space="0" w:color="auto"/>
              <w:bottom w:val="single" w:sz="8" w:space="0" w:color="auto"/>
              <w:right w:val="nil"/>
            </w:tcBorders>
            <w:shd w:val="clear" w:color="auto" w:fill="auto"/>
            <w:vAlign w:val="center"/>
            <w:hideMark/>
          </w:tcPr>
          <w:p w:rsidR="00375D0A" w:rsidRPr="00513E71" w:rsidRDefault="00375D0A" w:rsidP="00513E71">
            <w:pPr>
              <w:spacing w:line="240" w:lineRule="auto"/>
              <w:jc w:val="right"/>
              <w:rPr>
                <w:rFonts w:eastAsia="Times New Roman" w:cs="Arial"/>
                <w:color w:val="000000"/>
                <w:szCs w:val="24"/>
                <w:lang w:eastAsia="cs-CZ"/>
              </w:rPr>
            </w:pPr>
            <w:r w:rsidRPr="00513E71">
              <w:rPr>
                <w:rFonts w:eastAsia="Times New Roman" w:cs="Arial"/>
                <w:color w:val="000000"/>
                <w:szCs w:val="24"/>
                <w:lang w:eastAsia="cs-CZ"/>
              </w:rPr>
              <w:t>k datu</w:t>
            </w:r>
          </w:p>
        </w:tc>
        <w:tc>
          <w:tcPr>
            <w:tcW w:w="2123" w:type="dxa"/>
            <w:gridSpan w:val="3"/>
            <w:tcBorders>
              <w:top w:val="double" w:sz="6" w:space="0" w:color="auto"/>
              <w:left w:val="nil"/>
              <w:bottom w:val="single" w:sz="8" w:space="0" w:color="auto"/>
              <w:right w:val="single" w:sz="8" w:space="0" w:color="auto"/>
            </w:tcBorders>
            <w:shd w:val="clear" w:color="auto" w:fill="auto"/>
            <w:vAlign w:val="center"/>
            <w:hideMark/>
          </w:tcPr>
          <w:p w:rsidR="00375D0A" w:rsidRPr="00513E71" w:rsidRDefault="00375D0A" w:rsidP="00513E71">
            <w:pPr>
              <w:spacing w:line="240" w:lineRule="auto"/>
              <w:jc w:val="center"/>
              <w:rPr>
                <w:rFonts w:eastAsia="Times New Roman" w:cs="Arial"/>
                <w:b/>
                <w:bCs/>
                <w:color w:val="000000"/>
                <w:szCs w:val="24"/>
                <w:u w:val="single"/>
                <w:lang w:eastAsia="cs-CZ"/>
              </w:rPr>
            </w:pPr>
            <w:r w:rsidRPr="00513E71">
              <w:rPr>
                <w:rFonts w:eastAsia="Times New Roman" w:cs="Arial"/>
                <w:b/>
                <w:bCs/>
                <w:color w:val="000000"/>
                <w:szCs w:val="24"/>
                <w:u w:val="single"/>
                <w:lang w:eastAsia="cs-CZ"/>
              </w:rPr>
              <w:t>31.</w:t>
            </w:r>
            <w:r>
              <w:rPr>
                <w:rFonts w:eastAsia="Times New Roman" w:cs="Arial"/>
                <w:b/>
                <w:bCs/>
                <w:color w:val="000000"/>
                <w:szCs w:val="24"/>
                <w:u w:val="single"/>
                <w:lang w:eastAsia="cs-CZ"/>
              </w:rPr>
              <w:t xml:space="preserve"> </w:t>
            </w:r>
            <w:r w:rsidRPr="00513E71">
              <w:rPr>
                <w:rFonts w:eastAsia="Times New Roman" w:cs="Arial"/>
                <w:b/>
                <w:bCs/>
                <w:color w:val="000000"/>
                <w:szCs w:val="24"/>
                <w:u w:val="single"/>
                <w:lang w:eastAsia="cs-CZ"/>
              </w:rPr>
              <w:t>12.</w:t>
            </w:r>
            <w:r>
              <w:rPr>
                <w:rFonts w:eastAsia="Times New Roman" w:cs="Arial"/>
                <w:b/>
                <w:bCs/>
                <w:color w:val="000000"/>
                <w:szCs w:val="24"/>
                <w:u w:val="single"/>
                <w:lang w:eastAsia="cs-CZ"/>
              </w:rPr>
              <w:t xml:space="preserve"> </w:t>
            </w:r>
            <w:r w:rsidRPr="00513E71">
              <w:rPr>
                <w:rFonts w:eastAsia="Times New Roman" w:cs="Arial"/>
                <w:b/>
                <w:bCs/>
                <w:color w:val="000000"/>
                <w:szCs w:val="24"/>
                <w:u w:val="single"/>
                <w:lang w:eastAsia="cs-CZ"/>
              </w:rPr>
              <w:t>2016</w:t>
            </w:r>
          </w:p>
        </w:tc>
      </w:tr>
      <w:tr w:rsidR="00F14D34" w:rsidRPr="00513E71" w:rsidTr="00B76143">
        <w:trPr>
          <w:trHeight w:val="3753"/>
        </w:trPr>
        <w:tc>
          <w:tcPr>
            <w:tcW w:w="568" w:type="dxa"/>
            <w:gridSpan w:val="3"/>
            <w:vMerge/>
            <w:tcBorders>
              <w:top w:val="nil"/>
              <w:left w:val="single" w:sz="8" w:space="0" w:color="auto"/>
              <w:bottom w:val="single" w:sz="8" w:space="0" w:color="000000"/>
              <w:right w:val="single" w:sz="8" w:space="0" w:color="auto"/>
            </w:tcBorders>
            <w:vAlign w:val="center"/>
            <w:hideMark/>
          </w:tcPr>
          <w:p w:rsidR="00513E71" w:rsidRPr="00513E71" w:rsidRDefault="00513E71" w:rsidP="00513E71">
            <w:pPr>
              <w:spacing w:line="240" w:lineRule="auto"/>
              <w:jc w:val="left"/>
              <w:rPr>
                <w:rFonts w:eastAsia="Times New Roman" w:cs="Arial"/>
                <w:b/>
                <w:bCs/>
                <w:color w:val="000000"/>
                <w:szCs w:val="24"/>
                <w:lang w:eastAsia="cs-CZ"/>
              </w:rPr>
            </w:pPr>
          </w:p>
        </w:tc>
        <w:tc>
          <w:tcPr>
            <w:tcW w:w="567" w:type="dxa"/>
            <w:gridSpan w:val="3"/>
            <w:tcBorders>
              <w:top w:val="double" w:sz="6" w:space="0" w:color="auto"/>
              <w:left w:val="nil"/>
              <w:bottom w:val="single" w:sz="8" w:space="0" w:color="auto"/>
              <w:right w:val="single" w:sz="8" w:space="0" w:color="auto"/>
            </w:tcBorders>
            <w:shd w:val="clear" w:color="auto" w:fill="auto"/>
            <w:textDirection w:val="btLr"/>
            <w:vAlign w:val="center"/>
            <w:hideMark/>
          </w:tcPr>
          <w:p w:rsidR="00513E71" w:rsidRPr="00513E71" w:rsidRDefault="00513E71" w:rsidP="00513E71">
            <w:pPr>
              <w:spacing w:line="240" w:lineRule="auto"/>
              <w:jc w:val="center"/>
              <w:rPr>
                <w:rFonts w:eastAsia="Times New Roman" w:cs="Arial"/>
                <w:color w:val="000000"/>
                <w:szCs w:val="24"/>
                <w:lang w:eastAsia="cs-CZ"/>
              </w:rPr>
            </w:pPr>
            <w:r w:rsidRPr="00513E71">
              <w:rPr>
                <w:rFonts w:eastAsia="Times New Roman" w:cs="Arial"/>
                <w:color w:val="000000"/>
                <w:szCs w:val="24"/>
                <w:lang w:eastAsia="cs-CZ"/>
              </w:rPr>
              <w:t xml:space="preserve">předchozí </w:t>
            </w:r>
          </w:p>
        </w:tc>
        <w:tc>
          <w:tcPr>
            <w:tcW w:w="12944" w:type="dxa"/>
            <w:gridSpan w:val="16"/>
            <w:tcBorders>
              <w:top w:val="nil"/>
              <w:left w:val="single" w:sz="8" w:space="0" w:color="auto"/>
              <w:bottom w:val="single" w:sz="4" w:space="0" w:color="auto"/>
              <w:right w:val="single" w:sz="4" w:space="0" w:color="auto"/>
            </w:tcBorders>
            <w:shd w:val="clear" w:color="auto" w:fill="auto"/>
            <w:hideMark/>
          </w:tcPr>
          <w:p w:rsidR="00513E71" w:rsidRPr="00513E71" w:rsidRDefault="00513E71" w:rsidP="00BE641A">
            <w:pPr>
              <w:spacing w:before="120" w:after="120" w:line="240" w:lineRule="auto"/>
              <w:rPr>
                <w:rFonts w:eastAsia="Times New Roman" w:cs="Arial"/>
                <w:color w:val="000000"/>
                <w:szCs w:val="24"/>
                <w:lang w:eastAsia="cs-CZ"/>
              </w:rPr>
            </w:pPr>
            <w:r w:rsidRPr="00513E71">
              <w:rPr>
                <w:rFonts w:eastAsia="Times New Roman" w:cs="Arial"/>
                <w:color w:val="000000"/>
                <w:szCs w:val="24"/>
                <w:lang w:eastAsia="cs-CZ"/>
              </w:rPr>
              <w:t>Ze strany ÚP ČR dochází k posilování spolupráce mezi útvary zprostředkování a trhu práce v oblastech organizace výběrových řízení pro zaměstnavatele,</w:t>
            </w:r>
            <w:r w:rsidR="00F14D34">
              <w:rPr>
                <w:rFonts w:eastAsia="Times New Roman" w:cs="Arial"/>
                <w:color w:val="000000"/>
                <w:szCs w:val="24"/>
                <w:lang w:eastAsia="cs-CZ"/>
              </w:rPr>
              <w:t xml:space="preserve"> burz práce apod.</w:t>
            </w:r>
            <w:r w:rsidRPr="00513E71">
              <w:rPr>
                <w:rFonts w:eastAsia="Times New Roman" w:cs="Arial"/>
                <w:color w:val="000000"/>
                <w:szCs w:val="24"/>
                <w:lang w:eastAsia="cs-CZ"/>
              </w:rPr>
              <w:t xml:space="preserve"> </w:t>
            </w:r>
            <w:r w:rsidR="00F14D34">
              <w:rPr>
                <w:rFonts w:eastAsia="Times New Roman" w:cs="Arial"/>
                <w:color w:val="000000"/>
                <w:szCs w:val="24"/>
                <w:lang w:eastAsia="cs-CZ"/>
              </w:rPr>
              <w:t>Zaměstnavatelé</w:t>
            </w:r>
            <w:r w:rsidR="002630F2">
              <w:rPr>
                <w:rFonts w:eastAsia="Times New Roman" w:cs="Arial"/>
                <w:color w:val="000000"/>
                <w:szCs w:val="24"/>
                <w:lang w:eastAsia="cs-CZ"/>
              </w:rPr>
              <w:t xml:space="preserve"> jsou</w:t>
            </w:r>
            <w:r w:rsidRPr="00513E71">
              <w:rPr>
                <w:rFonts w:eastAsia="Times New Roman" w:cs="Arial"/>
                <w:color w:val="000000"/>
                <w:szCs w:val="24"/>
                <w:lang w:eastAsia="cs-CZ"/>
              </w:rPr>
              <w:t xml:space="preserve"> informov</w:t>
            </w:r>
            <w:r w:rsidR="00F14D34">
              <w:rPr>
                <w:rFonts w:eastAsia="Times New Roman" w:cs="Arial"/>
                <w:color w:val="000000"/>
                <w:szCs w:val="24"/>
                <w:lang w:eastAsia="cs-CZ"/>
              </w:rPr>
              <w:t>áni o možnosti spolupráce při předvýběrových a </w:t>
            </w:r>
            <w:r w:rsidRPr="00513E71">
              <w:rPr>
                <w:rFonts w:eastAsia="Times New Roman" w:cs="Arial"/>
                <w:color w:val="000000"/>
                <w:szCs w:val="24"/>
                <w:lang w:eastAsia="cs-CZ"/>
              </w:rPr>
              <w:t>výběrových řízení. Ve 2Q 2016 bylo realizováno 1</w:t>
            </w:r>
            <w:r w:rsidR="002630F2">
              <w:rPr>
                <w:rFonts w:eastAsia="Times New Roman" w:cs="Arial"/>
                <w:color w:val="000000"/>
                <w:szCs w:val="24"/>
                <w:lang w:eastAsia="cs-CZ"/>
              </w:rPr>
              <w:t xml:space="preserve"> </w:t>
            </w:r>
            <w:r w:rsidRPr="00513E71">
              <w:rPr>
                <w:rFonts w:eastAsia="Times New Roman" w:cs="Arial"/>
                <w:color w:val="000000"/>
                <w:szCs w:val="24"/>
                <w:lang w:eastAsia="cs-CZ"/>
              </w:rPr>
              <w:t xml:space="preserve">415 předvýběrových a 647 výběrových řízení. </w:t>
            </w:r>
            <w:proofErr w:type="spellStart"/>
            <w:r w:rsidR="002630F2">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jsou na výběrová řízení zváni převážně prostřednictvím tzv. doporučenky, což vede k poměrně vysokému poměru zúčastněných vůči pozvaným. Na výběrová řízení bylo ve</w:t>
            </w:r>
            <w:r w:rsidR="002630F2">
              <w:rPr>
                <w:rFonts w:eastAsia="Times New Roman" w:cs="Arial"/>
                <w:color w:val="000000"/>
                <w:szCs w:val="24"/>
                <w:lang w:eastAsia="cs-CZ"/>
              </w:rPr>
              <w:t xml:space="preserve"> </w:t>
            </w:r>
            <w:r w:rsidRPr="00513E71">
              <w:rPr>
                <w:rFonts w:eastAsia="Times New Roman" w:cs="Arial"/>
                <w:color w:val="000000"/>
                <w:szCs w:val="24"/>
                <w:lang w:eastAsia="cs-CZ"/>
              </w:rPr>
              <w:t xml:space="preserve">2Q 2016 pozváno 11 903 </w:t>
            </w:r>
            <w:proofErr w:type="spellStart"/>
            <w:r w:rsidR="00DC39EE">
              <w:rPr>
                <w:rFonts w:eastAsia="Times New Roman" w:cs="Arial"/>
                <w:color w:val="000000"/>
                <w:szCs w:val="24"/>
                <w:lang w:eastAsia="cs-CZ"/>
              </w:rPr>
              <w:t>UoZ</w:t>
            </w:r>
            <w:proofErr w:type="spellEnd"/>
            <w:r>
              <w:rPr>
                <w:rFonts w:eastAsia="Times New Roman" w:cs="Arial"/>
                <w:color w:val="000000"/>
                <w:szCs w:val="24"/>
                <w:lang w:eastAsia="cs-CZ"/>
              </w:rPr>
              <w:t>, z toho 9 189 se zúčastnilo a </w:t>
            </w:r>
            <w:r w:rsidRPr="00513E71">
              <w:rPr>
                <w:rFonts w:eastAsia="Times New Roman" w:cs="Arial"/>
                <w:color w:val="000000"/>
                <w:szCs w:val="24"/>
                <w:lang w:eastAsia="cs-CZ"/>
              </w:rPr>
              <w:t>889 VPM bylo prostřednictvím výběrových řízení obsazeno.</w:t>
            </w:r>
            <w:r w:rsidR="002630F2">
              <w:rPr>
                <w:rFonts w:eastAsia="Times New Roman" w:cs="Arial"/>
                <w:color w:val="000000"/>
                <w:szCs w:val="24"/>
                <w:lang w:eastAsia="cs-CZ"/>
              </w:rPr>
              <w:t xml:space="preserve"> </w:t>
            </w:r>
            <w:r w:rsidRPr="00513E71">
              <w:rPr>
                <w:rFonts w:eastAsia="Times New Roman" w:cs="Arial"/>
                <w:color w:val="000000"/>
                <w:szCs w:val="24"/>
                <w:lang w:eastAsia="cs-CZ"/>
              </w:rPr>
              <w:t xml:space="preserve">V průběhu 1. poloviny 2016 bylo z evidence </w:t>
            </w:r>
            <w:proofErr w:type="spellStart"/>
            <w:r w:rsidR="002630F2">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vyřazeno 342 696 osob, z toho do zaměstnání odešlo 236 677, tj. 69 %. </w:t>
            </w:r>
            <w:r w:rsidR="00DC39EE">
              <w:rPr>
                <w:rFonts w:eastAsia="Times New Roman" w:cs="Arial"/>
                <w:color w:val="000000"/>
                <w:szCs w:val="24"/>
                <w:lang w:eastAsia="cs-CZ"/>
              </w:rPr>
              <w:t>P</w:t>
            </w:r>
            <w:r w:rsidRPr="00513E71">
              <w:rPr>
                <w:rFonts w:eastAsia="Times New Roman" w:cs="Arial"/>
                <w:color w:val="000000"/>
                <w:szCs w:val="24"/>
                <w:lang w:eastAsia="cs-CZ"/>
              </w:rPr>
              <w:t xml:space="preserve">římo umístěno ÚP ČR </w:t>
            </w:r>
            <w:r w:rsidR="00DC39EE">
              <w:rPr>
                <w:rFonts w:eastAsia="Times New Roman" w:cs="Arial"/>
                <w:color w:val="000000"/>
                <w:szCs w:val="24"/>
                <w:lang w:eastAsia="cs-CZ"/>
              </w:rPr>
              <w:t xml:space="preserve">bylo </w:t>
            </w:r>
            <w:r w:rsidRPr="00513E71">
              <w:rPr>
                <w:rFonts w:eastAsia="Times New Roman" w:cs="Arial"/>
                <w:color w:val="000000"/>
                <w:szCs w:val="24"/>
                <w:lang w:eastAsia="cs-CZ"/>
              </w:rPr>
              <w:t xml:space="preserve">56 327, tj. 23,8 % umístěných. </w:t>
            </w:r>
            <w:r w:rsidR="00DC39EE">
              <w:rPr>
                <w:rFonts w:eastAsia="Times New Roman" w:cs="Arial"/>
                <w:color w:val="000000"/>
                <w:szCs w:val="24"/>
                <w:lang w:eastAsia="cs-CZ"/>
              </w:rPr>
              <w:t>Zintenzivnila se</w:t>
            </w:r>
            <w:r w:rsidRPr="00513E71">
              <w:rPr>
                <w:rFonts w:eastAsia="Times New Roman" w:cs="Arial"/>
                <w:color w:val="000000"/>
                <w:szCs w:val="24"/>
                <w:lang w:eastAsia="cs-CZ"/>
              </w:rPr>
              <w:t xml:space="preserve"> spolupráce útvarů zaměstnanosti a nepojistných sociálních dávek. Účelem je </w:t>
            </w:r>
            <w:proofErr w:type="spellStart"/>
            <w:r w:rsidR="00DC39EE">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nabídnout vhodné aktivity poradens</w:t>
            </w:r>
            <w:r w:rsidR="00DC39EE">
              <w:rPr>
                <w:rFonts w:eastAsia="Times New Roman" w:cs="Arial"/>
                <w:color w:val="000000"/>
                <w:szCs w:val="24"/>
                <w:lang w:eastAsia="cs-CZ"/>
              </w:rPr>
              <w:t>tví</w:t>
            </w:r>
            <w:r w:rsidR="00BE641A">
              <w:rPr>
                <w:rFonts w:eastAsia="Times New Roman" w:cs="Arial"/>
                <w:color w:val="000000"/>
                <w:szCs w:val="24"/>
                <w:lang w:eastAsia="cs-CZ"/>
              </w:rPr>
              <w:t xml:space="preserve"> či</w:t>
            </w:r>
            <w:r w:rsidRPr="00513E71">
              <w:rPr>
                <w:rFonts w:eastAsia="Times New Roman" w:cs="Arial"/>
                <w:color w:val="000000"/>
                <w:szCs w:val="24"/>
                <w:lang w:eastAsia="cs-CZ"/>
              </w:rPr>
              <w:t xml:space="preserve"> rekvalifikace zvyšující mož</w:t>
            </w:r>
            <w:r>
              <w:rPr>
                <w:rFonts w:eastAsia="Times New Roman" w:cs="Arial"/>
                <w:color w:val="000000"/>
                <w:szCs w:val="24"/>
                <w:lang w:eastAsia="cs-CZ"/>
              </w:rPr>
              <w:t xml:space="preserve">nost uplatnění na trhu práce, </w:t>
            </w:r>
            <w:r w:rsidRPr="00513E71">
              <w:rPr>
                <w:rFonts w:eastAsia="Times New Roman" w:cs="Arial"/>
                <w:color w:val="000000"/>
                <w:szCs w:val="24"/>
                <w:lang w:eastAsia="cs-CZ"/>
              </w:rPr>
              <w:t xml:space="preserve">i za pomoci APZ. Do výběru jsou zařazováni zejména </w:t>
            </w:r>
            <w:proofErr w:type="spellStart"/>
            <w:r w:rsidR="00DC39EE">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pobírající dávky pomoci v hmotné nouzi</w:t>
            </w:r>
            <w:r w:rsidR="00BE641A">
              <w:rPr>
                <w:rFonts w:eastAsia="Times New Roman" w:cs="Arial"/>
                <w:color w:val="000000"/>
                <w:szCs w:val="24"/>
                <w:lang w:eastAsia="cs-CZ"/>
              </w:rPr>
              <w:t xml:space="preserve">, jež jsou </w:t>
            </w:r>
            <w:r w:rsidRPr="00513E71">
              <w:rPr>
                <w:rFonts w:eastAsia="Times New Roman" w:cs="Arial"/>
                <w:color w:val="000000"/>
                <w:szCs w:val="24"/>
                <w:lang w:eastAsia="cs-CZ"/>
              </w:rPr>
              <w:t>ohrožen</w:t>
            </w:r>
            <w:r w:rsidR="00BE641A">
              <w:rPr>
                <w:rFonts w:eastAsia="Times New Roman" w:cs="Arial"/>
                <w:color w:val="000000"/>
                <w:szCs w:val="24"/>
                <w:lang w:eastAsia="cs-CZ"/>
              </w:rPr>
              <w:t>i</w:t>
            </w:r>
            <w:r w:rsidRPr="00513E71">
              <w:rPr>
                <w:rFonts w:eastAsia="Times New Roman" w:cs="Arial"/>
                <w:color w:val="000000"/>
                <w:szCs w:val="24"/>
                <w:lang w:eastAsia="cs-CZ"/>
              </w:rPr>
              <w:t xml:space="preserve"> dlouhodobou nezaměstnanos</w:t>
            </w:r>
            <w:r>
              <w:rPr>
                <w:rFonts w:eastAsia="Times New Roman" w:cs="Arial"/>
                <w:color w:val="000000"/>
                <w:szCs w:val="24"/>
                <w:lang w:eastAsia="cs-CZ"/>
              </w:rPr>
              <w:t>tí, ztrátou pracovních návyků a </w:t>
            </w:r>
            <w:proofErr w:type="spellStart"/>
            <w:r>
              <w:rPr>
                <w:rFonts w:eastAsia="Times New Roman" w:cs="Arial"/>
                <w:color w:val="000000"/>
                <w:szCs w:val="24"/>
                <w:lang w:eastAsia="cs-CZ"/>
              </w:rPr>
              <w:t>UoZ</w:t>
            </w:r>
            <w:proofErr w:type="spellEnd"/>
            <w:r w:rsidR="002630F2">
              <w:rPr>
                <w:rFonts w:eastAsia="Times New Roman" w:cs="Arial"/>
                <w:color w:val="000000"/>
                <w:szCs w:val="24"/>
                <w:lang w:eastAsia="cs-CZ"/>
              </w:rPr>
              <w:t>, u </w:t>
            </w:r>
            <w:r w:rsidRPr="00513E71">
              <w:rPr>
                <w:rFonts w:eastAsia="Times New Roman" w:cs="Arial"/>
                <w:color w:val="000000"/>
                <w:szCs w:val="24"/>
                <w:lang w:eastAsia="cs-CZ"/>
              </w:rPr>
              <w:t>kterých mohou vznikat pochybnosti o výši jimi přiznávaných příjmů pro účely posouzení nároku na dávky pomoci v hmotné nouzi.</w:t>
            </w:r>
            <w:r w:rsidR="002630F2">
              <w:rPr>
                <w:rFonts w:eastAsia="Times New Roman" w:cs="Arial"/>
                <w:color w:val="000000"/>
                <w:szCs w:val="24"/>
                <w:lang w:eastAsia="cs-CZ"/>
              </w:rPr>
              <w:t xml:space="preserve"> </w:t>
            </w:r>
            <w:r>
              <w:rPr>
                <w:rFonts w:eastAsia="Times New Roman" w:cs="Arial"/>
                <w:color w:val="000000"/>
                <w:szCs w:val="24"/>
                <w:lang w:eastAsia="cs-CZ"/>
              </w:rPr>
              <w:t xml:space="preserve">Ve 2Q </w:t>
            </w:r>
            <w:r w:rsidRPr="00513E71">
              <w:rPr>
                <w:rFonts w:eastAsia="Times New Roman" w:cs="Arial"/>
                <w:color w:val="000000"/>
                <w:szCs w:val="24"/>
                <w:lang w:eastAsia="cs-CZ"/>
              </w:rPr>
              <w:t xml:space="preserve">2016 se počet </w:t>
            </w:r>
            <w:proofErr w:type="spellStart"/>
            <w:r w:rsidR="002630F2">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pobírajících alespoň jeden den v měsíci dávky pomoci hmotné nouzi pohyboval v průměru kolem 100 tis. </w:t>
            </w:r>
          </w:p>
        </w:tc>
      </w:tr>
      <w:tr w:rsidR="00DC39EE" w:rsidRPr="00513E71" w:rsidTr="00B76143">
        <w:trPr>
          <w:trHeight w:val="1620"/>
        </w:trPr>
        <w:tc>
          <w:tcPr>
            <w:tcW w:w="568" w:type="dxa"/>
            <w:gridSpan w:val="3"/>
            <w:vMerge/>
            <w:tcBorders>
              <w:top w:val="nil"/>
              <w:left w:val="single" w:sz="8" w:space="0" w:color="auto"/>
              <w:bottom w:val="single" w:sz="8" w:space="0" w:color="000000"/>
              <w:right w:val="single" w:sz="8" w:space="0" w:color="auto"/>
            </w:tcBorders>
            <w:vAlign w:val="center"/>
            <w:hideMark/>
          </w:tcPr>
          <w:p w:rsidR="00513E71" w:rsidRPr="00513E71" w:rsidRDefault="00513E71" w:rsidP="00513E71">
            <w:pPr>
              <w:spacing w:line="240" w:lineRule="auto"/>
              <w:jc w:val="left"/>
              <w:rPr>
                <w:rFonts w:eastAsia="Times New Roman" w:cs="Arial"/>
                <w:b/>
                <w:bCs/>
                <w:color w:val="000000"/>
                <w:szCs w:val="24"/>
                <w:lang w:eastAsia="cs-CZ"/>
              </w:rPr>
            </w:pPr>
          </w:p>
        </w:tc>
        <w:tc>
          <w:tcPr>
            <w:tcW w:w="567" w:type="dxa"/>
            <w:gridSpan w:val="3"/>
            <w:tcBorders>
              <w:top w:val="single" w:sz="8" w:space="0" w:color="auto"/>
              <w:left w:val="nil"/>
              <w:bottom w:val="single" w:sz="8" w:space="0" w:color="auto"/>
              <w:right w:val="single" w:sz="4" w:space="0" w:color="auto"/>
            </w:tcBorders>
            <w:shd w:val="clear" w:color="auto" w:fill="auto"/>
            <w:textDirection w:val="btLr"/>
            <w:vAlign w:val="center"/>
            <w:hideMark/>
          </w:tcPr>
          <w:p w:rsidR="00513E71" w:rsidRPr="00513E71" w:rsidRDefault="00513E71" w:rsidP="00513E71">
            <w:pPr>
              <w:spacing w:line="240" w:lineRule="auto"/>
              <w:jc w:val="center"/>
              <w:rPr>
                <w:rFonts w:eastAsia="Times New Roman" w:cs="Arial"/>
                <w:color w:val="000000"/>
                <w:szCs w:val="24"/>
                <w:lang w:eastAsia="cs-CZ"/>
              </w:rPr>
            </w:pPr>
            <w:r w:rsidRPr="00513E71">
              <w:rPr>
                <w:rFonts w:eastAsia="Times New Roman" w:cs="Arial"/>
                <w:color w:val="000000"/>
                <w:szCs w:val="24"/>
                <w:lang w:eastAsia="cs-CZ"/>
              </w:rPr>
              <w:t>sledované období</w:t>
            </w:r>
          </w:p>
        </w:tc>
        <w:tc>
          <w:tcPr>
            <w:tcW w:w="12944" w:type="dxa"/>
            <w:gridSpan w:val="16"/>
            <w:tcBorders>
              <w:top w:val="single" w:sz="4" w:space="0" w:color="auto"/>
              <w:left w:val="nil"/>
              <w:bottom w:val="single" w:sz="8" w:space="0" w:color="auto"/>
              <w:right w:val="single" w:sz="8" w:space="0" w:color="000000"/>
            </w:tcBorders>
            <w:shd w:val="clear" w:color="auto" w:fill="auto"/>
            <w:vAlign w:val="center"/>
            <w:hideMark/>
          </w:tcPr>
          <w:p w:rsidR="00513E71" w:rsidRPr="00513E71" w:rsidRDefault="00513E71" w:rsidP="00DC39EE">
            <w:pPr>
              <w:spacing w:line="240" w:lineRule="auto"/>
              <w:rPr>
                <w:rFonts w:eastAsia="Times New Roman" w:cs="Arial"/>
                <w:color w:val="000000"/>
                <w:szCs w:val="24"/>
                <w:lang w:eastAsia="cs-CZ"/>
              </w:rPr>
            </w:pPr>
            <w:r w:rsidRPr="00513E71">
              <w:rPr>
                <w:rFonts w:eastAsia="Times New Roman" w:cs="Arial"/>
                <w:color w:val="000000"/>
                <w:szCs w:val="24"/>
                <w:lang w:eastAsia="cs-CZ"/>
              </w:rPr>
              <w:t xml:space="preserve">V roce 2016 bylo realizováno celkem 1 989 výběrových řízení, na která bylo pozváno 37 896 </w:t>
            </w:r>
            <w:proofErr w:type="spellStart"/>
            <w:r w:rsidRPr="00513E71">
              <w:rPr>
                <w:rFonts w:eastAsia="Times New Roman" w:cs="Arial"/>
                <w:color w:val="000000"/>
                <w:szCs w:val="24"/>
                <w:lang w:eastAsia="cs-CZ"/>
              </w:rPr>
              <w:t>UoZ</w:t>
            </w:r>
            <w:proofErr w:type="spellEnd"/>
            <w:r w:rsidRPr="00513E71">
              <w:rPr>
                <w:rFonts w:eastAsia="Times New Roman" w:cs="Arial"/>
                <w:color w:val="000000"/>
                <w:szCs w:val="24"/>
                <w:lang w:eastAsia="cs-CZ"/>
              </w:rPr>
              <w:t>, z toho se 28 757 účastnilo a celkem 3 396 VPM bylo prokazatelně obsazeno prostřednictvím těchto výběrových řízení. Výběrová řízení jsou realizovaná výhradně na základě požadavku zaměstnavatelů, a to jak na pracovištích ÚP ČR, tak na pracovištích zaměstnavatelů.</w:t>
            </w:r>
            <w:r w:rsidR="00DC39EE">
              <w:rPr>
                <w:rFonts w:eastAsia="Times New Roman" w:cs="Arial"/>
                <w:color w:val="000000"/>
                <w:szCs w:val="24"/>
                <w:lang w:eastAsia="cs-CZ"/>
              </w:rPr>
              <w:t xml:space="preserve"> </w:t>
            </w:r>
            <w:r w:rsidRPr="00513E71">
              <w:rPr>
                <w:rFonts w:eastAsia="Times New Roman" w:cs="Arial"/>
                <w:color w:val="000000"/>
                <w:szCs w:val="24"/>
                <w:lang w:eastAsia="cs-CZ"/>
              </w:rPr>
              <w:t xml:space="preserve">V roce 2016 celkem 636 129 </w:t>
            </w:r>
            <w:proofErr w:type="spellStart"/>
            <w:r w:rsidRPr="00513E71">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ukončilo evidenci, nebo bylo z evidence vyřazeno. Z tohoto počtu odešlo do zaměstnání 418 811 </w:t>
            </w:r>
            <w:proofErr w:type="spellStart"/>
            <w:r w:rsidRPr="00513E71">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z toho 97 719 </w:t>
            </w:r>
            <w:proofErr w:type="spellStart"/>
            <w:r w:rsidRPr="00513E71">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bylo prokazatelně umístěno ÚP ČR.</w:t>
            </w:r>
          </w:p>
        </w:tc>
      </w:tr>
      <w:tr w:rsidR="00F14D34" w:rsidRPr="00513E71" w:rsidTr="00B76143">
        <w:trPr>
          <w:trHeight w:val="285"/>
        </w:trPr>
        <w:tc>
          <w:tcPr>
            <w:tcW w:w="568" w:type="dxa"/>
            <w:gridSpan w:val="3"/>
            <w:tcBorders>
              <w:top w:val="single" w:sz="8" w:space="0" w:color="auto"/>
              <w:left w:val="single" w:sz="8" w:space="0" w:color="auto"/>
              <w:bottom w:val="single" w:sz="4" w:space="0" w:color="auto"/>
              <w:right w:val="nil"/>
            </w:tcBorders>
            <w:shd w:val="clear" w:color="000000" w:fill="FDE9D9"/>
            <w:noWrap/>
            <w:vAlign w:val="center"/>
            <w:hideMark/>
          </w:tcPr>
          <w:p w:rsidR="00513E71" w:rsidRPr="00513E71" w:rsidRDefault="00513E71" w:rsidP="00513E71">
            <w:pPr>
              <w:spacing w:line="240" w:lineRule="auto"/>
              <w:jc w:val="center"/>
              <w:rPr>
                <w:rFonts w:eastAsia="Times New Roman" w:cs="Arial"/>
                <w:b/>
                <w:bCs/>
                <w:color w:val="000000"/>
                <w:szCs w:val="24"/>
                <w:lang w:eastAsia="cs-CZ"/>
              </w:rPr>
            </w:pPr>
            <w:r w:rsidRPr="00513E71">
              <w:rPr>
                <w:rFonts w:eastAsia="Times New Roman" w:cs="Arial"/>
                <w:b/>
                <w:bCs/>
                <w:color w:val="000000"/>
                <w:szCs w:val="24"/>
                <w:lang w:eastAsia="cs-CZ"/>
              </w:rPr>
              <w:t>3.2</w:t>
            </w:r>
          </w:p>
        </w:tc>
        <w:tc>
          <w:tcPr>
            <w:tcW w:w="567" w:type="dxa"/>
            <w:gridSpan w:val="3"/>
            <w:tcBorders>
              <w:top w:val="single" w:sz="8" w:space="0" w:color="auto"/>
              <w:left w:val="single" w:sz="8" w:space="0" w:color="auto"/>
              <w:bottom w:val="single" w:sz="4" w:space="0" w:color="auto"/>
              <w:right w:val="nil"/>
            </w:tcBorders>
            <w:shd w:val="clear" w:color="auto" w:fill="auto"/>
            <w:noWrap/>
            <w:vAlign w:val="center"/>
            <w:hideMark/>
          </w:tcPr>
          <w:p w:rsidR="00513E71" w:rsidRPr="00513E71" w:rsidRDefault="00513E71" w:rsidP="00513E71">
            <w:pPr>
              <w:spacing w:line="240" w:lineRule="auto"/>
              <w:jc w:val="right"/>
              <w:rPr>
                <w:rFonts w:eastAsia="Times New Roman" w:cs="Arial"/>
                <w:b/>
                <w:bCs/>
                <w:color w:val="000000"/>
                <w:szCs w:val="24"/>
                <w:lang w:eastAsia="cs-CZ"/>
              </w:rPr>
            </w:pPr>
            <w:r w:rsidRPr="00513E71">
              <w:rPr>
                <w:rFonts w:eastAsia="Times New Roman" w:cs="Arial"/>
                <w:b/>
                <w:bCs/>
                <w:color w:val="000000"/>
                <w:szCs w:val="24"/>
                <w:lang w:eastAsia="cs-CZ"/>
              </w:rPr>
              <w:t>T:</w:t>
            </w:r>
          </w:p>
        </w:tc>
        <w:tc>
          <w:tcPr>
            <w:tcW w:w="1749" w:type="dxa"/>
            <w:gridSpan w:val="3"/>
            <w:tcBorders>
              <w:top w:val="single" w:sz="8" w:space="0" w:color="auto"/>
              <w:left w:val="nil"/>
              <w:bottom w:val="single" w:sz="4" w:space="0" w:color="auto"/>
              <w:right w:val="nil"/>
            </w:tcBorders>
            <w:shd w:val="clear" w:color="auto" w:fill="auto"/>
            <w:noWrap/>
            <w:vAlign w:val="center"/>
            <w:hideMark/>
          </w:tcPr>
          <w:p w:rsidR="00513E71" w:rsidRPr="00513E71" w:rsidRDefault="00513E71" w:rsidP="00513E71">
            <w:pPr>
              <w:spacing w:line="240" w:lineRule="auto"/>
              <w:jc w:val="center"/>
              <w:rPr>
                <w:rFonts w:eastAsia="Times New Roman" w:cs="Arial"/>
                <w:b/>
                <w:bCs/>
                <w:color w:val="000000"/>
                <w:szCs w:val="24"/>
                <w:lang w:eastAsia="cs-CZ"/>
              </w:rPr>
            </w:pPr>
            <w:r w:rsidRPr="00513E71">
              <w:rPr>
                <w:rFonts w:eastAsia="Times New Roman" w:cs="Arial"/>
                <w:b/>
                <w:bCs/>
                <w:color w:val="000000"/>
                <w:szCs w:val="24"/>
                <w:lang w:eastAsia="cs-CZ"/>
              </w:rPr>
              <w:t>průběžně</w:t>
            </w:r>
          </w:p>
        </w:tc>
        <w:tc>
          <w:tcPr>
            <w:tcW w:w="928" w:type="dxa"/>
            <w:gridSpan w:val="2"/>
            <w:tcBorders>
              <w:top w:val="single" w:sz="12" w:space="0" w:color="auto"/>
              <w:left w:val="single" w:sz="12" w:space="0" w:color="auto"/>
              <w:bottom w:val="single" w:sz="12" w:space="0" w:color="auto"/>
              <w:right w:val="nil"/>
            </w:tcBorders>
            <w:shd w:val="clear" w:color="auto" w:fill="auto"/>
            <w:noWrap/>
            <w:vAlign w:val="center"/>
            <w:hideMark/>
          </w:tcPr>
          <w:p w:rsidR="00513E71" w:rsidRPr="00513E71" w:rsidRDefault="00513E71" w:rsidP="00513E71">
            <w:pPr>
              <w:spacing w:line="240" w:lineRule="auto"/>
              <w:jc w:val="right"/>
              <w:rPr>
                <w:rFonts w:eastAsia="Times New Roman" w:cs="Arial"/>
                <w:b/>
                <w:bCs/>
                <w:color w:val="000000"/>
                <w:szCs w:val="24"/>
                <w:lang w:eastAsia="cs-CZ"/>
              </w:rPr>
            </w:pPr>
            <w:r w:rsidRPr="00513E71">
              <w:rPr>
                <w:rFonts w:eastAsia="Times New Roman" w:cs="Arial"/>
                <w:b/>
                <w:bCs/>
                <w:color w:val="000000"/>
                <w:szCs w:val="24"/>
                <w:lang w:eastAsia="cs-CZ"/>
              </w:rPr>
              <w:t>gesce:</w:t>
            </w:r>
          </w:p>
        </w:tc>
        <w:tc>
          <w:tcPr>
            <w:tcW w:w="1446" w:type="dxa"/>
            <w:gridSpan w:val="2"/>
            <w:tcBorders>
              <w:top w:val="single" w:sz="12" w:space="0" w:color="auto"/>
              <w:left w:val="nil"/>
              <w:bottom w:val="single" w:sz="8" w:space="0" w:color="auto"/>
              <w:right w:val="single" w:sz="4" w:space="0" w:color="auto"/>
            </w:tcBorders>
            <w:shd w:val="clear" w:color="auto" w:fill="auto"/>
            <w:noWrap/>
            <w:vAlign w:val="center"/>
            <w:hideMark/>
          </w:tcPr>
          <w:p w:rsidR="00513E71" w:rsidRPr="00513E71" w:rsidRDefault="00513E71" w:rsidP="00513E71">
            <w:pPr>
              <w:spacing w:line="240" w:lineRule="auto"/>
              <w:jc w:val="left"/>
              <w:rPr>
                <w:rFonts w:eastAsia="Times New Roman" w:cs="Arial"/>
                <w:b/>
                <w:bCs/>
                <w:color w:val="000000"/>
                <w:szCs w:val="24"/>
                <w:lang w:eastAsia="cs-CZ"/>
              </w:rPr>
            </w:pPr>
            <w:r w:rsidRPr="00513E71">
              <w:rPr>
                <w:rFonts w:eastAsia="Times New Roman" w:cs="Arial"/>
                <w:b/>
                <w:bCs/>
                <w:color w:val="000000"/>
                <w:szCs w:val="24"/>
                <w:lang w:eastAsia="cs-CZ"/>
              </w:rPr>
              <w:t>MPSV</w:t>
            </w:r>
          </w:p>
        </w:tc>
        <w:tc>
          <w:tcPr>
            <w:tcW w:w="2659" w:type="dxa"/>
            <w:gridSpan w:val="2"/>
            <w:tcBorders>
              <w:left w:val="single" w:sz="4" w:space="0" w:color="auto"/>
              <w:bottom w:val="single" w:sz="8" w:space="0" w:color="auto"/>
            </w:tcBorders>
            <w:shd w:val="clear" w:color="auto" w:fill="auto"/>
            <w:noWrap/>
            <w:vAlign w:val="center"/>
          </w:tcPr>
          <w:p w:rsidR="00513E71" w:rsidRPr="00513E71" w:rsidRDefault="00513E71" w:rsidP="00513E71">
            <w:pPr>
              <w:spacing w:line="240" w:lineRule="auto"/>
              <w:jc w:val="right"/>
              <w:rPr>
                <w:rFonts w:eastAsia="Times New Roman" w:cs="Arial"/>
                <w:color w:val="000000"/>
                <w:szCs w:val="24"/>
                <w:lang w:eastAsia="cs-CZ"/>
              </w:rPr>
            </w:pPr>
          </w:p>
        </w:tc>
        <w:tc>
          <w:tcPr>
            <w:tcW w:w="2905" w:type="dxa"/>
            <w:tcBorders>
              <w:bottom w:val="single" w:sz="8" w:space="0" w:color="auto"/>
            </w:tcBorders>
            <w:shd w:val="clear" w:color="auto" w:fill="auto"/>
            <w:noWrap/>
            <w:vAlign w:val="center"/>
          </w:tcPr>
          <w:p w:rsidR="00513E71" w:rsidRPr="00513E71" w:rsidRDefault="00513E71" w:rsidP="00513E71">
            <w:pPr>
              <w:spacing w:line="240" w:lineRule="auto"/>
              <w:jc w:val="right"/>
              <w:rPr>
                <w:rFonts w:eastAsia="Times New Roman" w:cs="Arial"/>
                <w:color w:val="000000"/>
                <w:szCs w:val="24"/>
                <w:lang w:eastAsia="cs-CZ"/>
              </w:rPr>
            </w:pPr>
          </w:p>
        </w:tc>
        <w:tc>
          <w:tcPr>
            <w:tcW w:w="1275" w:type="dxa"/>
            <w:gridSpan w:val="4"/>
            <w:tcBorders>
              <w:bottom w:val="single" w:sz="8" w:space="0" w:color="auto"/>
            </w:tcBorders>
            <w:shd w:val="clear" w:color="auto" w:fill="auto"/>
            <w:noWrap/>
            <w:vAlign w:val="center"/>
          </w:tcPr>
          <w:p w:rsidR="00513E71" w:rsidRPr="00513E71" w:rsidRDefault="00513E71" w:rsidP="00513E71">
            <w:pPr>
              <w:spacing w:line="240" w:lineRule="auto"/>
              <w:jc w:val="right"/>
              <w:rPr>
                <w:rFonts w:eastAsia="Times New Roman" w:cs="Arial"/>
                <w:color w:val="000000"/>
                <w:szCs w:val="24"/>
                <w:lang w:eastAsia="cs-CZ"/>
              </w:rPr>
            </w:pPr>
          </w:p>
        </w:tc>
        <w:tc>
          <w:tcPr>
            <w:tcW w:w="1982" w:type="dxa"/>
            <w:gridSpan w:val="2"/>
            <w:tcBorders>
              <w:bottom w:val="single" w:sz="8" w:space="0" w:color="auto"/>
            </w:tcBorders>
            <w:shd w:val="clear" w:color="auto" w:fill="auto"/>
            <w:noWrap/>
            <w:vAlign w:val="center"/>
          </w:tcPr>
          <w:p w:rsidR="00513E71" w:rsidRPr="00513E71" w:rsidRDefault="00513E71" w:rsidP="00513E71">
            <w:pPr>
              <w:spacing w:line="240" w:lineRule="auto"/>
              <w:jc w:val="right"/>
              <w:rPr>
                <w:rFonts w:eastAsia="Times New Roman" w:cs="Arial"/>
                <w:b/>
                <w:bCs/>
                <w:color w:val="000000"/>
                <w:szCs w:val="24"/>
                <w:lang w:eastAsia="cs-CZ"/>
              </w:rPr>
            </w:pPr>
          </w:p>
        </w:tc>
      </w:tr>
      <w:tr w:rsidR="00EF1712" w:rsidRPr="00513E71" w:rsidTr="00B76143">
        <w:trPr>
          <w:trHeight w:val="285"/>
        </w:trPr>
        <w:tc>
          <w:tcPr>
            <w:tcW w:w="568" w:type="dxa"/>
            <w:gridSpan w:val="3"/>
            <w:vMerge w:val="restart"/>
            <w:tcBorders>
              <w:top w:val="nil"/>
              <w:left w:val="single" w:sz="8" w:space="0" w:color="auto"/>
              <w:bottom w:val="single" w:sz="8" w:space="0" w:color="000000"/>
              <w:right w:val="single" w:sz="8" w:space="0" w:color="auto"/>
            </w:tcBorders>
            <w:shd w:val="clear" w:color="000000" w:fill="FDE9D9"/>
            <w:noWrap/>
            <w:textDirection w:val="btLr"/>
            <w:vAlign w:val="center"/>
            <w:hideMark/>
          </w:tcPr>
          <w:p w:rsidR="00513E71" w:rsidRPr="00513E71" w:rsidRDefault="00513E71" w:rsidP="00506E2B">
            <w:pPr>
              <w:spacing w:line="240" w:lineRule="auto"/>
              <w:jc w:val="center"/>
              <w:rPr>
                <w:rFonts w:eastAsia="Times New Roman" w:cs="Arial"/>
                <w:b/>
                <w:bCs/>
                <w:color w:val="000000"/>
                <w:szCs w:val="24"/>
                <w:lang w:eastAsia="cs-CZ"/>
              </w:rPr>
            </w:pPr>
            <w:r w:rsidRPr="00513E71">
              <w:rPr>
                <w:rFonts w:eastAsia="Times New Roman" w:cs="Arial"/>
                <w:b/>
                <w:bCs/>
                <w:color w:val="000000"/>
                <w:szCs w:val="24"/>
                <w:lang w:eastAsia="cs-CZ"/>
              </w:rPr>
              <w:t xml:space="preserve">Párování </w:t>
            </w:r>
            <w:proofErr w:type="spellStart"/>
            <w:r w:rsidR="00506E2B">
              <w:rPr>
                <w:rFonts w:eastAsia="Times New Roman" w:cs="Arial"/>
                <w:b/>
                <w:bCs/>
                <w:color w:val="000000"/>
                <w:szCs w:val="24"/>
                <w:lang w:eastAsia="cs-CZ"/>
              </w:rPr>
              <w:t>UoZ</w:t>
            </w:r>
            <w:proofErr w:type="spellEnd"/>
            <w:r w:rsidRPr="00513E71">
              <w:rPr>
                <w:rFonts w:eastAsia="Times New Roman" w:cs="Arial"/>
                <w:b/>
                <w:bCs/>
                <w:color w:val="000000"/>
                <w:szCs w:val="24"/>
                <w:lang w:eastAsia="cs-CZ"/>
              </w:rPr>
              <w:t xml:space="preserve"> a </w:t>
            </w:r>
            <w:r w:rsidR="00506E2B">
              <w:rPr>
                <w:rFonts w:eastAsia="Times New Roman" w:cs="Arial"/>
                <w:b/>
                <w:bCs/>
                <w:color w:val="000000"/>
                <w:szCs w:val="24"/>
                <w:lang w:eastAsia="cs-CZ"/>
              </w:rPr>
              <w:t>VPM</w:t>
            </w:r>
          </w:p>
        </w:tc>
        <w:tc>
          <w:tcPr>
            <w:tcW w:w="2316" w:type="dxa"/>
            <w:gridSpan w:val="6"/>
            <w:tcBorders>
              <w:top w:val="single" w:sz="4" w:space="0" w:color="auto"/>
              <w:left w:val="nil"/>
              <w:bottom w:val="double" w:sz="6" w:space="0" w:color="auto"/>
              <w:right w:val="nil"/>
            </w:tcBorders>
            <w:shd w:val="clear" w:color="auto" w:fill="auto"/>
            <w:noWrap/>
            <w:vAlign w:val="center"/>
            <w:hideMark/>
          </w:tcPr>
          <w:p w:rsidR="00513E71" w:rsidRPr="00513E71" w:rsidRDefault="00513E71" w:rsidP="00513E71">
            <w:pPr>
              <w:spacing w:line="240" w:lineRule="auto"/>
              <w:jc w:val="right"/>
              <w:rPr>
                <w:rFonts w:eastAsia="Times New Roman" w:cs="Arial"/>
                <w:b/>
                <w:bCs/>
                <w:color w:val="000000"/>
                <w:szCs w:val="24"/>
                <w:lang w:eastAsia="cs-CZ"/>
              </w:rPr>
            </w:pPr>
            <w:r w:rsidRPr="00513E71">
              <w:rPr>
                <w:rFonts w:eastAsia="Times New Roman" w:cs="Arial"/>
                <w:b/>
                <w:bCs/>
                <w:color w:val="000000"/>
                <w:szCs w:val="24"/>
                <w:lang w:eastAsia="cs-CZ"/>
              </w:rPr>
              <w:t>povaha:</w:t>
            </w:r>
          </w:p>
        </w:tc>
        <w:tc>
          <w:tcPr>
            <w:tcW w:w="928" w:type="dxa"/>
            <w:gridSpan w:val="2"/>
            <w:tcBorders>
              <w:top w:val="nil"/>
              <w:left w:val="nil"/>
              <w:bottom w:val="double" w:sz="6" w:space="0" w:color="auto"/>
              <w:right w:val="double" w:sz="6" w:space="0" w:color="auto"/>
            </w:tcBorders>
            <w:shd w:val="clear" w:color="auto" w:fill="auto"/>
            <w:noWrap/>
            <w:vAlign w:val="center"/>
            <w:hideMark/>
          </w:tcPr>
          <w:p w:rsidR="00513E71" w:rsidRPr="00513E71" w:rsidRDefault="00513E71" w:rsidP="00C05C41">
            <w:pPr>
              <w:spacing w:line="240" w:lineRule="auto"/>
              <w:jc w:val="left"/>
              <w:rPr>
                <w:rFonts w:eastAsia="Times New Roman" w:cs="Arial"/>
                <w:b/>
                <w:bCs/>
                <w:color w:val="000000"/>
                <w:szCs w:val="24"/>
                <w:lang w:eastAsia="cs-CZ"/>
              </w:rPr>
            </w:pPr>
            <w:r w:rsidRPr="00513E71">
              <w:rPr>
                <w:rFonts w:eastAsia="Times New Roman" w:cs="Arial"/>
                <w:b/>
                <w:bCs/>
                <w:color w:val="000000"/>
                <w:szCs w:val="24"/>
                <w:lang w:eastAsia="cs-CZ"/>
              </w:rPr>
              <w:t>N</w:t>
            </w:r>
          </w:p>
        </w:tc>
        <w:tc>
          <w:tcPr>
            <w:tcW w:w="7010" w:type="dxa"/>
            <w:gridSpan w:val="5"/>
            <w:tcBorders>
              <w:top w:val="single" w:sz="8" w:space="0" w:color="auto"/>
              <w:left w:val="nil"/>
              <w:right w:val="nil"/>
            </w:tcBorders>
            <w:shd w:val="clear" w:color="auto" w:fill="auto"/>
            <w:noWrap/>
            <w:vAlign w:val="center"/>
            <w:hideMark/>
          </w:tcPr>
          <w:p w:rsidR="00513E71" w:rsidRPr="00513E71" w:rsidRDefault="00513E71" w:rsidP="00513E71">
            <w:pPr>
              <w:spacing w:line="240" w:lineRule="auto"/>
              <w:jc w:val="center"/>
              <w:rPr>
                <w:rFonts w:eastAsia="Times New Roman" w:cs="Arial"/>
                <w:b/>
                <w:bCs/>
                <w:color w:val="000000"/>
                <w:szCs w:val="24"/>
                <w:u w:val="single"/>
                <w:lang w:eastAsia="cs-CZ"/>
              </w:rPr>
            </w:pPr>
            <w:r w:rsidRPr="00513E71">
              <w:rPr>
                <w:rFonts w:eastAsia="Times New Roman" w:cs="Arial"/>
                <w:b/>
                <w:bCs/>
                <w:color w:val="000000"/>
                <w:szCs w:val="24"/>
                <w:u w:val="single"/>
                <w:lang w:eastAsia="cs-CZ"/>
              </w:rPr>
              <w:t>Popis</w:t>
            </w:r>
          </w:p>
        </w:tc>
        <w:tc>
          <w:tcPr>
            <w:tcW w:w="1275" w:type="dxa"/>
            <w:gridSpan w:val="4"/>
            <w:tcBorders>
              <w:top w:val="single" w:sz="8" w:space="0" w:color="auto"/>
              <w:left w:val="nil"/>
              <w:right w:val="nil"/>
            </w:tcBorders>
            <w:shd w:val="clear" w:color="auto" w:fill="auto"/>
            <w:noWrap/>
            <w:vAlign w:val="center"/>
          </w:tcPr>
          <w:p w:rsidR="00513E71" w:rsidRPr="00513E71" w:rsidRDefault="00513E71" w:rsidP="00513E71">
            <w:pPr>
              <w:spacing w:line="240" w:lineRule="auto"/>
              <w:jc w:val="center"/>
              <w:rPr>
                <w:rFonts w:eastAsia="Times New Roman" w:cs="Arial"/>
                <w:b/>
                <w:bCs/>
                <w:color w:val="000000"/>
                <w:szCs w:val="24"/>
                <w:u w:val="single"/>
                <w:lang w:eastAsia="cs-CZ"/>
              </w:rPr>
            </w:pPr>
          </w:p>
        </w:tc>
        <w:tc>
          <w:tcPr>
            <w:tcW w:w="1982" w:type="dxa"/>
            <w:gridSpan w:val="2"/>
            <w:tcBorders>
              <w:top w:val="single" w:sz="8" w:space="0" w:color="auto"/>
              <w:left w:val="nil"/>
              <w:right w:val="single" w:sz="8" w:space="0" w:color="auto"/>
            </w:tcBorders>
            <w:shd w:val="clear" w:color="auto" w:fill="auto"/>
            <w:noWrap/>
            <w:vAlign w:val="center"/>
          </w:tcPr>
          <w:p w:rsidR="00513E71" w:rsidRPr="00513E71" w:rsidRDefault="00513E71" w:rsidP="00513E71">
            <w:pPr>
              <w:spacing w:line="240" w:lineRule="auto"/>
              <w:jc w:val="center"/>
              <w:rPr>
                <w:rFonts w:eastAsia="Times New Roman" w:cs="Arial"/>
                <w:b/>
                <w:bCs/>
                <w:color w:val="000000"/>
                <w:szCs w:val="24"/>
                <w:u w:val="single"/>
                <w:lang w:eastAsia="cs-CZ"/>
              </w:rPr>
            </w:pPr>
          </w:p>
        </w:tc>
      </w:tr>
      <w:tr w:rsidR="00513E71" w:rsidRPr="00513E71" w:rsidTr="00B76143">
        <w:trPr>
          <w:trHeight w:val="1708"/>
        </w:trPr>
        <w:tc>
          <w:tcPr>
            <w:tcW w:w="568" w:type="dxa"/>
            <w:gridSpan w:val="3"/>
            <w:vMerge/>
            <w:tcBorders>
              <w:top w:val="nil"/>
              <w:left w:val="single" w:sz="8" w:space="0" w:color="auto"/>
              <w:bottom w:val="single" w:sz="8" w:space="0" w:color="000000"/>
              <w:right w:val="single" w:sz="8" w:space="0" w:color="auto"/>
            </w:tcBorders>
            <w:vAlign w:val="center"/>
            <w:hideMark/>
          </w:tcPr>
          <w:p w:rsidR="00513E71" w:rsidRPr="00513E71" w:rsidRDefault="00513E71" w:rsidP="00513E71">
            <w:pPr>
              <w:spacing w:line="240" w:lineRule="auto"/>
              <w:jc w:val="left"/>
              <w:rPr>
                <w:rFonts w:eastAsia="Times New Roman" w:cs="Arial"/>
                <w:b/>
                <w:bCs/>
                <w:color w:val="000000"/>
                <w:szCs w:val="24"/>
                <w:lang w:eastAsia="cs-CZ"/>
              </w:rPr>
            </w:pPr>
          </w:p>
        </w:tc>
        <w:tc>
          <w:tcPr>
            <w:tcW w:w="13511" w:type="dxa"/>
            <w:gridSpan w:val="19"/>
            <w:tcBorders>
              <w:top w:val="nil"/>
              <w:left w:val="nil"/>
              <w:bottom w:val="double" w:sz="6" w:space="0" w:color="auto"/>
              <w:right w:val="single" w:sz="8" w:space="0" w:color="000000"/>
            </w:tcBorders>
            <w:shd w:val="clear" w:color="auto" w:fill="auto"/>
            <w:hideMark/>
          </w:tcPr>
          <w:p w:rsidR="00513E71" w:rsidRPr="00513E71" w:rsidRDefault="00513E71" w:rsidP="00EF1712">
            <w:pPr>
              <w:spacing w:before="120" w:after="120" w:line="240" w:lineRule="auto"/>
              <w:rPr>
                <w:rFonts w:eastAsia="Times New Roman" w:cs="Arial"/>
                <w:color w:val="000000"/>
                <w:szCs w:val="24"/>
                <w:lang w:eastAsia="cs-CZ"/>
              </w:rPr>
            </w:pPr>
            <w:r w:rsidRPr="00513E71">
              <w:rPr>
                <w:rFonts w:eastAsia="Times New Roman" w:cs="Arial"/>
                <w:color w:val="000000"/>
                <w:szCs w:val="24"/>
                <w:lang w:eastAsia="cs-CZ"/>
              </w:rPr>
              <w:t xml:space="preserve">V rámci individuální práce s </w:t>
            </w:r>
            <w:proofErr w:type="spellStart"/>
            <w:r w:rsidR="00C05C41">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se nadále zaměřovat na vydávání konkrétních doporučenek do zaměstnání místo pouhému vydávání informací o </w:t>
            </w:r>
            <w:r w:rsidR="00C05C41">
              <w:rPr>
                <w:rFonts w:eastAsia="Times New Roman" w:cs="Arial"/>
                <w:color w:val="000000"/>
                <w:szCs w:val="24"/>
                <w:lang w:eastAsia="cs-CZ"/>
              </w:rPr>
              <w:t>VPM</w:t>
            </w:r>
            <w:r w:rsidRPr="00513E71">
              <w:rPr>
                <w:rFonts w:eastAsia="Times New Roman" w:cs="Arial"/>
                <w:color w:val="000000"/>
                <w:szCs w:val="24"/>
                <w:lang w:eastAsia="cs-CZ"/>
              </w:rPr>
              <w:t xml:space="preserve">. Samozřejmě musí jít o kvalitní výběr vhodných uchazečů o zaměstnání, doporučovaných na hlášená </w:t>
            </w:r>
            <w:r w:rsidR="00C05C41">
              <w:rPr>
                <w:rFonts w:eastAsia="Times New Roman" w:cs="Arial"/>
                <w:color w:val="000000"/>
                <w:szCs w:val="24"/>
                <w:lang w:eastAsia="cs-CZ"/>
              </w:rPr>
              <w:t>VPM</w:t>
            </w:r>
            <w:r w:rsidRPr="00513E71">
              <w:rPr>
                <w:rFonts w:eastAsia="Times New Roman" w:cs="Arial"/>
                <w:color w:val="000000"/>
                <w:szCs w:val="24"/>
                <w:lang w:eastAsia="cs-CZ"/>
              </w:rPr>
              <w:t xml:space="preserve">. Zde je důležitá spolupráce ze strany zaměstnavatelů spočívající v pečlivém vyplňování výsledku kontaktu </w:t>
            </w:r>
            <w:proofErr w:type="spellStart"/>
            <w:r w:rsidR="00C05C41">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se zaměstnavatelem, zejména pokud jde o zájem </w:t>
            </w:r>
            <w:proofErr w:type="spellStart"/>
            <w:r w:rsidR="00C05C41">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nastoupit d</w:t>
            </w:r>
            <w:r w:rsidR="00506E2B">
              <w:rPr>
                <w:rFonts w:eastAsia="Times New Roman" w:cs="Arial"/>
                <w:color w:val="000000"/>
                <w:szCs w:val="24"/>
                <w:lang w:eastAsia="cs-CZ"/>
              </w:rPr>
              <w:t xml:space="preserve">o zprostředkovaného zaměstnání. </w:t>
            </w:r>
            <w:r w:rsidRPr="00513E71">
              <w:rPr>
                <w:rFonts w:eastAsia="Times New Roman" w:cs="Arial"/>
                <w:color w:val="000000"/>
                <w:szCs w:val="24"/>
                <w:lang w:eastAsia="cs-CZ"/>
              </w:rPr>
              <w:t xml:space="preserve">Nedílnou částí zprostředkovatelské činnosti ÚP ČR je spolupráce se zaměstnavateli v oblasti zveřejňování nabídek </w:t>
            </w:r>
            <w:r w:rsidR="00C05C41">
              <w:rPr>
                <w:rFonts w:eastAsia="Times New Roman" w:cs="Arial"/>
                <w:color w:val="000000"/>
                <w:szCs w:val="24"/>
                <w:lang w:eastAsia="cs-CZ"/>
              </w:rPr>
              <w:t>VPM</w:t>
            </w:r>
            <w:r w:rsidRPr="00513E71">
              <w:rPr>
                <w:rFonts w:eastAsia="Times New Roman" w:cs="Arial"/>
                <w:color w:val="000000"/>
                <w:szCs w:val="24"/>
                <w:lang w:eastAsia="cs-CZ"/>
              </w:rPr>
              <w:t xml:space="preserve">, genderové rovnosti, pořádání burz práce a aktivní působení na pracovní sílu prostřednictvím </w:t>
            </w:r>
            <w:r w:rsidR="00C05C41">
              <w:rPr>
                <w:rFonts w:eastAsia="Times New Roman" w:cs="Arial"/>
                <w:color w:val="000000"/>
                <w:szCs w:val="24"/>
                <w:lang w:eastAsia="cs-CZ"/>
              </w:rPr>
              <w:t>IPS</w:t>
            </w:r>
            <w:r w:rsidRPr="00513E71">
              <w:rPr>
                <w:rFonts w:eastAsia="Times New Roman" w:cs="Arial"/>
                <w:color w:val="000000"/>
                <w:szCs w:val="24"/>
                <w:lang w:eastAsia="cs-CZ"/>
              </w:rPr>
              <w:t>.</w:t>
            </w:r>
          </w:p>
        </w:tc>
      </w:tr>
      <w:tr w:rsidR="00375D0A" w:rsidRPr="00513E71" w:rsidTr="009B7658">
        <w:trPr>
          <w:trHeight w:val="285"/>
        </w:trPr>
        <w:tc>
          <w:tcPr>
            <w:tcW w:w="568" w:type="dxa"/>
            <w:gridSpan w:val="3"/>
            <w:vMerge/>
            <w:tcBorders>
              <w:top w:val="nil"/>
              <w:left w:val="single" w:sz="8" w:space="0" w:color="auto"/>
              <w:bottom w:val="single" w:sz="8" w:space="0" w:color="000000"/>
              <w:right w:val="double" w:sz="6" w:space="0" w:color="auto"/>
            </w:tcBorders>
            <w:vAlign w:val="center"/>
            <w:hideMark/>
          </w:tcPr>
          <w:p w:rsidR="00375D0A" w:rsidRPr="00513E71" w:rsidRDefault="00375D0A" w:rsidP="00513E71">
            <w:pPr>
              <w:spacing w:line="240" w:lineRule="auto"/>
              <w:jc w:val="left"/>
              <w:rPr>
                <w:rFonts w:eastAsia="Times New Roman" w:cs="Arial"/>
                <w:b/>
                <w:bCs/>
                <w:color w:val="000000"/>
                <w:szCs w:val="24"/>
                <w:lang w:eastAsia="cs-CZ"/>
              </w:rPr>
            </w:pPr>
          </w:p>
        </w:tc>
        <w:tc>
          <w:tcPr>
            <w:tcW w:w="3244" w:type="dxa"/>
            <w:gridSpan w:val="8"/>
            <w:tcBorders>
              <w:top w:val="double" w:sz="6" w:space="0" w:color="auto"/>
              <w:left w:val="double" w:sz="6" w:space="0" w:color="auto"/>
              <w:bottom w:val="double" w:sz="6" w:space="0" w:color="auto"/>
              <w:right w:val="double" w:sz="6" w:space="0" w:color="auto"/>
            </w:tcBorders>
            <w:shd w:val="clear" w:color="000000" w:fill="F2DCDB"/>
            <w:noWrap/>
            <w:vAlign w:val="center"/>
          </w:tcPr>
          <w:p w:rsidR="00375D0A" w:rsidRPr="00513E71" w:rsidRDefault="00375D0A" w:rsidP="00375D0A">
            <w:pPr>
              <w:spacing w:line="240" w:lineRule="auto"/>
              <w:jc w:val="center"/>
              <w:rPr>
                <w:rFonts w:eastAsia="Times New Roman" w:cs="Arial"/>
                <w:b/>
                <w:bCs/>
                <w:color w:val="000000"/>
                <w:szCs w:val="24"/>
                <w:lang w:eastAsia="cs-CZ"/>
              </w:rPr>
            </w:pPr>
            <w:r w:rsidRPr="00513E71">
              <w:rPr>
                <w:rFonts w:eastAsia="Times New Roman" w:cs="Arial"/>
                <w:b/>
                <w:bCs/>
                <w:color w:val="000000"/>
                <w:szCs w:val="24"/>
                <w:lang w:eastAsia="cs-CZ"/>
              </w:rPr>
              <w:t>Řešeno</w:t>
            </w:r>
          </w:p>
        </w:tc>
        <w:tc>
          <w:tcPr>
            <w:tcW w:w="7010" w:type="dxa"/>
            <w:gridSpan w:val="5"/>
            <w:tcBorders>
              <w:top w:val="double" w:sz="6" w:space="0" w:color="auto"/>
              <w:left w:val="double" w:sz="6" w:space="0" w:color="auto"/>
              <w:bottom w:val="nil"/>
              <w:right w:val="nil"/>
            </w:tcBorders>
            <w:shd w:val="clear" w:color="auto" w:fill="auto"/>
            <w:vAlign w:val="center"/>
            <w:hideMark/>
          </w:tcPr>
          <w:p w:rsidR="00375D0A" w:rsidRPr="00513E71" w:rsidRDefault="00375D0A" w:rsidP="00513E71">
            <w:pPr>
              <w:spacing w:line="240" w:lineRule="auto"/>
              <w:jc w:val="center"/>
              <w:rPr>
                <w:rFonts w:eastAsia="Times New Roman" w:cs="Arial"/>
                <w:b/>
                <w:bCs/>
                <w:color w:val="000000"/>
                <w:szCs w:val="24"/>
                <w:u w:val="single"/>
                <w:lang w:eastAsia="cs-CZ"/>
              </w:rPr>
            </w:pPr>
            <w:r w:rsidRPr="00513E71">
              <w:rPr>
                <w:rFonts w:eastAsia="Times New Roman" w:cs="Arial"/>
                <w:b/>
                <w:bCs/>
                <w:color w:val="000000"/>
                <w:szCs w:val="24"/>
                <w:u w:val="single"/>
                <w:lang w:eastAsia="cs-CZ"/>
              </w:rPr>
              <w:t>Plnění</w:t>
            </w:r>
          </w:p>
        </w:tc>
        <w:tc>
          <w:tcPr>
            <w:tcW w:w="1275" w:type="dxa"/>
            <w:gridSpan w:val="4"/>
            <w:tcBorders>
              <w:top w:val="nil"/>
              <w:left w:val="single" w:sz="8" w:space="0" w:color="auto"/>
              <w:bottom w:val="single" w:sz="8" w:space="0" w:color="auto"/>
              <w:right w:val="nil"/>
            </w:tcBorders>
            <w:shd w:val="clear" w:color="auto" w:fill="auto"/>
            <w:vAlign w:val="center"/>
            <w:hideMark/>
          </w:tcPr>
          <w:p w:rsidR="00375D0A" w:rsidRPr="00513E71" w:rsidRDefault="00375D0A" w:rsidP="00513E71">
            <w:pPr>
              <w:spacing w:line="240" w:lineRule="auto"/>
              <w:jc w:val="right"/>
              <w:rPr>
                <w:rFonts w:eastAsia="Times New Roman" w:cs="Arial"/>
                <w:color w:val="000000"/>
                <w:szCs w:val="24"/>
                <w:lang w:eastAsia="cs-CZ"/>
              </w:rPr>
            </w:pPr>
            <w:r w:rsidRPr="00513E71">
              <w:rPr>
                <w:rFonts w:eastAsia="Times New Roman" w:cs="Arial"/>
                <w:color w:val="000000"/>
                <w:szCs w:val="24"/>
                <w:lang w:eastAsia="cs-CZ"/>
              </w:rPr>
              <w:t>k datu</w:t>
            </w:r>
          </w:p>
        </w:tc>
        <w:tc>
          <w:tcPr>
            <w:tcW w:w="1982" w:type="dxa"/>
            <w:gridSpan w:val="2"/>
            <w:tcBorders>
              <w:top w:val="nil"/>
              <w:left w:val="nil"/>
              <w:bottom w:val="single" w:sz="8" w:space="0" w:color="auto"/>
              <w:right w:val="single" w:sz="8" w:space="0" w:color="auto"/>
            </w:tcBorders>
            <w:shd w:val="clear" w:color="auto" w:fill="auto"/>
            <w:vAlign w:val="center"/>
            <w:hideMark/>
          </w:tcPr>
          <w:p w:rsidR="00375D0A" w:rsidRPr="00513E71" w:rsidRDefault="00375D0A" w:rsidP="00513E71">
            <w:pPr>
              <w:spacing w:line="240" w:lineRule="auto"/>
              <w:jc w:val="center"/>
              <w:rPr>
                <w:rFonts w:eastAsia="Times New Roman" w:cs="Arial"/>
                <w:b/>
                <w:bCs/>
                <w:color w:val="000000"/>
                <w:szCs w:val="24"/>
                <w:u w:val="single"/>
                <w:lang w:eastAsia="cs-CZ"/>
              </w:rPr>
            </w:pPr>
            <w:r w:rsidRPr="00513E71">
              <w:rPr>
                <w:rFonts w:eastAsia="Times New Roman" w:cs="Arial"/>
                <w:b/>
                <w:bCs/>
                <w:color w:val="000000"/>
                <w:szCs w:val="24"/>
                <w:u w:val="single"/>
                <w:lang w:eastAsia="cs-CZ"/>
              </w:rPr>
              <w:t>31.</w:t>
            </w:r>
            <w:r>
              <w:rPr>
                <w:rFonts w:eastAsia="Times New Roman" w:cs="Arial"/>
                <w:b/>
                <w:bCs/>
                <w:color w:val="000000"/>
                <w:szCs w:val="24"/>
                <w:u w:val="single"/>
                <w:lang w:eastAsia="cs-CZ"/>
              </w:rPr>
              <w:t xml:space="preserve"> </w:t>
            </w:r>
            <w:r w:rsidRPr="00513E71">
              <w:rPr>
                <w:rFonts w:eastAsia="Times New Roman" w:cs="Arial"/>
                <w:b/>
                <w:bCs/>
                <w:color w:val="000000"/>
                <w:szCs w:val="24"/>
                <w:u w:val="single"/>
                <w:lang w:eastAsia="cs-CZ"/>
              </w:rPr>
              <w:t>12.</w:t>
            </w:r>
            <w:r>
              <w:rPr>
                <w:rFonts w:eastAsia="Times New Roman" w:cs="Arial"/>
                <w:b/>
                <w:bCs/>
                <w:color w:val="000000"/>
                <w:szCs w:val="24"/>
                <w:u w:val="single"/>
                <w:lang w:eastAsia="cs-CZ"/>
              </w:rPr>
              <w:t xml:space="preserve"> </w:t>
            </w:r>
            <w:r w:rsidRPr="00513E71">
              <w:rPr>
                <w:rFonts w:eastAsia="Times New Roman" w:cs="Arial"/>
                <w:b/>
                <w:bCs/>
                <w:color w:val="000000"/>
                <w:szCs w:val="24"/>
                <w:u w:val="single"/>
                <w:lang w:eastAsia="cs-CZ"/>
              </w:rPr>
              <w:t>2016</w:t>
            </w:r>
          </w:p>
        </w:tc>
      </w:tr>
      <w:tr w:rsidR="00513E71" w:rsidRPr="00513E71" w:rsidTr="00B76143">
        <w:trPr>
          <w:trHeight w:val="2700"/>
        </w:trPr>
        <w:tc>
          <w:tcPr>
            <w:tcW w:w="568" w:type="dxa"/>
            <w:gridSpan w:val="3"/>
            <w:vMerge/>
            <w:tcBorders>
              <w:top w:val="nil"/>
              <w:left w:val="single" w:sz="8" w:space="0" w:color="auto"/>
              <w:bottom w:val="single" w:sz="8" w:space="0" w:color="000000"/>
              <w:right w:val="single" w:sz="8" w:space="0" w:color="auto"/>
            </w:tcBorders>
            <w:vAlign w:val="center"/>
            <w:hideMark/>
          </w:tcPr>
          <w:p w:rsidR="00513E71" w:rsidRPr="00513E71" w:rsidRDefault="00513E71" w:rsidP="00513E71">
            <w:pPr>
              <w:spacing w:line="240" w:lineRule="auto"/>
              <w:jc w:val="left"/>
              <w:rPr>
                <w:rFonts w:eastAsia="Times New Roman" w:cs="Arial"/>
                <w:b/>
                <w:bCs/>
                <w:color w:val="000000"/>
                <w:szCs w:val="24"/>
                <w:lang w:eastAsia="cs-CZ"/>
              </w:rPr>
            </w:pPr>
          </w:p>
        </w:tc>
        <w:tc>
          <w:tcPr>
            <w:tcW w:w="567" w:type="dxa"/>
            <w:gridSpan w:val="3"/>
            <w:tcBorders>
              <w:top w:val="nil"/>
              <w:left w:val="nil"/>
              <w:bottom w:val="nil"/>
              <w:right w:val="single" w:sz="4" w:space="0" w:color="auto"/>
            </w:tcBorders>
            <w:shd w:val="clear" w:color="auto" w:fill="auto"/>
            <w:textDirection w:val="btLr"/>
            <w:vAlign w:val="center"/>
            <w:hideMark/>
          </w:tcPr>
          <w:p w:rsidR="00513E71" w:rsidRPr="00513E71" w:rsidRDefault="00513E71" w:rsidP="00513E71">
            <w:pPr>
              <w:spacing w:line="240" w:lineRule="auto"/>
              <w:jc w:val="center"/>
              <w:rPr>
                <w:rFonts w:eastAsia="Times New Roman" w:cs="Arial"/>
                <w:color w:val="000000"/>
                <w:szCs w:val="24"/>
                <w:lang w:eastAsia="cs-CZ"/>
              </w:rPr>
            </w:pPr>
            <w:r w:rsidRPr="00513E71">
              <w:rPr>
                <w:rFonts w:eastAsia="Times New Roman" w:cs="Arial"/>
                <w:color w:val="000000"/>
                <w:szCs w:val="24"/>
                <w:lang w:eastAsia="cs-CZ"/>
              </w:rPr>
              <w:t xml:space="preserve">předchozí </w:t>
            </w:r>
          </w:p>
        </w:tc>
        <w:tc>
          <w:tcPr>
            <w:tcW w:w="12944" w:type="dxa"/>
            <w:gridSpan w:val="16"/>
            <w:tcBorders>
              <w:top w:val="nil"/>
              <w:left w:val="nil"/>
              <w:bottom w:val="nil"/>
              <w:right w:val="single" w:sz="8" w:space="0" w:color="000000"/>
            </w:tcBorders>
            <w:shd w:val="clear" w:color="auto" w:fill="auto"/>
            <w:hideMark/>
          </w:tcPr>
          <w:p w:rsidR="00513E71" w:rsidRPr="00513E71" w:rsidRDefault="00513E71" w:rsidP="00EF1712">
            <w:pPr>
              <w:spacing w:before="120" w:after="120" w:line="240" w:lineRule="auto"/>
              <w:rPr>
                <w:rFonts w:eastAsia="Times New Roman" w:cs="Arial"/>
                <w:color w:val="000000"/>
                <w:szCs w:val="24"/>
                <w:lang w:eastAsia="cs-CZ"/>
              </w:rPr>
            </w:pPr>
            <w:r w:rsidRPr="00513E71">
              <w:rPr>
                <w:rFonts w:eastAsia="Times New Roman" w:cs="Arial"/>
                <w:color w:val="000000"/>
                <w:szCs w:val="24"/>
                <w:lang w:eastAsia="cs-CZ"/>
              </w:rPr>
              <w:t xml:space="preserve">Pro lepší slaďování poptávky a nabídky na trhu práce se zaměstnanci ÚP ČR zaměřují mimo jiné na realizaci seminářů pro zaměstnavatele, představitele obcí a měst, zástupce vzdělávacích zařízení. Ve 2Q roku 2016 bylo realizováno 19 </w:t>
            </w:r>
            <w:proofErr w:type="spellStart"/>
            <w:r w:rsidRPr="00513E71">
              <w:rPr>
                <w:rFonts w:eastAsia="Times New Roman" w:cs="Arial"/>
                <w:color w:val="000000"/>
                <w:szCs w:val="24"/>
                <w:lang w:eastAsia="cs-CZ"/>
              </w:rPr>
              <w:t>miniburz</w:t>
            </w:r>
            <w:proofErr w:type="spellEnd"/>
            <w:r w:rsidRPr="00513E71">
              <w:rPr>
                <w:rFonts w:eastAsia="Times New Roman" w:cs="Arial"/>
                <w:color w:val="000000"/>
                <w:szCs w:val="24"/>
                <w:lang w:eastAsia="cs-CZ"/>
              </w:rPr>
              <w:t xml:space="preserve"> a burz práce. Na </w:t>
            </w:r>
            <w:proofErr w:type="spellStart"/>
            <w:r w:rsidRPr="00513E71">
              <w:rPr>
                <w:rFonts w:eastAsia="Times New Roman" w:cs="Arial"/>
                <w:color w:val="000000"/>
                <w:szCs w:val="24"/>
                <w:lang w:eastAsia="cs-CZ"/>
              </w:rPr>
              <w:t>miniburzy</w:t>
            </w:r>
            <w:proofErr w:type="spellEnd"/>
            <w:r w:rsidRPr="00513E71">
              <w:rPr>
                <w:rFonts w:eastAsia="Times New Roman" w:cs="Arial"/>
                <w:color w:val="000000"/>
                <w:szCs w:val="24"/>
                <w:lang w:eastAsia="cs-CZ"/>
              </w:rPr>
              <w:t xml:space="preserve"> a burzy práce jsou zváni zaměstnavatelé, kteří projevili zájem o účast na podobných akcích, a především zaměstnavatelé vybraní na základě dlouhodobější spolupráce s ÚP ČR. </w:t>
            </w:r>
            <w:r w:rsidRPr="00513E71">
              <w:rPr>
                <w:rFonts w:eastAsia="Times New Roman" w:cs="Arial"/>
                <w:color w:val="000000"/>
                <w:szCs w:val="24"/>
                <w:lang w:eastAsia="cs-CZ"/>
              </w:rPr>
              <w:br/>
              <w:t>ÚP ČR současně využívá databáze N</w:t>
            </w:r>
            <w:r w:rsidR="00943210">
              <w:rPr>
                <w:rFonts w:eastAsia="Times New Roman" w:cs="Arial"/>
                <w:color w:val="000000"/>
                <w:szCs w:val="24"/>
                <w:lang w:eastAsia="cs-CZ"/>
              </w:rPr>
              <w:t>SK</w:t>
            </w:r>
            <w:r w:rsidRPr="00513E71">
              <w:rPr>
                <w:rFonts w:eastAsia="Times New Roman" w:cs="Arial"/>
                <w:color w:val="000000"/>
                <w:szCs w:val="24"/>
                <w:lang w:eastAsia="cs-CZ"/>
              </w:rPr>
              <w:t xml:space="preserve"> a NS</w:t>
            </w:r>
            <w:r w:rsidR="00943210">
              <w:rPr>
                <w:rFonts w:eastAsia="Times New Roman" w:cs="Arial"/>
                <w:color w:val="000000"/>
                <w:szCs w:val="24"/>
                <w:lang w:eastAsia="cs-CZ"/>
              </w:rPr>
              <w:t>P</w:t>
            </w:r>
            <w:r w:rsidRPr="00513E71">
              <w:rPr>
                <w:rFonts w:eastAsia="Times New Roman" w:cs="Arial"/>
                <w:color w:val="000000"/>
                <w:szCs w:val="24"/>
                <w:lang w:eastAsia="cs-CZ"/>
              </w:rPr>
              <w:t xml:space="preserve"> (jejich využití závisí zejména na tom, jak je charakterizován požadavek zaměstnavatele na VPM). Zejména široká databáze NSP prvotně slouží jako zdroj informací pro zaměstnavatele, kteří hlásí VPM, dále slouží v případě potřeby zprostředkovatelům, aby se zorientovali v požadavcích na VPM a správně vybrali vhodné </w:t>
            </w:r>
            <w:proofErr w:type="spellStart"/>
            <w:r w:rsidR="00EF1712">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V neposlední řadě slouží </w:t>
            </w:r>
            <w:proofErr w:type="spellStart"/>
            <w:r w:rsidR="00EF1712">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pro lepší představu, jaké jsou na VPM kladeny požadavky (informace o kvalifikačních, osobnostních, zdravotních a pracovníc</w:t>
            </w:r>
            <w:r w:rsidR="00506E2B">
              <w:rPr>
                <w:rFonts w:eastAsia="Times New Roman" w:cs="Arial"/>
                <w:color w:val="000000"/>
                <w:szCs w:val="24"/>
                <w:lang w:eastAsia="cs-CZ"/>
              </w:rPr>
              <w:t xml:space="preserve">h podmínkách, o průměrné mzdě). </w:t>
            </w:r>
            <w:r w:rsidRPr="00513E71">
              <w:rPr>
                <w:rFonts w:eastAsia="Times New Roman" w:cs="Arial"/>
                <w:color w:val="000000"/>
                <w:szCs w:val="24"/>
                <w:lang w:eastAsia="cs-CZ"/>
              </w:rPr>
              <w:t>Využívání NSK umožňuje zájemcům získat celostátně uznávané osvědčení o jejich profesní kvalifikaci, aniž by museli dlouhou dobu studovat.</w:t>
            </w:r>
          </w:p>
        </w:tc>
      </w:tr>
      <w:tr w:rsidR="00513E71" w:rsidRPr="00513E71" w:rsidTr="00B76143">
        <w:trPr>
          <w:trHeight w:val="1280"/>
        </w:trPr>
        <w:tc>
          <w:tcPr>
            <w:tcW w:w="568" w:type="dxa"/>
            <w:gridSpan w:val="3"/>
            <w:vMerge/>
            <w:tcBorders>
              <w:top w:val="nil"/>
              <w:left w:val="single" w:sz="8" w:space="0" w:color="auto"/>
              <w:bottom w:val="single" w:sz="8" w:space="0" w:color="000000"/>
              <w:right w:val="single" w:sz="8" w:space="0" w:color="auto"/>
            </w:tcBorders>
            <w:vAlign w:val="center"/>
            <w:hideMark/>
          </w:tcPr>
          <w:p w:rsidR="00513E71" w:rsidRPr="00513E71" w:rsidRDefault="00513E71" w:rsidP="00513E71">
            <w:pPr>
              <w:spacing w:line="240" w:lineRule="auto"/>
              <w:jc w:val="left"/>
              <w:rPr>
                <w:rFonts w:eastAsia="Times New Roman" w:cs="Arial"/>
                <w:b/>
                <w:bCs/>
                <w:color w:val="000000"/>
                <w:szCs w:val="24"/>
                <w:lang w:eastAsia="cs-CZ"/>
              </w:rPr>
            </w:pPr>
          </w:p>
        </w:tc>
        <w:tc>
          <w:tcPr>
            <w:tcW w:w="567" w:type="dxa"/>
            <w:gridSpan w:val="3"/>
            <w:tcBorders>
              <w:top w:val="single" w:sz="4" w:space="0" w:color="auto"/>
              <w:left w:val="nil"/>
              <w:bottom w:val="single" w:sz="8" w:space="0" w:color="auto"/>
              <w:right w:val="single" w:sz="4" w:space="0" w:color="auto"/>
            </w:tcBorders>
            <w:shd w:val="clear" w:color="auto" w:fill="auto"/>
            <w:textDirection w:val="btLr"/>
            <w:vAlign w:val="center"/>
            <w:hideMark/>
          </w:tcPr>
          <w:p w:rsidR="00513E71" w:rsidRPr="00513E71" w:rsidRDefault="00513E71" w:rsidP="00513E71">
            <w:pPr>
              <w:spacing w:line="240" w:lineRule="auto"/>
              <w:jc w:val="center"/>
              <w:rPr>
                <w:rFonts w:eastAsia="Times New Roman" w:cs="Arial"/>
                <w:color w:val="000000"/>
                <w:szCs w:val="24"/>
                <w:lang w:eastAsia="cs-CZ"/>
              </w:rPr>
            </w:pPr>
            <w:r w:rsidRPr="00513E71">
              <w:rPr>
                <w:rFonts w:eastAsia="Times New Roman" w:cs="Arial"/>
                <w:color w:val="000000"/>
                <w:szCs w:val="24"/>
                <w:lang w:eastAsia="cs-CZ"/>
              </w:rPr>
              <w:t>sledované období</w:t>
            </w:r>
          </w:p>
        </w:tc>
        <w:tc>
          <w:tcPr>
            <w:tcW w:w="12944" w:type="dxa"/>
            <w:gridSpan w:val="16"/>
            <w:tcBorders>
              <w:top w:val="single" w:sz="4" w:space="0" w:color="auto"/>
              <w:left w:val="nil"/>
              <w:bottom w:val="single" w:sz="8" w:space="0" w:color="auto"/>
              <w:right w:val="single" w:sz="8" w:space="0" w:color="000000"/>
            </w:tcBorders>
            <w:shd w:val="clear" w:color="auto" w:fill="auto"/>
            <w:hideMark/>
          </w:tcPr>
          <w:p w:rsidR="00513E71" w:rsidRPr="00513E71" w:rsidRDefault="00513E71" w:rsidP="00EF1712">
            <w:pPr>
              <w:spacing w:before="120" w:after="120" w:line="240" w:lineRule="auto"/>
              <w:rPr>
                <w:rFonts w:eastAsia="Times New Roman" w:cs="Arial"/>
                <w:color w:val="000000"/>
                <w:szCs w:val="24"/>
                <w:lang w:eastAsia="cs-CZ"/>
              </w:rPr>
            </w:pPr>
            <w:r w:rsidRPr="00513E71">
              <w:rPr>
                <w:rFonts w:eastAsia="Times New Roman" w:cs="Arial"/>
                <w:color w:val="000000"/>
                <w:szCs w:val="24"/>
                <w:lang w:eastAsia="cs-CZ"/>
              </w:rPr>
              <w:t xml:space="preserve">V roce 2016 ÚP ČR realizoval celkem 103 seminářů pro zaměstnavatele a celkem 66 </w:t>
            </w:r>
            <w:proofErr w:type="spellStart"/>
            <w:r w:rsidRPr="00513E71">
              <w:rPr>
                <w:rFonts w:eastAsia="Times New Roman" w:cs="Arial"/>
                <w:color w:val="000000"/>
                <w:szCs w:val="24"/>
                <w:lang w:eastAsia="cs-CZ"/>
              </w:rPr>
              <w:t>miniburz</w:t>
            </w:r>
            <w:proofErr w:type="spellEnd"/>
            <w:r w:rsidRPr="00513E71">
              <w:rPr>
                <w:rFonts w:eastAsia="Times New Roman" w:cs="Arial"/>
                <w:color w:val="000000"/>
                <w:szCs w:val="24"/>
                <w:lang w:eastAsia="cs-CZ"/>
              </w:rPr>
              <w:t xml:space="preserve"> a burz práce. </w:t>
            </w:r>
            <w:proofErr w:type="spellStart"/>
            <w:r w:rsidRPr="00513E71">
              <w:rPr>
                <w:rFonts w:eastAsia="Times New Roman" w:cs="Arial"/>
                <w:color w:val="000000"/>
                <w:szCs w:val="24"/>
                <w:lang w:eastAsia="cs-CZ"/>
              </w:rPr>
              <w:t>Miniburzy</w:t>
            </w:r>
            <w:proofErr w:type="spellEnd"/>
            <w:r w:rsidRPr="00513E71">
              <w:rPr>
                <w:rFonts w:eastAsia="Times New Roman" w:cs="Arial"/>
                <w:color w:val="000000"/>
                <w:szCs w:val="24"/>
                <w:lang w:eastAsia="cs-CZ"/>
              </w:rPr>
              <w:t xml:space="preserve"> jsou zaměřené na konkrétní profesi nebo odvětví a zpravidla jsou menšího rozsahu než burzy práce. Burzy práce nebývají omezeny rozsahem ani zaměřením. Na </w:t>
            </w:r>
            <w:proofErr w:type="spellStart"/>
            <w:r w:rsidRPr="00513E71">
              <w:rPr>
                <w:rFonts w:eastAsia="Times New Roman" w:cs="Arial"/>
                <w:color w:val="000000"/>
                <w:szCs w:val="24"/>
                <w:lang w:eastAsia="cs-CZ"/>
              </w:rPr>
              <w:t>miniburzy</w:t>
            </w:r>
            <w:proofErr w:type="spellEnd"/>
            <w:r w:rsidRPr="00513E71">
              <w:rPr>
                <w:rFonts w:eastAsia="Times New Roman" w:cs="Arial"/>
                <w:color w:val="000000"/>
                <w:szCs w:val="24"/>
                <w:lang w:eastAsia="cs-CZ"/>
              </w:rPr>
              <w:t xml:space="preserve"> a burzy práce jsou zváni</w:t>
            </w:r>
            <w:r w:rsidR="00EF1712">
              <w:rPr>
                <w:rFonts w:eastAsia="Times New Roman" w:cs="Arial"/>
                <w:color w:val="000000"/>
                <w:szCs w:val="24"/>
                <w:lang w:eastAsia="cs-CZ"/>
              </w:rPr>
              <w:t xml:space="preserve"> především uchazeči a zájemci o </w:t>
            </w:r>
            <w:r w:rsidRPr="00513E71">
              <w:rPr>
                <w:rFonts w:eastAsia="Times New Roman" w:cs="Arial"/>
                <w:color w:val="000000"/>
                <w:szCs w:val="24"/>
                <w:lang w:eastAsia="cs-CZ"/>
              </w:rPr>
              <w:t>zaměstnání, žáci a absolventi škol, ale i široká veřejnost.</w:t>
            </w:r>
          </w:p>
        </w:tc>
      </w:tr>
    </w:tbl>
    <w:p w:rsidR="00EF1712" w:rsidRDefault="00EF1712"/>
    <w:p w:rsidR="00EF1712" w:rsidRDefault="00EF1712"/>
    <w:p w:rsidR="00EF1712" w:rsidRDefault="00EF1712"/>
    <w:p w:rsidR="004540BE" w:rsidRDefault="004540BE"/>
    <w:p w:rsidR="00EF1712" w:rsidRDefault="00EF1712"/>
    <w:tbl>
      <w:tblPr>
        <w:tblW w:w="14221" w:type="dxa"/>
        <w:tblInd w:w="-214" w:type="dxa"/>
        <w:tblLayout w:type="fixed"/>
        <w:tblCellMar>
          <w:left w:w="70" w:type="dxa"/>
          <w:right w:w="70" w:type="dxa"/>
        </w:tblCellMar>
        <w:tblLook w:val="04A0" w:firstRow="1" w:lastRow="0" w:firstColumn="1" w:lastColumn="0" w:noHBand="0" w:noVBand="1"/>
      </w:tblPr>
      <w:tblGrid>
        <w:gridCol w:w="142"/>
        <w:gridCol w:w="426"/>
        <w:gridCol w:w="142"/>
        <w:gridCol w:w="283"/>
        <w:gridCol w:w="142"/>
        <w:gridCol w:w="142"/>
        <w:gridCol w:w="416"/>
        <w:gridCol w:w="1285"/>
        <w:gridCol w:w="48"/>
        <w:gridCol w:w="880"/>
        <w:gridCol w:w="48"/>
        <w:gridCol w:w="1398"/>
        <w:gridCol w:w="48"/>
        <w:gridCol w:w="2611"/>
        <w:gridCol w:w="48"/>
        <w:gridCol w:w="160"/>
        <w:gridCol w:w="1979"/>
        <w:gridCol w:w="9"/>
        <w:gridCol w:w="757"/>
        <w:gridCol w:w="944"/>
        <w:gridCol w:w="142"/>
        <w:gridCol w:w="189"/>
        <w:gridCol w:w="1937"/>
        <w:gridCol w:w="45"/>
      </w:tblGrid>
      <w:tr w:rsidR="00F14D34" w:rsidRPr="00513E71" w:rsidTr="001879FC">
        <w:trPr>
          <w:gridBefore w:val="1"/>
          <w:wBefore w:w="142" w:type="dxa"/>
          <w:trHeight w:val="285"/>
        </w:trPr>
        <w:tc>
          <w:tcPr>
            <w:tcW w:w="568" w:type="dxa"/>
            <w:gridSpan w:val="2"/>
            <w:tcBorders>
              <w:top w:val="single" w:sz="8" w:space="0" w:color="auto"/>
              <w:left w:val="single" w:sz="8" w:space="0" w:color="auto"/>
              <w:bottom w:val="single" w:sz="8" w:space="0" w:color="auto"/>
              <w:right w:val="nil"/>
            </w:tcBorders>
            <w:shd w:val="clear" w:color="000000" w:fill="FDE9D9"/>
            <w:noWrap/>
            <w:vAlign w:val="center"/>
            <w:hideMark/>
          </w:tcPr>
          <w:p w:rsidR="00513E71" w:rsidRPr="00513E71" w:rsidRDefault="00513E71" w:rsidP="00513E71">
            <w:pPr>
              <w:spacing w:line="240" w:lineRule="auto"/>
              <w:jc w:val="center"/>
              <w:rPr>
                <w:rFonts w:eastAsia="Times New Roman" w:cs="Arial"/>
                <w:b/>
                <w:bCs/>
                <w:color w:val="000000"/>
                <w:szCs w:val="24"/>
                <w:lang w:eastAsia="cs-CZ"/>
              </w:rPr>
            </w:pPr>
            <w:r w:rsidRPr="00513E71">
              <w:rPr>
                <w:rFonts w:eastAsia="Times New Roman" w:cs="Arial"/>
                <w:b/>
                <w:bCs/>
                <w:color w:val="000000"/>
                <w:szCs w:val="24"/>
                <w:lang w:eastAsia="cs-CZ"/>
              </w:rPr>
              <w:t>3.3</w:t>
            </w:r>
          </w:p>
        </w:tc>
        <w:tc>
          <w:tcPr>
            <w:tcW w:w="567" w:type="dxa"/>
            <w:gridSpan w:val="3"/>
            <w:tcBorders>
              <w:top w:val="single" w:sz="8" w:space="0" w:color="auto"/>
              <w:left w:val="single" w:sz="8" w:space="0" w:color="auto"/>
              <w:bottom w:val="single" w:sz="4" w:space="0" w:color="auto"/>
              <w:right w:val="nil"/>
            </w:tcBorders>
            <w:shd w:val="clear" w:color="auto" w:fill="auto"/>
            <w:noWrap/>
            <w:vAlign w:val="center"/>
            <w:hideMark/>
          </w:tcPr>
          <w:p w:rsidR="00513E71" w:rsidRPr="00513E71" w:rsidRDefault="00513E71" w:rsidP="00513E71">
            <w:pPr>
              <w:spacing w:line="240" w:lineRule="auto"/>
              <w:jc w:val="right"/>
              <w:rPr>
                <w:rFonts w:eastAsia="Times New Roman" w:cs="Arial"/>
                <w:b/>
                <w:bCs/>
                <w:color w:val="000000"/>
                <w:szCs w:val="24"/>
                <w:lang w:eastAsia="cs-CZ"/>
              </w:rPr>
            </w:pPr>
            <w:r w:rsidRPr="00513E71">
              <w:rPr>
                <w:rFonts w:eastAsia="Times New Roman" w:cs="Arial"/>
                <w:b/>
                <w:bCs/>
                <w:color w:val="000000"/>
                <w:szCs w:val="24"/>
                <w:lang w:eastAsia="cs-CZ"/>
              </w:rPr>
              <w:t>T:</w:t>
            </w:r>
          </w:p>
        </w:tc>
        <w:tc>
          <w:tcPr>
            <w:tcW w:w="1749" w:type="dxa"/>
            <w:gridSpan w:val="3"/>
            <w:tcBorders>
              <w:top w:val="single" w:sz="8" w:space="0" w:color="auto"/>
              <w:left w:val="nil"/>
              <w:bottom w:val="single" w:sz="4" w:space="0" w:color="auto"/>
              <w:right w:val="nil"/>
            </w:tcBorders>
            <w:shd w:val="clear" w:color="auto" w:fill="auto"/>
            <w:noWrap/>
            <w:vAlign w:val="center"/>
            <w:hideMark/>
          </w:tcPr>
          <w:p w:rsidR="00513E71" w:rsidRPr="00513E71" w:rsidRDefault="00513E71" w:rsidP="00513E71">
            <w:pPr>
              <w:spacing w:line="240" w:lineRule="auto"/>
              <w:jc w:val="center"/>
              <w:rPr>
                <w:rFonts w:eastAsia="Times New Roman" w:cs="Arial"/>
                <w:b/>
                <w:bCs/>
                <w:color w:val="000000"/>
                <w:szCs w:val="24"/>
                <w:lang w:eastAsia="cs-CZ"/>
              </w:rPr>
            </w:pPr>
            <w:r w:rsidRPr="00513E71">
              <w:rPr>
                <w:rFonts w:eastAsia="Times New Roman" w:cs="Arial"/>
                <w:b/>
                <w:bCs/>
                <w:color w:val="000000"/>
                <w:szCs w:val="24"/>
                <w:lang w:eastAsia="cs-CZ"/>
              </w:rPr>
              <w:t xml:space="preserve">průběžně </w:t>
            </w:r>
          </w:p>
        </w:tc>
        <w:tc>
          <w:tcPr>
            <w:tcW w:w="928" w:type="dxa"/>
            <w:gridSpan w:val="2"/>
            <w:tcBorders>
              <w:top w:val="single" w:sz="12" w:space="0" w:color="auto"/>
              <w:left w:val="single" w:sz="12" w:space="0" w:color="auto"/>
              <w:bottom w:val="single" w:sz="12" w:space="0" w:color="auto"/>
              <w:right w:val="nil"/>
            </w:tcBorders>
            <w:shd w:val="clear" w:color="auto" w:fill="auto"/>
            <w:noWrap/>
            <w:vAlign w:val="center"/>
            <w:hideMark/>
          </w:tcPr>
          <w:p w:rsidR="00513E71" w:rsidRPr="00513E71" w:rsidRDefault="00513E71" w:rsidP="00513E71">
            <w:pPr>
              <w:spacing w:line="240" w:lineRule="auto"/>
              <w:jc w:val="right"/>
              <w:rPr>
                <w:rFonts w:eastAsia="Times New Roman" w:cs="Arial"/>
                <w:b/>
                <w:bCs/>
                <w:color w:val="000000"/>
                <w:szCs w:val="24"/>
                <w:lang w:eastAsia="cs-CZ"/>
              </w:rPr>
            </w:pPr>
            <w:r w:rsidRPr="00513E71">
              <w:rPr>
                <w:rFonts w:eastAsia="Times New Roman" w:cs="Arial"/>
                <w:b/>
                <w:bCs/>
                <w:color w:val="000000"/>
                <w:szCs w:val="24"/>
                <w:lang w:eastAsia="cs-CZ"/>
              </w:rPr>
              <w:t>gesce:</w:t>
            </w:r>
          </w:p>
        </w:tc>
        <w:tc>
          <w:tcPr>
            <w:tcW w:w="1446" w:type="dxa"/>
            <w:gridSpan w:val="2"/>
            <w:tcBorders>
              <w:top w:val="single" w:sz="12" w:space="0" w:color="auto"/>
              <w:left w:val="nil"/>
              <w:bottom w:val="single" w:sz="8" w:space="0" w:color="auto"/>
              <w:right w:val="single" w:sz="4" w:space="0" w:color="auto"/>
            </w:tcBorders>
            <w:shd w:val="clear" w:color="auto" w:fill="auto"/>
            <w:noWrap/>
            <w:vAlign w:val="center"/>
            <w:hideMark/>
          </w:tcPr>
          <w:p w:rsidR="00513E71" w:rsidRPr="00513E71" w:rsidRDefault="00513E71" w:rsidP="00513E71">
            <w:pPr>
              <w:spacing w:line="240" w:lineRule="auto"/>
              <w:jc w:val="left"/>
              <w:rPr>
                <w:rFonts w:eastAsia="Times New Roman" w:cs="Arial"/>
                <w:b/>
                <w:bCs/>
                <w:color w:val="000000"/>
                <w:szCs w:val="24"/>
                <w:lang w:eastAsia="cs-CZ"/>
              </w:rPr>
            </w:pPr>
            <w:r w:rsidRPr="00513E71">
              <w:rPr>
                <w:rFonts w:eastAsia="Times New Roman" w:cs="Arial"/>
                <w:b/>
                <w:bCs/>
                <w:color w:val="000000"/>
                <w:szCs w:val="24"/>
                <w:lang w:eastAsia="cs-CZ"/>
              </w:rPr>
              <w:t>MPSV</w:t>
            </w:r>
          </w:p>
        </w:tc>
        <w:tc>
          <w:tcPr>
            <w:tcW w:w="2659" w:type="dxa"/>
            <w:gridSpan w:val="2"/>
            <w:tcBorders>
              <w:left w:val="single" w:sz="4" w:space="0" w:color="auto"/>
              <w:bottom w:val="single" w:sz="8" w:space="0" w:color="auto"/>
            </w:tcBorders>
            <w:shd w:val="clear" w:color="auto" w:fill="auto"/>
            <w:noWrap/>
            <w:vAlign w:val="center"/>
          </w:tcPr>
          <w:p w:rsidR="00513E71" w:rsidRPr="00513E71" w:rsidRDefault="00513E71" w:rsidP="00513E71">
            <w:pPr>
              <w:spacing w:line="240" w:lineRule="auto"/>
              <w:jc w:val="right"/>
              <w:rPr>
                <w:rFonts w:eastAsia="Times New Roman" w:cs="Arial"/>
                <w:color w:val="000000"/>
                <w:szCs w:val="24"/>
                <w:lang w:eastAsia="cs-CZ"/>
              </w:rPr>
            </w:pPr>
          </w:p>
        </w:tc>
        <w:tc>
          <w:tcPr>
            <w:tcW w:w="2905" w:type="dxa"/>
            <w:gridSpan w:val="4"/>
            <w:tcBorders>
              <w:bottom w:val="single" w:sz="8" w:space="0" w:color="auto"/>
            </w:tcBorders>
            <w:shd w:val="clear" w:color="auto" w:fill="auto"/>
            <w:noWrap/>
            <w:vAlign w:val="center"/>
          </w:tcPr>
          <w:p w:rsidR="00513E71" w:rsidRPr="00513E71" w:rsidRDefault="00513E71" w:rsidP="00513E71">
            <w:pPr>
              <w:spacing w:line="240" w:lineRule="auto"/>
              <w:jc w:val="right"/>
              <w:rPr>
                <w:rFonts w:eastAsia="Times New Roman" w:cs="Arial"/>
                <w:color w:val="000000"/>
                <w:szCs w:val="24"/>
                <w:lang w:eastAsia="cs-CZ"/>
              </w:rPr>
            </w:pPr>
          </w:p>
        </w:tc>
        <w:tc>
          <w:tcPr>
            <w:tcW w:w="1275" w:type="dxa"/>
            <w:gridSpan w:val="3"/>
            <w:tcBorders>
              <w:bottom w:val="single" w:sz="8" w:space="0" w:color="auto"/>
            </w:tcBorders>
            <w:shd w:val="clear" w:color="auto" w:fill="auto"/>
            <w:noWrap/>
            <w:vAlign w:val="center"/>
          </w:tcPr>
          <w:p w:rsidR="00513E71" w:rsidRPr="00513E71" w:rsidRDefault="00513E71" w:rsidP="00513E71">
            <w:pPr>
              <w:spacing w:line="240" w:lineRule="auto"/>
              <w:jc w:val="right"/>
              <w:rPr>
                <w:rFonts w:eastAsia="Times New Roman" w:cs="Arial"/>
                <w:color w:val="000000"/>
                <w:szCs w:val="24"/>
                <w:lang w:eastAsia="cs-CZ"/>
              </w:rPr>
            </w:pPr>
          </w:p>
        </w:tc>
        <w:tc>
          <w:tcPr>
            <w:tcW w:w="1982" w:type="dxa"/>
            <w:gridSpan w:val="2"/>
            <w:tcBorders>
              <w:bottom w:val="single" w:sz="8" w:space="0" w:color="auto"/>
            </w:tcBorders>
            <w:shd w:val="clear" w:color="auto" w:fill="auto"/>
            <w:noWrap/>
            <w:vAlign w:val="center"/>
          </w:tcPr>
          <w:p w:rsidR="00513E71" w:rsidRPr="00513E71" w:rsidRDefault="00513E71" w:rsidP="00513E71">
            <w:pPr>
              <w:spacing w:line="240" w:lineRule="auto"/>
              <w:jc w:val="right"/>
              <w:rPr>
                <w:rFonts w:eastAsia="Times New Roman" w:cs="Arial"/>
                <w:b/>
                <w:bCs/>
                <w:color w:val="000000"/>
                <w:szCs w:val="24"/>
                <w:lang w:eastAsia="cs-CZ"/>
              </w:rPr>
            </w:pPr>
          </w:p>
        </w:tc>
      </w:tr>
      <w:tr w:rsidR="00EF1712" w:rsidRPr="00513E71" w:rsidTr="001879FC">
        <w:trPr>
          <w:gridBefore w:val="1"/>
          <w:wBefore w:w="142" w:type="dxa"/>
          <w:trHeight w:val="285"/>
        </w:trPr>
        <w:tc>
          <w:tcPr>
            <w:tcW w:w="568" w:type="dxa"/>
            <w:gridSpan w:val="2"/>
            <w:vMerge w:val="restart"/>
            <w:tcBorders>
              <w:top w:val="single" w:sz="8" w:space="0" w:color="auto"/>
              <w:left w:val="single" w:sz="8" w:space="0" w:color="auto"/>
              <w:bottom w:val="single" w:sz="8" w:space="0" w:color="auto"/>
              <w:right w:val="single" w:sz="8" w:space="0" w:color="auto"/>
            </w:tcBorders>
            <w:shd w:val="clear" w:color="000000" w:fill="FDE9D9"/>
            <w:noWrap/>
            <w:textDirection w:val="btLr"/>
            <w:vAlign w:val="center"/>
            <w:hideMark/>
          </w:tcPr>
          <w:p w:rsidR="00513E71" w:rsidRPr="00513E71" w:rsidRDefault="00513E71" w:rsidP="00513E71">
            <w:pPr>
              <w:spacing w:line="240" w:lineRule="auto"/>
              <w:jc w:val="center"/>
              <w:rPr>
                <w:rFonts w:eastAsia="Times New Roman" w:cs="Arial"/>
                <w:b/>
                <w:bCs/>
                <w:color w:val="000000"/>
                <w:szCs w:val="24"/>
                <w:lang w:eastAsia="cs-CZ"/>
              </w:rPr>
            </w:pPr>
            <w:r w:rsidRPr="00513E71">
              <w:rPr>
                <w:rFonts w:eastAsia="Times New Roman" w:cs="Arial"/>
                <w:b/>
                <w:bCs/>
                <w:color w:val="000000"/>
                <w:szCs w:val="24"/>
                <w:lang w:eastAsia="cs-CZ"/>
              </w:rPr>
              <w:t>Koordinace politiky zaměstnanosti a sociální politiky</w:t>
            </w:r>
          </w:p>
        </w:tc>
        <w:tc>
          <w:tcPr>
            <w:tcW w:w="2316" w:type="dxa"/>
            <w:gridSpan w:val="6"/>
            <w:tcBorders>
              <w:top w:val="single" w:sz="4" w:space="0" w:color="auto"/>
              <w:left w:val="single" w:sz="8" w:space="0" w:color="auto"/>
              <w:bottom w:val="double" w:sz="6" w:space="0" w:color="auto"/>
              <w:right w:val="nil"/>
            </w:tcBorders>
            <w:shd w:val="clear" w:color="auto" w:fill="auto"/>
            <w:noWrap/>
            <w:vAlign w:val="center"/>
            <w:hideMark/>
          </w:tcPr>
          <w:p w:rsidR="00513E71" w:rsidRPr="00513E71" w:rsidRDefault="00513E71" w:rsidP="00513E71">
            <w:pPr>
              <w:spacing w:line="240" w:lineRule="auto"/>
              <w:jc w:val="right"/>
              <w:rPr>
                <w:rFonts w:eastAsia="Times New Roman" w:cs="Arial"/>
                <w:b/>
                <w:bCs/>
                <w:color w:val="000000"/>
                <w:szCs w:val="24"/>
                <w:lang w:eastAsia="cs-CZ"/>
              </w:rPr>
            </w:pPr>
            <w:r w:rsidRPr="00513E71">
              <w:rPr>
                <w:rFonts w:eastAsia="Times New Roman" w:cs="Arial"/>
                <w:b/>
                <w:bCs/>
                <w:color w:val="000000"/>
                <w:szCs w:val="24"/>
                <w:lang w:eastAsia="cs-CZ"/>
              </w:rPr>
              <w:t>povaha:</w:t>
            </w:r>
          </w:p>
        </w:tc>
        <w:tc>
          <w:tcPr>
            <w:tcW w:w="928" w:type="dxa"/>
            <w:gridSpan w:val="2"/>
            <w:tcBorders>
              <w:top w:val="nil"/>
              <w:left w:val="nil"/>
              <w:bottom w:val="double" w:sz="6" w:space="0" w:color="auto"/>
              <w:right w:val="double" w:sz="6" w:space="0" w:color="auto"/>
            </w:tcBorders>
            <w:shd w:val="clear" w:color="auto" w:fill="auto"/>
            <w:noWrap/>
            <w:vAlign w:val="center"/>
            <w:hideMark/>
          </w:tcPr>
          <w:p w:rsidR="00513E71" w:rsidRPr="00513E71" w:rsidRDefault="00513E71" w:rsidP="00EF1712">
            <w:pPr>
              <w:spacing w:line="240" w:lineRule="auto"/>
              <w:jc w:val="left"/>
              <w:rPr>
                <w:rFonts w:eastAsia="Times New Roman" w:cs="Arial"/>
                <w:b/>
                <w:bCs/>
                <w:color w:val="000000"/>
                <w:szCs w:val="24"/>
                <w:lang w:eastAsia="cs-CZ"/>
              </w:rPr>
            </w:pPr>
            <w:r w:rsidRPr="00513E71">
              <w:rPr>
                <w:rFonts w:eastAsia="Times New Roman" w:cs="Arial"/>
                <w:b/>
                <w:bCs/>
                <w:color w:val="000000"/>
                <w:szCs w:val="24"/>
                <w:lang w:eastAsia="cs-CZ"/>
              </w:rPr>
              <w:t>N</w:t>
            </w:r>
          </w:p>
        </w:tc>
        <w:tc>
          <w:tcPr>
            <w:tcW w:w="7010" w:type="dxa"/>
            <w:gridSpan w:val="8"/>
            <w:tcBorders>
              <w:top w:val="single" w:sz="8" w:space="0" w:color="auto"/>
              <w:left w:val="nil"/>
              <w:right w:val="nil"/>
            </w:tcBorders>
            <w:shd w:val="clear" w:color="auto" w:fill="auto"/>
            <w:noWrap/>
            <w:vAlign w:val="center"/>
            <w:hideMark/>
          </w:tcPr>
          <w:p w:rsidR="00513E71" w:rsidRPr="00513E71" w:rsidRDefault="00513E71" w:rsidP="00513E71">
            <w:pPr>
              <w:spacing w:line="240" w:lineRule="auto"/>
              <w:jc w:val="center"/>
              <w:rPr>
                <w:rFonts w:eastAsia="Times New Roman" w:cs="Arial"/>
                <w:b/>
                <w:bCs/>
                <w:color w:val="000000"/>
                <w:szCs w:val="24"/>
                <w:u w:val="single"/>
                <w:lang w:eastAsia="cs-CZ"/>
              </w:rPr>
            </w:pPr>
            <w:r w:rsidRPr="00513E71">
              <w:rPr>
                <w:rFonts w:eastAsia="Times New Roman" w:cs="Arial"/>
                <w:b/>
                <w:bCs/>
                <w:color w:val="000000"/>
                <w:szCs w:val="24"/>
                <w:u w:val="single"/>
                <w:lang w:eastAsia="cs-CZ"/>
              </w:rPr>
              <w:t>Popis</w:t>
            </w:r>
          </w:p>
        </w:tc>
        <w:tc>
          <w:tcPr>
            <w:tcW w:w="1275" w:type="dxa"/>
            <w:gridSpan w:val="3"/>
            <w:tcBorders>
              <w:top w:val="single" w:sz="8" w:space="0" w:color="auto"/>
              <w:left w:val="nil"/>
              <w:right w:val="nil"/>
            </w:tcBorders>
            <w:shd w:val="clear" w:color="auto" w:fill="auto"/>
            <w:noWrap/>
            <w:vAlign w:val="center"/>
          </w:tcPr>
          <w:p w:rsidR="00513E71" w:rsidRPr="00513E71" w:rsidRDefault="00513E71" w:rsidP="00513E71">
            <w:pPr>
              <w:spacing w:line="240" w:lineRule="auto"/>
              <w:jc w:val="center"/>
              <w:rPr>
                <w:rFonts w:eastAsia="Times New Roman" w:cs="Arial"/>
                <w:b/>
                <w:bCs/>
                <w:color w:val="000000"/>
                <w:szCs w:val="24"/>
                <w:u w:val="single"/>
                <w:lang w:eastAsia="cs-CZ"/>
              </w:rPr>
            </w:pPr>
          </w:p>
        </w:tc>
        <w:tc>
          <w:tcPr>
            <w:tcW w:w="1982" w:type="dxa"/>
            <w:gridSpan w:val="2"/>
            <w:tcBorders>
              <w:top w:val="single" w:sz="8" w:space="0" w:color="auto"/>
              <w:left w:val="nil"/>
              <w:right w:val="single" w:sz="8" w:space="0" w:color="auto"/>
            </w:tcBorders>
            <w:shd w:val="clear" w:color="auto" w:fill="auto"/>
            <w:noWrap/>
            <w:vAlign w:val="center"/>
          </w:tcPr>
          <w:p w:rsidR="00513E71" w:rsidRPr="00513E71" w:rsidRDefault="00513E71" w:rsidP="00513E71">
            <w:pPr>
              <w:spacing w:line="240" w:lineRule="auto"/>
              <w:jc w:val="center"/>
              <w:rPr>
                <w:rFonts w:eastAsia="Times New Roman" w:cs="Arial"/>
                <w:b/>
                <w:bCs/>
                <w:color w:val="000000"/>
                <w:szCs w:val="24"/>
                <w:u w:val="single"/>
                <w:lang w:eastAsia="cs-CZ"/>
              </w:rPr>
            </w:pPr>
          </w:p>
        </w:tc>
      </w:tr>
      <w:tr w:rsidR="00513E71" w:rsidRPr="00513E71" w:rsidTr="001879FC">
        <w:trPr>
          <w:gridBefore w:val="1"/>
          <w:wBefore w:w="142" w:type="dxa"/>
          <w:trHeight w:val="630"/>
        </w:trPr>
        <w:tc>
          <w:tcPr>
            <w:tcW w:w="568" w:type="dxa"/>
            <w:gridSpan w:val="2"/>
            <w:vMerge/>
            <w:tcBorders>
              <w:top w:val="nil"/>
              <w:left w:val="single" w:sz="8" w:space="0" w:color="auto"/>
              <w:bottom w:val="single" w:sz="8" w:space="0" w:color="auto"/>
              <w:right w:val="single" w:sz="8" w:space="0" w:color="auto"/>
            </w:tcBorders>
            <w:vAlign w:val="center"/>
            <w:hideMark/>
          </w:tcPr>
          <w:p w:rsidR="00513E71" w:rsidRPr="00513E71" w:rsidRDefault="00513E71" w:rsidP="00513E71">
            <w:pPr>
              <w:spacing w:line="240" w:lineRule="auto"/>
              <w:jc w:val="left"/>
              <w:rPr>
                <w:rFonts w:eastAsia="Times New Roman" w:cs="Arial"/>
                <w:b/>
                <w:bCs/>
                <w:color w:val="000000"/>
                <w:szCs w:val="24"/>
                <w:lang w:eastAsia="cs-CZ"/>
              </w:rPr>
            </w:pPr>
          </w:p>
        </w:tc>
        <w:tc>
          <w:tcPr>
            <w:tcW w:w="13511" w:type="dxa"/>
            <w:gridSpan w:val="21"/>
            <w:tcBorders>
              <w:top w:val="nil"/>
              <w:left w:val="single" w:sz="8" w:space="0" w:color="auto"/>
              <w:bottom w:val="double" w:sz="6" w:space="0" w:color="auto"/>
              <w:right w:val="single" w:sz="8" w:space="0" w:color="000000"/>
            </w:tcBorders>
            <w:shd w:val="clear" w:color="auto" w:fill="auto"/>
            <w:vAlign w:val="center"/>
            <w:hideMark/>
          </w:tcPr>
          <w:p w:rsidR="00513E71" w:rsidRPr="00513E71" w:rsidRDefault="00513E71" w:rsidP="00EF1712">
            <w:pPr>
              <w:spacing w:before="120" w:after="120" w:line="240" w:lineRule="auto"/>
              <w:rPr>
                <w:rFonts w:eastAsia="Times New Roman" w:cs="Arial"/>
                <w:color w:val="000000"/>
                <w:szCs w:val="24"/>
                <w:lang w:eastAsia="cs-CZ"/>
              </w:rPr>
            </w:pPr>
            <w:r w:rsidRPr="00513E71">
              <w:rPr>
                <w:rFonts w:eastAsia="Times New Roman" w:cs="Arial"/>
                <w:color w:val="000000"/>
                <w:szCs w:val="24"/>
                <w:lang w:eastAsia="cs-CZ"/>
              </w:rPr>
              <w:t>Zvýšit spolupráci v rámci ÚP ČR mezi oblastí zprostředkování zaměstnání a nepojistných sociálních dávek s cílem koordinovat činnost jak na poli politiky zaměstnanosti, tak sociální politiky. Koordinovaně identifikovat a řešit možné bariéry při vstupu na trh práce ze strany pracovní síly.</w:t>
            </w:r>
          </w:p>
        </w:tc>
      </w:tr>
      <w:tr w:rsidR="00375D0A" w:rsidRPr="00513E71" w:rsidTr="009B7658">
        <w:trPr>
          <w:gridBefore w:val="1"/>
          <w:wBefore w:w="142" w:type="dxa"/>
          <w:trHeight w:val="285"/>
        </w:trPr>
        <w:tc>
          <w:tcPr>
            <w:tcW w:w="568" w:type="dxa"/>
            <w:gridSpan w:val="2"/>
            <w:vMerge/>
            <w:tcBorders>
              <w:top w:val="nil"/>
              <w:left w:val="single" w:sz="8" w:space="0" w:color="auto"/>
              <w:bottom w:val="single" w:sz="8" w:space="0" w:color="auto"/>
              <w:right w:val="double" w:sz="6" w:space="0" w:color="auto"/>
            </w:tcBorders>
            <w:vAlign w:val="center"/>
            <w:hideMark/>
          </w:tcPr>
          <w:p w:rsidR="00375D0A" w:rsidRPr="00513E71" w:rsidRDefault="00375D0A" w:rsidP="00513E71">
            <w:pPr>
              <w:spacing w:line="240" w:lineRule="auto"/>
              <w:jc w:val="left"/>
              <w:rPr>
                <w:rFonts w:eastAsia="Times New Roman" w:cs="Arial"/>
                <w:b/>
                <w:bCs/>
                <w:color w:val="000000"/>
                <w:szCs w:val="24"/>
                <w:lang w:eastAsia="cs-CZ"/>
              </w:rPr>
            </w:pPr>
          </w:p>
        </w:tc>
        <w:tc>
          <w:tcPr>
            <w:tcW w:w="3244" w:type="dxa"/>
            <w:gridSpan w:val="8"/>
            <w:tcBorders>
              <w:top w:val="double" w:sz="6" w:space="0" w:color="auto"/>
              <w:left w:val="double" w:sz="6" w:space="0" w:color="auto"/>
              <w:bottom w:val="double" w:sz="6" w:space="0" w:color="auto"/>
              <w:right w:val="double" w:sz="6" w:space="0" w:color="auto"/>
            </w:tcBorders>
            <w:shd w:val="clear" w:color="000000" w:fill="F2DCDB"/>
            <w:noWrap/>
            <w:vAlign w:val="center"/>
            <w:hideMark/>
          </w:tcPr>
          <w:p w:rsidR="00375D0A" w:rsidRPr="00513E71" w:rsidRDefault="00375D0A" w:rsidP="00375D0A">
            <w:pPr>
              <w:spacing w:line="240" w:lineRule="auto"/>
              <w:jc w:val="center"/>
              <w:rPr>
                <w:rFonts w:eastAsia="Times New Roman" w:cs="Arial"/>
                <w:b/>
                <w:bCs/>
                <w:color w:val="000000"/>
                <w:szCs w:val="24"/>
                <w:lang w:eastAsia="cs-CZ"/>
              </w:rPr>
            </w:pPr>
            <w:r w:rsidRPr="00513E71">
              <w:rPr>
                <w:rFonts w:eastAsia="Times New Roman" w:cs="Arial"/>
                <w:b/>
                <w:bCs/>
                <w:color w:val="000000"/>
                <w:szCs w:val="24"/>
                <w:lang w:eastAsia="cs-CZ"/>
              </w:rPr>
              <w:t>Řešeno</w:t>
            </w:r>
          </w:p>
        </w:tc>
        <w:tc>
          <w:tcPr>
            <w:tcW w:w="7010" w:type="dxa"/>
            <w:gridSpan w:val="8"/>
            <w:tcBorders>
              <w:top w:val="double" w:sz="6" w:space="0" w:color="auto"/>
              <w:left w:val="double" w:sz="6" w:space="0" w:color="auto"/>
              <w:bottom w:val="nil"/>
              <w:right w:val="nil"/>
            </w:tcBorders>
            <w:shd w:val="clear" w:color="auto" w:fill="auto"/>
            <w:vAlign w:val="center"/>
            <w:hideMark/>
          </w:tcPr>
          <w:p w:rsidR="00375D0A" w:rsidRPr="00513E71" w:rsidRDefault="00375D0A" w:rsidP="00513E71">
            <w:pPr>
              <w:spacing w:line="240" w:lineRule="auto"/>
              <w:jc w:val="center"/>
              <w:rPr>
                <w:rFonts w:eastAsia="Times New Roman" w:cs="Arial"/>
                <w:b/>
                <w:bCs/>
                <w:color w:val="000000"/>
                <w:szCs w:val="24"/>
                <w:u w:val="single"/>
                <w:lang w:eastAsia="cs-CZ"/>
              </w:rPr>
            </w:pPr>
            <w:r w:rsidRPr="00513E71">
              <w:rPr>
                <w:rFonts w:eastAsia="Times New Roman" w:cs="Arial"/>
                <w:b/>
                <w:bCs/>
                <w:color w:val="000000"/>
                <w:szCs w:val="24"/>
                <w:u w:val="single"/>
                <w:lang w:eastAsia="cs-CZ"/>
              </w:rPr>
              <w:t>Plnění</w:t>
            </w:r>
          </w:p>
        </w:tc>
        <w:tc>
          <w:tcPr>
            <w:tcW w:w="1275" w:type="dxa"/>
            <w:gridSpan w:val="3"/>
            <w:tcBorders>
              <w:top w:val="nil"/>
              <w:left w:val="single" w:sz="8" w:space="0" w:color="auto"/>
              <w:bottom w:val="single" w:sz="8" w:space="0" w:color="auto"/>
              <w:right w:val="nil"/>
            </w:tcBorders>
            <w:shd w:val="clear" w:color="auto" w:fill="auto"/>
            <w:vAlign w:val="center"/>
            <w:hideMark/>
          </w:tcPr>
          <w:p w:rsidR="00375D0A" w:rsidRPr="00513E71" w:rsidRDefault="00375D0A" w:rsidP="00513E71">
            <w:pPr>
              <w:spacing w:line="240" w:lineRule="auto"/>
              <w:jc w:val="right"/>
              <w:rPr>
                <w:rFonts w:eastAsia="Times New Roman" w:cs="Arial"/>
                <w:color w:val="000000"/>
                <w:szCs w:val="24"/>
                <w:lang w:eastAsia="cs-CZ"/>
              </w:rPr>
            </w:pPr>
            <w:r w:rsidRPr="00513E71">
              <w:rPr>
                <w:rFonts w:eastAsia="Times New Roman" w:cs="Arial"/>
                <w:color w:val="000000"/>
                <w:szCs w:val="24"/>
                <w:lang w:eastAsia="cs-CZ"/>
              </w:rPr>
              <w:t>k datu</w:t>
            </w:r>
          </w:p>
        </w:tc>
        <w:tc>
          <w:tcPr>
            <w:tcW w:w="1982" w:type="dxa"/>
            <w:gridSpan w:val="2"/>
            <w:tcBorders>
              <w:top w:val="nil"/>
              <w:left w:val="nil"/>
              <w:bottom w:val="single" w:sz="8" w:space="0" w:color="auto"/>
              <w:right w:val="single" w:sz="8" w:space="0" w:color="auto"/>
            </w:tcBorders>
            <w:shd w:val="clear" w:color="auto" w:fill="auto"/>
            <w:vAlign w:val="center"/>
            <w:hideMark/>
          </w:tcPr>
          <w:p w:rsidR="00375D0A" w:rsidRPr="00513E71" w:rsidRDefault="00375D0A" w:rsidP="00513E71">
            <w:pPr>
              <w:spacing w:line="240" w:lineRule="auto"/>
              <w:jc w:val="center"/>
              <w:rPr>
                <w:rFonts w:eastAsia="Times New Roman" w:cs="Arial"/>
                <w:b/>
                <w:bCs/>
                <w:color w:val="000000"/>
                <w:szCs w:val="24"/>
                <w:u w:val="single"/>
                <w:lang w:eastAsia="cs-CZ"/>
              </w:rPr>
            </w:pPr>
            <w:r w:rsidRPr="00513E71">
              <w:rPr>
                <w:rFonts w:eastAsia="Times New Roman" w:cs="Arial"/>
                <w:b/>
                <w:bCs/>
                <w:color w:val="000000"/>
                <w:szCs w:val="24"/>
                <w:u w:val="single"/>
                <w:lang w:eastAsia="cs-CZ"/>
              </w:rPr>
              <w:t>31.</w:t>
            </w:r>
            <w:r>
              <w:rPr>
                <w:rFonts w:eastAsia="Times New Roman" w:cs="Arial"/>
                <w:b/>
                <w:bCs/>
                <w:color w:val="000000"/>
                <w:szCs w:val="24"/>
                <w:u w:val="single"/>
                <w:lang w:eastAsia="cs-CZ"/>
              </w:rPr>
              <w:t xml:space="preserve"> </w:t>
            </w:r>
            <w:r w:rsidRPr="00513E71">
              <w:rPr>
                <w:rFonts w:eastAsia="Times New Roman" w:cs="Arial"/>
                <w:b/>
                <w:bCs/>
                <w:color w:val="000000"/>
                <w:szCs w:val="24"/>
                <w:u w:val="single"/>
                <w:lang w:eastAsia="cs-CZ"/>
              </w:rPr>
              <w:t>12.</w:t>
            </w:r>
            <w:r>
              <w:rPr>
                <w:rFonts w:eastAsia="Times New Roman" w:cs="Arial"/>
                <w:b/>
                <w:bCs/>
                <w:color w:val="000000"/>
                <w:szCs w:val="24"/>
                <w:u w:val="single"/>
                <w:lang w:eastAsia="cs-CZ"/>
              </w:rPr>
              <w:t xml:space="preserve"> </w:t>
            </w:r>
            <w:r w:rsidRPr="00513E71">
              <w:rPr>
                <w:rFonts w:eastAsia="Times New Roman" w:cs="Arial"/>
                <w:b/>
                <w:bCs/>
                <w:color w:val="000000"/>
                <w:szCs w:val="24"/>
                <w:u w:val="single"/>
                <w:lang w:eastAsia="cs-CZ"/>
              </w:rPr>
              <w:t>2016</w:t>
            </w:r>
          </w:p>
        </w:tc>
      </w:tr>
      <w:tr w:rsidR="00513E71" w:rsidRPr="00513E71" w:rsidTr="001879FC">
        <w:trPr>
          <w:gridBefore w:val="1"/>
          <w:wBefore w:w="142" w:type="dxa"/>
          <w:trHeight w:val="1305"/>
        </w:trPr>
        <w:tc>
          <w:tcPr>
            <w:tcW w:w="568" w:type="dxa"/>
            <w:gridSpan w:val="2"/>
            <w:vMerge/>
            <w:tcBorders>
              <w:top w:val="nil"/>
              <w:left w:val="single" w:sz="8" w:space="0" w:color="auto"/>
              <w:bottom w:val="single" w:sz="8" w:space="0" w:color="auto"/>
              <w:right w:val="single" w:sz="8" w:space="0" w:color="auto"/>
            </w:tcBorders>
            <w:vAlign w:val="center"/>
            <w:hideMark/>
          </w:tcPr>
          <w:p w:rsidR="00513E71" w:rsidRPr="00513E71" w:rsidRDefault="00513E71" w:rsidP="00513E71">
            <w:pPr>
              <w:spacing w:line="240" w:lineRule="auto"/>
              <w:jc w:val="left"/>
              <w:rPr>
                <w:rFonts w:eastAsia="Times New Roman" w:cs="Arial"/>
                <w:b/>
                <w:bCs/>
                <w:color w:val="000000"/>
                <w:szCs w:val="24"/>
                <w:lang w:eastAsia="cs-CZ"/>
              </w:rPr>
            </w:pPr>
          </w:p>
        </w:tc>
        <w:tc>
          <w:tcPr>
            <w:tcW w:w="567" w:type="dxa"/>
            <w:gridSpan w:val="3"/>
            <w:tcBorders>
              <w:top w:val="nil"/>
              <w:left w:val="single" w:sz="8" w:space="0" w:color="auto"/>
              <w:bottom w:val="nil"/>
              <w:right w:val="single" w:sz="4" w:space="0" w:color="auto"/>
            </w:tcBorders>
            <w:shd w:val="clear" w:color="auto" w:fill="auto"/>
            <w:textDirection w:val="btLr"/>
            <w:vAlign w:val="center"/>
            <w:hideMark/>
          </w:tcPr>
          <w:p w:rsidR="00513E71" w:rsidRPr="00513E71" w:rsidRDefault="00513E71" w:rsidP="00513E71">
            <w:pPr>
              <w:spacing w:line="240" w:lineRule="auto"/>
              <w:jc w:val="center"/>
              <w:rPr>
                <w:rFonts w:eastAsia="Times New Roman" w:cs="Arial"/>
                <w:color w:val="000000"/>
                <w:szCs w:val="24"/>
                <w:lang w:eastAsia="cs-CZ"/>
              </w:rPr>
            </w:pPr>
            <w:r w:rsidRPr="00513E71">
              <w:rPr>
                <w:rFonts w:eastAsia="Times New Roman" w:cs="Arial"/>
                <w:color w:val="000000"/>
                <w:szCs w:val="24"/>
                <w:lang w:eastAsia="cs-CZ"/>
              </w:rPr>
              <w:t xml:space="preserve">předchozí </w:t>
            </w:r>
          </w:p>
        </w:tc>
        <w:tc>
          <w:tcPr>
            <w:tcW w:w="12944" w:type="dxa"/>
            <w:gridSpan w:val="18"/>
            <w:tcBorders>
              <w:top w:val="nil"/>
              <w:left w:val="nil"/>
              <w:bottom w:val="nil"/>
              <w:right w:val="single" w:sz="8" w:space="0" w:color="000000"/>
            </w:tcBorders>
            <w:shd w:val="clear" w:color="auto" w:fill="auto"/>
            <w:vAlign w:val="center"/>
            <w:hideMark/>
          </w:tcPr>
          <w:p w:rsidR="00513E71" w:rsidRPr="00513E71" w:rsidRDefault="00513E71" w:rsidP="00EF1712">
            <w:pPr>
              <w:spacing w:before="120" w:after="120" w:line="240" w:lineRule="auto"/>
              <w:rPr>
                <w:rFonts w:eastAsia="Times New Roman" w:cs="Arial"/>
                <w:color w:val="000000"/>
                <w:szCs w:val="24"/>
                <w:lang w:eastAsia="cs-CZ"/>
              </w:rPr>
            </w:pPr>
            <w:r w:rsidRPr="00513E71">
              <w:rPr>
                <w:rFonts w:eastAsia="Times New Roman" w:cs="Arial"/>
                <w:color w:val="000000"/>
                <w:szCs w:val="24"/>
                <w:lang w:eastAsia="cs-CZ"/>
              </w:rPr>
              <w:t xml:space="preserve">Od února tohoto roku </w:t>
            </w:r>
            <w:r w:rsidR="00EF1712">
              <w:rPr>
                <w:rFonts w:eastAsia="Times New Roman" w:cs="Arial"/>
                <w:color w:val="000000"/>
                <w:szCs w:val="24"/>
                <w:lang w:eastAsia="cs-CZ"/>
              </w:rPr>
              <w:t xml:space="preserve">2016 </w:t>
            </w:r>
            <w:r w:rsidRPr="00513E71">
              <w:rPr>
                <w:rFonts w:eastAsia="Times New Roman" w:cs="Arial"/>
                <w:color w:val="000000"/>
                <w:szCs w:val="24"/>
                <w:lang w:eastAsia="cs-CZ"/>
              </w:rPr>
              <w:t xml:space="preserve">je v účinnosti Směrnice generální ředitelky ÚP ČR č. 2/2016, která stanovuje pravidla spolupráce útvaru zaměstnanosti a útvaru dávek pomoci v hmotné nouzi. Na základě této směrnice vytipovávají pracovníci agendy pomoci v hmotné nouzi příjemce těchto dávek (zejména dlouhodobé, nebo s podezřením na nelegální zaměstnání apod.), kterým je v rámci agendy zaměstnanosti věnována zvýšená péče při zprostředkování zaměstnání (s využitím nástrojů </w:t>
            </w:r>
            <w:r w:rsidR="00EF1712">
              <w:rPr>
                <w:rFonts w:eastAsia="Times New Roman" w:cs="Arial"/>
                <w:color w:val="000000"/>
                <w:szCs w:val="24"/>
                <w:lang w:eastAsia="cs-CZ"/>
              </w:rPr>
              <w:t>APZ</w:t>
            </w:r>
            <w:r w:rsidRPr="00513E71">
              <w:rPr>
                <w:rFonts w:eastAsia="Times New Roman" w:cs="Arial"/>
                <w:color w:val="000000"/>
                <w:szCs w:val="24"/>
                <w:lang w:eastAsia="cs-CZ"/>
              </w:rPr>
              <w:t xml:space="preserve"> jako např. </w:t>
            </w:r>
            <w:r w:rsidR="00EF1712">
              <w:rPr>
                <w:rFonts w:eastAsia="Times New Roman" w:cs="Arial"/>
                <w:color w:val="000000"/>
                <w:szCs w:val="24"/>
                <w:lang w:eastAsia="cs-CZ"/>
              </w:rPr>
              <w:t>VPP</w:t>
            </w:r>
            <w:r w:rsidRPr="00513E71">
              <w:rPr>
                <w:rFonts w:eastAsia="Times New Roman" w:cs="Arial"/>
                <w:color w:val="000000"/>
                <w:szCs w:val="24"/>
                <w:lang w:eastAsia="cs-CZ"/>
              </w:rPr>
              <w:t>).</w:t>
            </w:r>
          </w:p>
        </w:tc>
      </w:tr>
      <w:tr w:rsidR="00513E71" w:rsidRPr="00513E71" w:rsidTr="001879FC">
        <w:trPr>
          <w:gridBefore w:val="1"/>
          <w:wBefore w:w="142" w:type="dxa"/>
          <w:trHeight w:val="3680"/>
        </w:trPr>
        <w:tc>
          <w:tcPr>
            <w:tcW w:w="568" w:type="dxa"/>
            <w:gridSpan w:val="2"/>
            <w:vMerge/>
            <w:tcBorders>
              <w:top w:val="nil"/>
              <w:left w:val="single" w:sz="8" w:space="0" w:color="auto"/>
              <w:bottom w:val="single" w:sz="8" w:space="0" w:color="auto"/>
              <w:right w:val="single" w:sz="8" w:space="0" w:color="auto"/>
            </w:tcBorders>
            <w:vAlign w:val="center"/>
            <w:hideMark/>
          </w:tcPr>
          <w:p w:rsidR="00513E71" w:rsidRPr="00513E71" w:rsidRDefault="00513E71" w:rsidP="00513E71">
            <w:pPr>
              <w:spacing w:line="240" w:lineRule="auto"/>
              <w:jc w:val="left"/>
              <w:rPr>
                <w:rFonts w:eastAsia="Times New Roman" w:cs="Arial"/>
                <w:b/>
                <w:bCs/>
                <w:color w:val="000000"/>
                <w:szCs w:val="24"/>
                <w:lang w:eastAsia="cs-CZ"/>
              </w:rPr>
            </w:pPr>
          </w:p>
        </w:tc>
        <w:tc>
          <w:tcPr>
            <w:tcW w:w="567" w:type="dxa"/>
            <w:gridSpan w:val="3"/>
            <w:vMerge w:val="restart"/>
            <w:tcBorders>
              <w:top w:val="single" w:sz="4" w:space="0" w:color="auto"/>
              <w:left w:val="single" w:sz="8" w:space="0" w:color="auto"/>
              <w:bottom w:val="single" w:sz="8" w:space="0" w:color="000000"/>
              <w:right w:val="single" w:sz="4" w:space="0" w:color="auto"/>
            </w:tcBorders>
            <w:shd w:val="clear" w:color="auto" w:fill="auto"/>
            <w:textDirection w:val="btLr"/>
            <w:vAlign w:val="center"/>
            <w:hideMark/>
          </w:tcPr>
          <w:p w:rsidR="00513E71" w:rsidRPr="00513E71" w:rsidRDefault="00513E71" w:rsidP="00513E71">
            <w:pPr>
              <w:spacing w:line="240" w:lineRule="auto"/>
              <w:jc w:val="center"/>
              <w:rPr>
                <w:rFonts w:eastAsia="Times New Roman" w:cs="Arial"/>
                <w:color w:val="000000"/>
                <w:szCs w:val="24"/>
                <w:lang w:eastAsia="cs-CZ"/>
              </w:rPr>
            </w:pPr>
            <w:r w:rsidRPr="00513E71">
              <w:rPr>
                <w:rFonts w:eastAsia="Times New Roman" w:cs="Arial"/>
                <w:color w:val="000000"/>
                <w:szCs w:val="24"/>
                <w:lang w:eastAsia="cs-CZ"/>
              </w:rPr>
              <w:t>sledované období</w:t>
            </w:r>
          </w:p>
        </w:tc>
        <w:tc>
          <w:tcPr>
            <w:tcW w:w="12944" w:type="dxa"/>
            <w:gridSpan w:val="18"/>
            <w:tcBorders>
              <w:top w:val="single" w:sz="4" w:space="0" w:color="auto"/>
              <w:left w:val="nil"/>
              <w:bottom w:val="nil"/>
              <w:right w:val="single" w:sz="8" w:space="0" w:color="000000"/>
            </w:tcBorders>
            <w:shd w:val="clear" w:color="auto" w:fill="auto"/>
            <w:hideMark/>
          </w:tcPr>
          <w:p w:rsidR="00EF1712" w:rsidRDefault="00513E71" w:rsidP="00943FE9">
            <w:pPr>
              <w:spacing w:before="120" w:after="120" w:line="240" w:lineRule="auto"/>
              <w:rPr>
                <w:rFonts w:eastAsia="Times New Roman" w:cs="Arial"/>
                <w:color w:val="000000"/>
                <w:szCs w:val="24"/>
                <w:lang w:eastAsia="cs-CZ"/>
              </w:rPr>
            </w:pPr>
            <w:r w:rsidRPr="00513E71">
              <w:rPr>
                <w:rFonts w:eastAsia="Times New Roman" w:cs="Arial"/>
                <w:color w:val="000000"/>
                <w:szCs w:val="24"/>
                <w:lang w:eastAsia="cs-CZ"/>
              </w:rPr>
              <w:t xml:space="preserve">Celkový počet </w:t>
            </w:r>
            <w:proofErr w:type="spellStart"/>
            <w:r w:rsidRPr="00513E71">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v </w:t>
            </w:r>
            <w:r w:rsidR="00EF1712">
              <w:rPr>
                <w:rFonts w:eastAsia="Times New Roman" w:cs="Arial"/>
                <w:color w:val="000000"/>
                <w:szCs w:val="24"/>
                <w:lang w:eastAsia="cs-CZ"/>
              </w:rPr>
              <w:t>ČR</w:t>
            </w:r>
            <w:r w:rsidRPr="00513E71">
              <w:rPr>
                <w:rFonts w:eastAsia="Times New Roman" w:cs="Arial"/>
                <w:color w:val="000000"/>
                <w:szCs w:val="24"/>
                <w:lang w:eastAsia="cs-CZ"/>
              </w:rPr>
              <w:t xml:space="preserve"> ve sledovaném období (30. 9. 2016 až 31. 12. 2016) vzrostl z </w:t>
            </w:r>
            <w:r w:rsidR="00EF1712">
              <w:rPr>
                <w:rFonts w:eastAsia="Times New Roman" w:cs="Arial"/>
                <w:color w:val="000000"/>
                <w:szCs w:val="24"/>
                <w:lang w:eastAsia="cs-CZ"/>
              </w:rPr>
              <w:t>378 258 na 381 373 tj. nárůst o </w:t>
            </w:r>
            <w:r w:rsidRPr="00513E71">
              <w:rPr>
                <w:rFonts w:eastAsia="Times New Roman" w:cs="Arial"/>
                <w:color w:val="000000"/>
                <w:szCs w:val="24"/>
                <w:lang w:eastAsia="cs-CZ"/>
              </w:rPr>
              <w:t>0,8</w:t>
            </w:r>
            <w:r w:rsidR="00EF1712">
              <w:rPr>
                <w:rFonts w:eastAsia="Times New Roman" w:cs="Arial"/>
                <w:color w:val="000000"/>
                <w:szCs w:val="24"/>
                <w:lang w:eastAsia="cs-CZ"/>
              </w:rPr>
              <w:t xml:space="preserve"> </w:t>
            </w:r>
            <w:r w:rsidRPr="00513E71">
              <w:rPr>
                <w:rFonts w:eastAsia="Times New Roman" w:cs="Arial"/>
                <w:color w:val="000000"/>
                <w:szCs w:val="24"/>
                <w:lang w:eastAsia="cs-CZ"/>
              </w:rPr>
              <w:t xml:space="preserve">%. Počet </w:t>
            </w:r>
            <w:proofErr w:type="spellStart"/>
            <w:r w:rsidRPr="00513E71">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pobírající hmotnou nouzi bez zdravotního omezení a bez závazků</w:t>
            </w:r>
            <w:r w:rsidR="00EF1712">
              <w:rPr>
                <w:rFonts w:eastAsia="Times New Roman" w:cs="Arial"/>
                <w:color w:val="000000"/>
                <w:szCs w:val="24"/>
                <w:lang w:eastAsia="cs-CZ"/>
              </w:rPr>
              <w:t xml:space="preserve"> klesl ze 45 861 (12,1% z </w:t>
            </w:r>
            <w:r w:rsidRPr="00513E71">
              <w:rPr>
                <w:rFonts w:eastAsia="Times New Roman" w:cs="Arial"/>
                <w:color w:val="000000"/>
                <w:szCs w:val="24"/>
                <w:lang w:eastAsia="cs-CZ"/>
              </w:rPr>
              <w:t xml:space="preserve">celkového počtu </w:t>
            </w:r>
            <w:proofErr w:type="spellStart"/>
            <w:r w:rsidRPr="00513E71">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na 39 364 (10,3% z celkového počtu </w:t>
            </w:r>
            <w:proofErr w:type="spellStart"/>
            <w:r w:rsidRPr="00513E71">
              <w:rPr>
                <w:rFonts w:eastAsia="Times New Roman" w:cs="Arial"/>
                <w:color w:val="000000"/>
                <w:szCs w:val="24"/>
                <w:lang w:eastAsia="cs-CZ"/>
              </w:rPr>
              <w:t>UoZ</w:t>
            </w:r>
            <w:proofErr w:type="spellEnd"/>
            <w:r w:rsidRPr="00513E71">
              <w:rPr>
                <w:rFonts w:eastAsia="Times New Roman" w:cs="Arial"/>
                <w:color w:val="000000"/>
                <w:szCs w:val="24"/>
                <w:lang w:eastAsia="cs-CZ"/>
              </w:rPr>
              <w:t>) tj. pokles o 14,2</w:t>
            </w:r>
            <w:r w:rsidR="00EF1712">
              <w:rPr>
                <w:rFonts w:eastAsia="Times New Roman" w:cs="Arial"/>
                <w:color w:val="000000"/>
                <w:szCs w:val="24"/>
                <w:lang w:eastAsia="cs-CZ"/>
              </w:rPr>
              <w:t xml:space="preserve"> </w:t>
            </w:r>
            <w:r w:rsidRPr="00513E71">
              <w:rPr>
                <w:rFonts w:eastAsia="Times New Roman" w:cs="Arial"/>
                <w:color w:val="000000"/>
                <w:szCs w:val="24"/>
                <w:lang w:eastAsia="cs-CZ"/>
              </w:rPr>
              <w:t xml:space="preserve">%. Počet </w:t>
            </w:r>
            <w:proofErr w:type="spellStart"/>
            <w:r w:rsidRPr="00513E71">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pobírající hmotnou nouzi bez ohledu na zdravotní stav a péči o děti klesl z 93 040 (24,6% z celkovéh</w:t>
            </w:r>
            <w:r w:rsidR="00EF1712">
              <w:rPr>
                <w:rFonts w:eastAsia="Times New Roman" w:cs="Arial"/>
                <w:color w:val="000000"/>
                <w:szCs w:val="24"/>
                <w:lang w:eastAsia="cs-CZ"/>
              </w:rPr>
              <w:t xml:space="preserve">o počtu </w:t>
            </w:r>
            <w:proofErr w:type="spellStart"/>
            <w:r w:rsidR="00EF1712">
              <w:rPr>
                <w:rFonts w:eastAsia="Times New Roman" w:cs="Arial"/>
                <w:color w:val="000000"/>
                <w:szCs w:val="24"/>
                <w:lang w:eastAsia="cs-CZ"/>
              </w:rPr>
              <w:t>UoZ</w:t>
            </w:r>
            <w:proofErr w:type="spellEnd"/>
            <w:r w:rsidR="00EF1712">
              <w:rPr>
                <w:rFonts w:eastAsia="Times New Roman" w:cs="Arial"/>
                <w:color w:val="000000"/>
                <w:szCs w:val="24"/>
                <w:lang w:eastAsia="cs-CZ"/>
              </w:rPr>
              <w:t>) na 88 612 (23,2% z </w:t>
            </w:r>
            <w:r w:rsidRPr="00513E71">
              <w:rPr>
                <w:rFonts w:eastAsia="Times New Roman" w:cs="Arial"/>
                <w:color w:val="000000"/>
                <w:szCs w:val="24"/>
                <w:lang w:eastAsia="cs-CZ"/>
              </w:rPr>
              <w:t xml:space="preserve">celkového počtu </w:t>
            </w:r>
            <w:proofErr w:type="spellStart"/>
            <w:r w:rsidRPr="00513E71">
              <w:rPr>
                <w:rFonts w:eastAsia="Times New Roman" w:cs="Arial"/>
                <w:color w:val="000000"/>
                <w:szCs w:val="24"/>
                <w:lang w:eastAsia="cs-CZ"/>
              </w:rPr>
              <w:t>UoZ</w:t>
            </w:r>
            <w:proofErr w:type="spellEnd"/>
            <w:r w:rsidRPr="00513E71">
              <w:rPr>
                <w:rFonts w:eastAsia="Times New Roman" w:cs="Arial"/>
                <w:color w:val="000000"/>
                <w:szCs w:val="24"/>
                <w:lang w:eastAsia="cs-CZ"/>
              </w:rPr>
              <w:t>) tj. pokles o 4,8%.</w:t>
            </w:r>
            <w:r w:rsidR="00943FE9">
              <w:rPr>
                <w:rFonts w:eastAsia="Times New Roman" w:cs="Arial"/>
                <w:color w:val="000000"/>
                <w:szCs w:val="24"/>
                <w:lang w:eastAsia="cs-CZ"/>
              </w:rPr>
              <w:t xml:space="preserve"> </w:t>
            </w:r>
            <w:r w:rsidRPr="00513E71">
              <w:rPr>
                <w:rFonts w:eastAsia="Times New Roman" w:cs="Arial"/>
                <w:color w:val="000000"/>
                <w:szCs w:val="24"/>
                <w:lang w:eastAsia="cs-CZ"/>
              </w:rPr>
              <w:t xml:space="preserve">Efektivita spolupráce byla od </w:t>
            </w:r>
            <w:r w:rsidR="00EF1712">
              <w:rPr>
                <w:rFonts w:eastAsia="Times New Roman" w:cs="Arial"/>
                <w:color w:val="000000"/>
                <w:szCs w:val="24"/>
                <w:lang w:eastAsia="cs-CZ"/>
              </w:rPr>
              <w:t>2Q</w:t>
            </w:r>
            <w:r w:rsidRPr="00513E71">
              <w:rPr>
                <w:rFonts w:eastAsia="Times New Roman" w:cs="Arial"/>
                <w:color w:val="000000"/>
                <w:szCs w:val="24"/>
                <w:lang w:eastAsia="cs-CZ"/>
              </w:rPr>
              <w:t xml:space="preserve"> 2016 průběžně měsíčně vyhodnocována, zčásti získáním výstupů z informačního systému, zejména s ohledem na počet </w:t>
            </w:r>
            <w:proofErr w:type="spellStart"/>
            <w:r w:rsidR="00EF1712">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v</w:t>
            </w:r>
            <w:r w:rsidR="00EF1712">
              <w:rPr>
                <w:rFonts w:eastAsia="Times New Roman" w:cs="Arial"/>
                <w:color w:val="000000"/>
                <w:szCs w:val="24"/>
                <w:lang w:eastAsia="cs-CZ"/>
              </w:rPr>
              <w:t> hmotné nouzi</w:t>
            </w:r>
            <w:r w:rsidRPr="00513E71">
              <w:rPr>
                <w:rFonts w:eastAsia="Times New Roman" w:cs="Arial"/>
                <w:color w:val="000000"/>
                <w:szCs w:val="24"/>
                <w:lang w:eastAsia="cs-CZ"/>
              </w:rPr>
              <w:t xml:space="preserve">, kterým byla věnována zvýšená péče, dále kterým bylo nabídnuto vhodné zaměstnání </w:t>
            </w:r>
            <w:r w:rsidR="00EF1712">
              <w:rPr>
                <w:rFonts w:eastAsia="Times New Roman" w:cs="Arial"/>
                <w:color w:val="000000"/>
                <w:szCs w:val="24"/>
                <w:lang w:eastAsia="cs-CZ"/>
              </w:rPr>
              <w:t>(</w:t>
            </w:r>
            <w:r w:rsidRPr="00513E71">
              <w:rPr>
                <w:rFonts w:eastAsia="Times New Roman" w:cs="Arial"/>
                <w:color w:val="000000"/>
                <w:szCs w:val="24"/>
                <w:lang w:eastAsia="cs-CZ"/>
              </w:rPr>
              <w:t>včetně APZ</w:t>
            </w:r>
            <w:r w:rsidR="00EF1712">
              <w:rPr>
                <w:rFonts w:eastAsia="Times New Roman" w:cs="Arial"/>
                <w:color w:val="000000"/>
                <w:szCs w:val="24"/>
                <w:lang w:eastAsia="cs-CZ"/>
              </w:rPr>
              <w:t>)</w:t>
            </w:r>
            <w:r w:rsidRPr="00513E71">
              <w:rPr>
                <w:rFonts w:eastAsia="Times New Roman" w:cs="Arial"/>
                <w:color w:val="000000"/>
                <w:szCs w:val="24"/>
                <w:lang w:eastAsia="cs-CZ"/>
              </w:rPr>
              <w:t xml:space="preserve">, byla jim nabídnuta rekvalifikace, nebo kteří ukončili evidenci </w:t>
            </w:r>
            <w:proofErr w:type="spellStart"/>
            <w:r w:rsidR="00EF1712">
              <w:rPr>
                <w:rFonts w:eastAsia="Times New Roman" w:cs="Arial"/>
                <w:color w:val="000000"/>
                <w:szCs w:val="24"/>
                <w:lang w:eastAsia="cs-CZ"/>
              </w:rPr>
              <w:t>UoZ</w:t>
            </w:r>
            <w:proofErr w:type="spellEnd"/>
            <w:r w:rsidR="00EF1712">
              <w:rPr>
                <w:rFonts w:eastAsia="Times New Roman" w:cs="Arial"/>
                <w:color w:val="000000"/>
                <w:szCs w:val="24"/>
                <w:lang w:eastAsia="cs-CZ"/>
              </w:rPr>
              <w:t xml:space="preserve"> </w:t>
            </w:r>
            <w:r w:rsidRPr="00513E71">
              <w:rPr>
                <w:rFonts w:eastAsia="Times New Roman" w:cs="Arial"/>
                <w:color w:val="000000"/>
                <w:szCs w:val="24"/>
                <w:lang w:eastAsia="cs-CZ"/>
              </w:rPr>
              <w:t xml:space="preserve">z důvodu nástupu do zaměstnání anebo byli z evidence </w:t>
            </w:r>
            <w:proofErr w:type="spellStart"/>
            <w:r w:rsidR="00EF1712">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sankčně vyřazeni.</w:t>
            </w:r>
          </w:p>
          <w:p w:rsidR="00513E71" w:rsidRPr="00513E71" w:rsidRDefault="00513E71" w:rsidP="00943FE9">
            <w:pPr>
              <w:spacing w:before="120" w:after="120" w:line="240" w:lineRule="auto"/>
              <w:rPr>
                <w:rFonts w:eastAsia="Times New Roman" w:cs="Arial"/>
                <w:color w:val="000000"/>
                <w:szCs w:val="24"/>
                <w:lang w:eastAsia="cs-CZ"/>
              </w:rPr>
            </w:pPr>
            <w:r w:rsidRPr="00513E71">
              <w:rPr>
                <w:rFonts w:eastAsia="Times New Roman" w:cs="Arial"/>
                <w:color w:val="000000"/>
                <w:szCs w:val="24"/>
                <w:lang w:eastAsia="cs-CZ"/>
              </w:rPr>
              <w:t xml:space="preserve">Zvýšení péče </w:t>
            </w:r>
            <w:r w:rsidR="004765F1">
              <w:rPr>
                <w:rFonts w:eastAsia="Times New Roman" w:cs="Arial"/>
                <w:color w:val="000000"/>
                <w:szCs w:val="24"/>
                <w:lang w:eastAsia="cs-CZ"/>
              </w:rPr>
              <w:t xml:space="preserve">o </w:t>
            </w:r>
            <w:proofErr w:type="spellStart"/>
            <w:r w:rsidR="00EF1712">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v hmotné nouzi přispělo ke zlepšení jejich aktivizace a možnosti umístění do zaměstnání. Nejméně každému 9. – 10</w:t>
            </w:r>
            <w:r w:rsidR="00EF1712">
              <w:rPr>
                <w:rFonts w:eastAsia="Times New Roman" w:cs="Arial"/>
                <w:color w:val="000000"/>
                <w:szCs w:val="24"/>
                <w:lang w:eastAsia="cs-CZ"/>
              </w:rPr>
              <w:t xml:space="preserve">. </w:t>
            </w:r>
            <w:proofErr w:type="spellStart"/>
            <w:r w:rsidR="00EF1712">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v hmotné nouzi bylo nabídnuto vhodné zaměstnání, přičemž průměrně každý pátý z nich </w:t>
            </w:r>
            <w:r w:rsidR="00943FE9" w:rsidRPr="00513E71">
              <w:rPr>
                <w:rFonts w:eastAsia="Times New Roman" w:cs="Arial"/>
                <w:color w:val="000000"/>
                <w:szCs w:val="24"/>
                <w:lang w:eastAsia="cs-CZ"/>
              </w:rPr>
              <w:t>nast</w:t>
            </w:r>
            <w:r w:rsidR="00943FE9">
              <w:rPr>
                <w:rFonts w:eastAsia="Times New Roman" w:cs="Arial"/>
                <w:color w:val="000000"/>
                <w:szCs w:val="24"/>
                <w:lang w:eastAsia="cs-CZ"/>
              </w:rPr>
              <w:t>oupil</w:t>
            </w:r>
            <w:r w:rsidRPr="00513E71">
              <w:rPr>
                <w:rFonts w:eastAsia="Times New Roman" w:cs="Arial"/>
                <w:color w:val="000000"/>
                <w:szCs w:val="24"/>
                <w:lang w:eastAsia="cs-CZ"/>
              </w:rPr>
              <w:t xml:space="preserve"> do zaměstnání. Vzhledem k tomu, že se často jedná o </w:t>
            </w:r>
            <w:proofErr w:type="spellStart"/>
            <w:r w:rsidR="00EF1712">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w:t>
            </w:r>
            <w:r w:rsidR="00943FE9">
              <w:rPr>
                <w:rFonts w:eastAsia="Times New Roman" w:cs="Arial"/>
                <w:color w:val="000000"/>
                <w:szCs w:val="24"/>
                <w:lang w:eastAsia="cs-CZ"/>
              </w:rPr>
              <w:t>obtížně zaměstnatelné</w:t>
            </w:r>
            <w:r w:rsidRPr="00513E71">
              <w:rPr>
                <w:rFonts w:eastAsia="Times New Roman" w:cs="Arial"/>
                <w:color w:val="000000"/>
                <w:szCs w:val="24"/>
                <w:lang w:eastAsia="cs-CZ"/>
              </w:rPr>
              <w:t xml:space="preserve">, jeví se nastoupený trend spolupráce </w:t>
            </w:r>
            <w:r w:rsidR="00943FE9">
              <w:rPr>
                <w:rFonts w:eastAsia="Times New Roman" w:cs="Arial"/>
                <w:color w:val="000000"/>
                <w:szCs w:val="24"/>
                <w:lang w:eastAsia="cs-CZ"/>
              </w:rPr>
              <w:t xml:space="preserve">jednotlivých útvarů ÚP ČR </w:t>
            </w:r>
            <w:r w:rsidRPr="00513E71">
              <w:rPr>
                <w:rFonts w:eastAsia="Times New Roman" w:cs="Arial"/>
                <w:color w:val="000000"/>
                <w:szCs w:val="24"/>
                <w:lang w:eastAsia="cs-CZ"/>
              </w:rPr>
              <w:t xml:space="preserve">a </w:t>
            </w:r>
            <w:r w:rsidR="00943FE9">
              <w:rPr>
                <w:rFonts w:eastAsia="Times New Roman" w:cs="Arial"/>
                <w:color w:val="000000"/>
                <w:szCs w:val="24"/>
                <w:lang w:eastAsia="cs-CZ"/>
              </w:rPr>
              <w:t xml:space="preserve">další přijatá </w:t>
            </w:r>
            <w:r w:rsidRPr="00513E71">
              <w:rPr>
                <w:rFonts w:eastAsia="Times New Roman" w:cs="Arial"/>
                <w:color w:val="000000"/>
                <w:szCs w:val="24"/>
                <w:lang w:eastAsia="cs-CZ"/>
              </w:rPr>
              <w:t xml:space="preserve">opatření jako účinná. </w:t>
            </w:r>
            <w:r w:rsidR="00943FE9">
              <w:rPr>
                <w:rFonts w:eastAsia="Times New Roman" w:cs="Arial"/>
                <w:color w:val="000000"/>
                <w:szCs w:val="24"/>
                <w:lang w:eastAsia="cs-CZ"/>
              </w:rPr>
              <w:t>P</w:t>
            </w:r>
            <w:r w:rsidRPr="00513E71">
              <w:rPr>
                <w:rFonts w:eastAsia="Times New Roman" w:cs="Arial"/>
                <w:color w:val="000000"/>
                <w:szCs w:val="24"/>
                <w:lang w:eastAsia="cs-CZ"/>
              </w:rPr>
              <w:t xml:space="preserve">ři práci s </w:t>
            </w:r>
            <w:proofErr w:type="spellStart"/>
            <w:r w:rsidR="00943FE9">
              <w:rPr>
                <w:rFonts w:eastAsia="Times New Roman" w:cs="Arial"/>
                <w:color w:val="000000"/>
                <w:szCs w:val="24"/>
                <w:lang w:eastAsia="cs-CZ"/>
              </w:rPr>
              <w:t>UoZ</w:t>
            </w:r>
            <w:proofErr w:type="spellEnd"/>
            <w:r w:rsidRPr="00513E71">
              <w:rPr>
                <w:rFonts w:eastAsia="Times New Roman" w:cs="Arial"/>
                <w:color w:val="000000"/>
                <w:szCs w:val="24"/>
                <w:lang w:eastAsia="cs-CZ"/>
              </w:rPr>
              <w:t xml:space="preserve"> je preferováno nastavení aktivit </w:t>
            </w:r>
            <w:r w:rsidR="00943FE9">
              <w:rPr>
                <w:rFonts w:eastAsia="Times New Roman" w:cs="Arial"/>
                <w:color w:val="000000"/>
                <w:szCs w:val="24"/>
                <w:lang w:eastAsia="cs-CZ"/>
              </w:rPr>
              <w:t>k podpoře</w:t>
            </w:r>
            <w:r w:rsidRPr="00513E71">
              <w:rPr>
                <w:rFonts w:eastAsia="Times New Roman" w:cs="Arial"/>
                <w:color w:val="000000"/>
                <w:szCs w:val="24"/>
                <w:lang w:eastAsia="cs-CZ"/>
              </w:rPr>
              <w:t xml:space="preserve"> zaměstnatelnosti před případným sankčním vyřazením</w:t>
            </w:r>
            <w:r w:rsidR="00943FE9">
              <w:rPr>
                <w:rFonts w:eastAsia="Times New Roman" w:cs="Arial"/>
                <w:color w:val="000000"/>
                <w:szCs w:val="24"/>
                <w:lang w:eastAsia="cs-CZ"/>
              </w:rPr>
              <w:t xml:space="preserve"> (</w:t>
            </w:r>
            <w:r w:rsidRPr="00513E71">
              <w:rPr>
                <w:rFonts w:eastAsia="Times New Roman" w:cs="Arial"/>
                <w:color w:val="000000"/>
                <w:szCs w:val="24"/>
                <w:lang w:eastAsia="cs-CZ"/>
              </w:rPr>
              <w:t>nepřispívá k</w:t>
            </w:r>
            <w:r w:rsidR="00943FE9">
              <w:rPr>
                <w:rFonts w:eastAsia="Times New Roman" w:cs="Arial"/>
                <w:color w:val="000000"/>
                <w:szCs w:val="24"/>
                <w:lang w:eastAsia="cs-CZ"/>
              </w:rPr>
              <w:t xml:space="preserve">e zlepšení situace </w:t>
            </w:r>
            <w:proofErr w:type="spellStart"/>
            <w:r w:rsidR="00943FE9">
              <w:rPr>
                <w:rFonts w:eastAsia="Times New Roman" w:cs="Arial"/>
                <w:color w:val="000000"/>
                <w:szCs w:val="24"/>
                <w:lang w:eastAsia="cs-CZ"/>
              </w:rPr>
              <w:t>UoZ</w:t>
            </w:r>
            <w:proofErr w:type="spellEnd"/>
            <w:r w:rsidR="00943FE9">
              <w:rPr>
                <w:rFonts w:eastAsia="Times New Roman" w:cs="Arial"/>
                <w:color w:val="000000"/>
                <w:szCs w:val="24"/>
                <w:lang w:eastAsia="cs-CZ"/>
              </w:rPr>
              <w:t>).</w:t>
            </w:r>
            <w:r w:rsidRPr="00513E71">
              <w:rPr>
                <w:rFonts w:eastAsia="Times New Roman" w:cs="Arial"/>
                <w:color w:val="000000"/>
                <w:szCs w:val="24"/>
                <w:lang w:eastAsia="cs-CZ"/>
              </w:rPr>
              <w:t xml:space="preserve"> </w:t>
            </w:r>
          </w:p>
        </w:tc>
      </w:tr>
      <w:tr w:rsidR="00513E71" w:rsidRPr="00513E71" w:rsidTr="001879FC">
        <w:trPr>
          <w:gridBefore w:val="1"/>
          <w:wBefore w:w="142" w:type="dxa"/>
          <w:trHeight w:val="1230"/>
        </w:trPr>
        <w:tc>
          <w:tcPr>
            <w:tcW w:w="568" w:type="dxa"/>
            <w:gridSpan w:val="2"/>
            <w:vMerge/>
            <w:tcBorders>
              <w:top w:val="nil"/>
              <w:left w:val="single" w:sz="8" w:space="0" w:color="auto"/>
              <w:bottom w:val="single" w:sz="8" w:space="0" w:color="auto"/>
              <w:right w:val="single" w:sz="8" w:space="0" w:color="auto"/>
            </w:tcBorders>
            <w:vAlign w:val="center"/>
            <w:hideMark/>
          </w:tcPr>
          <w:p w:rsidR="00513E71" w:rsidRPr="00513E71" w:rsidRDefault="00513E71" w:rsidP="00513E71">
            <w:pPr>
              <w:spacing w:line="240" w:lineRule="auto"/>
              <w:jc w:val="left"/>
              <w:rPr>
                <w:rFonts w:eastAsia="Times New Roman" w:cs="Arial"/>
                <w:b/>
                <w:bCs/>
                <w:color w:val="000000"/>
                <w:szCs w:val="24"/>
                <w:lang w:eastAsia="cs-CZ"/>
              </w:rPr>
            </w:pPr>
          </w:p>
        </w:tc>
        <w:tc>
          <w:tcPr>
            <w:tcW w:w="567" w:type="dxa"/>
            <w:gridSpan w:val="3"/>
            <w:vMerge/>
            <w:tcBorders>
              <w:top w:val="single" w:sz="4" w:space="0" w:color="auto"/>
              <w:left w:val="single" w:sz="8" w:space="0" w:color="auto"/>
              <w:bottom w:val="single" w:sz="8" w:space="0" w:color="000000"/>
              <w:right w:val="single" w:sz="4" w:space="0" w:color="auto"/>
            </w:tcBorders>
            <w:vAlign w:val="center"/>
            <w:hideMark/>
          </w:tcPr>
          <w:p w:rsidR="00513E71" w:rsidRPr="00513E71" w:rsidRDefault="00513E71" w:rsidP="00513E71">
            <w:pPr>
              <w:spacing w:line="240" w:lineRule="auto"/>
              <w:jc w:val="left"/>
              <w:rPr>
                <w:rFonts w:eastAsia="Times New Roman" w:cs="Arial"/>
                <w:color w:val="000000"/>
                <w:szCs w:val="24"/>
                <w:lang w:eastAsia="cs-CZ"/>
              </w:rPr>
            </w:pPr>
          </w:p>
        </w:tc>
        <w:tc>
          <w:tcPr>
            <w:tcW w:w="12944" w:type="dxa"/>
            <w:gridSpan w:val="18"/>
            <w:tcBorders>
              <w:top w:val="nil"/>
              <w:left w:val="nil"/>
              <w:bottom w:val="single" w:sz="8" w:space="0" w:color="auto"/>
              <w:right w:val="single" w:sz="8" w:space="0" w:color="000000"/>
            </w:tcBorders>
            <w:shd w:val="clear" w:color="auto" w:fill="auto"/>
            <w:vAlign w:val="center"/>
            <w:hideMark/>
          </w:tcPr>
          <w:p w:rsidR="00513E71" w:rsidRPr="00513E71" w:rsidRDefault="00513E71" w:rsidP="00513E71">
            <w:pPr>
              <w:spacing w:line="240" w:lineRule="auto"/>
              <w:rPr>
                <w:rFonts w:eastAsia="Times New Roman" w:cs="Arial"/>
                <w:color w:val="000000"/>
                <w:szCs w:val="24"/>
                <w:lang w:eastAsia="cs-CZ"/>
              </w:rPr>
            </w:pPr>
            <w:r w:rsidRPr="00513E71">
              <w:rPr>
                <w:rFonts w:eastAsia="Times New Roman" w:cs="Arial"/>
                <w:color w:val="000000"/>
                <w:szCs w:val="24"/>
                <w:lang w:eastAsia="cs-CZ"/>
              </w:rPr>
              <w:t xml:space="preserve">Zvýšená spolupráce v rámci ÚP ČR mezi útvary zaměstnanosti a nepojistných sociálních dávek je </w:t>
            </w:r>
            <w:r w:rsidR="00943FE9">
              <w:rPr>
                <w:rFonts w:eastAsia="Times New Roman" w:cs="Arial"/>
                <w:color w:val="000000"/>
                <w:szCs w:val="24"/>
                <w:lang w:eastAsia="cs-CZ"/>
              </w:rPr>
              <w:t>rovněž realizována v </w:t>
            </w:r>
            <w:r w:rsidRPr="00513E71">
              <w:rPr>
                <w:rFonts w:eastAsia="Times New Roman" w:cs="Arial"/>
                <w:color w:val="000000"/>
                <w:szCs w:val="24"/>
                <w:lang w:eastAsia="cs-CZ"/>
              </w:rPr>
              <w:t>souvislosti s novelou k veřejné službě (zákon č. 367/2016 Sb.). Oba útvary se podílí na přípravě implementace novely v</w:t>
            </w:r>
            <w:r w:rsidR="00943FE9">
              <w:rPr>
                <w:rFonts w:eastAsia="Times New Roman" w:cs="Arial"/>
                <w:color w:val="000000"/>
                <w:szCs w:val="24"/>
                <w:lang w:eastAsia="cs-CZ"/>
              </w:rPr>
              <w:t> </w:t>
            </w:r>
            <w:r w:rsidRPr="00513E71">
              <w:rPr>
                <w:rFonts w:eastAsia="Times New Roman" w:cs="Arial"/>
                <w:color w:val="000000"/>
                <w:szCs w:val="24"/>
                <w:lang w:eastAsia="cs-CZ"/>
              </w:rPr>
              <w:t>praxi</w:t>
            </w:r>
            <w:r w:rsidR="00943FE9">
              <w:rPr>
                <w:rFonts w:eastAsia="Times New Roman" w:cs="Arial"/>
                <w:color w:val="000000"/>
                <w:szCs w:val="24"/>
                <w:lang w:eastAsia="cs-CZ"/>
              </w:rPr>
              <w:t>,</w:t>
            </w:r>
            <w:r w:rsidRPr="00513E71">
              <w:rPr>
                <w:rFonts w:eastAsia="Times New Roman" w:cs="Arial"/>
                <w:color w:val="000000"/>
                <w:szCs w:val="24"/>
                <w:lang w:eastAsia="cs-CZ"/>
              </w:rPr>
              <w:t xml:space="preserve"> zejména společnou přípravou metodických materiálů a školení zaměstnanců ÚP ČR. V praxi bude docházet ke společnému postupu obou útvarů v souvislosti s aktivizací příjemců dávek pomoci v hmotné nouzi.</w:t>
            </w:r>
          </w:p>
        </w:tc>
      </w:tr>
      <w:tr w:rsidR="00F14D34" w:rsidRPr="00513E71" w:rsidTr="001879FC">
        <w:trPr>
          <w:gridBefore w:val="1"/>
          <w:wBefore w:w="142" w:type="dxa"/>
          <w:trHeight w:val="285"/>
        </w:trPr>
        <w:tc>
          <w:tcPr>
            <w:tcW w:w="568" w:type="dxa"/>
            <w:gridSpan w:val="2"/>
            <w:tcBorders>
              <w:top w:val="single" w:sz="8" w:space="0" w:color="auto"/>
              <w:left w:val="single" w:sz="8" w:space="0" w:color="auto"/>
              <w:bottom w:val="single" w:sz="4" w:space="0" w:color="auto"/>
              <w:right w:val="nil"/>
            </w:tcBorders>
            <w:shd w:val="clear" w:color="000000" w:fill="FDE9D9"/>
            <w:noWrap/>
            <w:vAlign w:val="center"/>
            <w:hideMark/>
          </w:tcPr>
          <w:p w:rsidR="00513E71" w:rsidRPr="00513E71" w:rsidRDefault="00513E71" w:rsidP="00513E71">
            <w:pPr>
              <w:spacing w:line="240" w:lineRule="auto"/>
              <w:jc w:val="center"/>
              <w:rPr>
                <w:rFonts w:eastAsia="Times New Roman" w:cs="Arial"/>
                <w:b/>
                <w:bCs/>
                <w:color w:val="000000"/>
                <w:szCs w:val="24"/>
                <w:lang w:eastAsia="cs-CZ"/>
              </w:rPr>
            </w:pPr>
            <w:r w:rsidRPr="00513E71">
              <w:rPr>
                <w:rFonts w:eastAsia="Times New Roman" w:cs="Arial"/>
                <w:b/>
                <w:bCs/>
                <w:color w:val="000000"/>
                <w:szCs w:val="24"/>
                <w:lang w:eastAsia="cs-CZ"/>
              </w:rPr>
              <w:t>3.4</w:t>
            </w:r>
          </w:p>
        </w:tc>
        <w:tc>
          <w:tcPr>
            <w:tcW w:w="567" w:type="dxa"/>
            <w:gridSpan w:val="3"/>
            <w:tcBorders>
              <w:top w:val="single" w:sz="8" w:space="0" w:color="auto"/>
              <w:left w:val="single" w:sz="8" w:space="0" w:color="auto"/>
              <w:bottom w:val="single" w:sz="4" w:space="0" w:color="auto"/>
              <w:right w:val="nil"/>
            </w:tcBorders>
            <w:shd w:val="clear" w:color="auto" w:fill="auto"/>
            <w:noWrap/>
            <w:vAlign w:val="center"/>
            <w:hideMark/>
          </w:tcPr>
          <w:p w:rsidR="00513E71" w:rsidRPr="00513E71" w:rsidRDefault="00513E71" w:rsidP="00513E71">
            <w:pPr>
              <w:spacing w:line="240" w:lineRule="auto"/>
              <w:jc w:val="right"/>
              <w:rPr>
                <w:rFonts w:eastAsia="Times New Roman" w:cs="Arial"/>
                <w:b/>
                <w:bCs/>
                <w:color w:val="000000"/>
                <w:szCs w:val="24"/>
                <w:lang w:eastAsia="cs-CZ"/>
              </w:rPr>
            </w:pPr>
            <w:r w:rsidRPr="00513E71">
              <w:rPr>
                <w:rFonts w:eastAsia="Times New Roman" w:cs="Arial"/>
                <w:b/>
                <w:bCs/>
                <w:color w:val="000000"/>
                <w:szCs w:val="24"/>
                <w:lang w:eastAsia="cs-CZ"/>
              </w:rPr>
              <w:t>T:</w:t>
            </w:r>
          </w:p>
        </w:tc>
        <w:tc>
          <w:tcPr>
            <w:tcW w:w="1749" w:type="dxa"/>
            <w:gridSpan w:val="3"/>
            <w:tcBorders>
              <w:top w:val="single" w:sz="8" w:space="0" w:color="auto"/>
              <w:left w:val="nil"/>
              <w:bottom w:val="single" w:sz="4" w:space="0" w:color="auto"/>
              <w:right w:val="nil"/>
            </w:tcBorders>
            <w:shd w:val="clear" w:color="auto" w:fill="auto"/>
            <w:noWrap/>
            <w:vAlign w:val="center"/>
            <w:hideMark/>
          </w:tcPr>
          <w:p w:rsidR="00513E71" w:rsidRPr="00513E71" w:rsidRDefault="00513E71" w:rsidP="00513E71">
            <w:pPr>
              <w:spacing w:line="240" w:lineRule="auto"/>
              <w:jc w:val="center"/>
              <w:rPr>
                <w:rFonts w:eastAsia="Times New Roman" w:cs="Arial"/>
                <w:b/>
                <w:bCs/>
                <w:color w:val="000000"/>
                <w:szCs w:val="24"/>
                <w:lang w:eastAsia="cs-CZ"/>
              </w:rPr>
            </w:pPr>
            <w:r w:rsidRPr="00513E71">
              <w:rPr>
                <w:rFonts w:eastAsia="Times New Roman" w:cs="Arial"/>
                <w:b/>
                <w:bCs/>
                <w:color w:val="000000"/>
                <w:szCs w:val="24"/>
                <w:lang w:eastAsia="cs-CZ"/>
              </w:rPr>
              <w:t>průběžně</w:t>
            </w:r>
          </w:p>
        </w:tc>
        <w:tc>
          <w:tcPr>
            <w:tcW w:w="928" w:type="dxa"/>
            <w:gridSpan w:val="2"/>
            <w:tcBorders>
              <w:top w:val="single" w:sz="12" w:space="0" w:color="auto"/>
              <w:left w:val="single" w:sz="12" w:space="0" w:color="auto"/>
              <w:bottom w:val="single" w:sz="12" w:space="0" w:color="auto"/>
              <w:right w:val="nil"/>
            </w:tcBorders>
            <w:shd w:val="clear" w:color="auto" w:fill="auto"/>
            <w:noWrap/>
            <w:vAlign w:val="center"/>
            <w:hideMark/>
          </w:tcPr>
          <w:p w:rsidR="00513E71" w:rsidRPr="00513E71" w:rsidRDefault="00513E71" w:rsidP="00513E71">
            <w:pPr>
              <w:spacing w:line="240" w:lineRule="auto"/>
              <w:jc w:val="right"/>
              <w:rPr>
                <w:rFonts w:eastAsia="Times New Roman" w:cs="Arial"/>
                <w:b/>
                <w:bCs/>
                <w:color w:val="000000"/>
                <w:szCs w:val="24"/>
                <w:lang w:eastAsia="cs-CZ"/>
              </w:rPr>
            </w:pPr>
            <w:r w:rsidRPr="00513E71">
              <w:rPr>
                <w:rFonts w:eastAsia="Times New Roman" w:cs="Arial"/>
                <w:b/>
                <w:bCs/>
                <w:color w:val="000000"/>
                <w:szCs w:val="24"/>
                <w:lang w:eastAsia="cs-CZ"/>
              </w:rPr>
              <w:t>gesce:</w:t>
            </w:r>
          </w:p>
        </w:tc>
        <w:tc>
          <w:tcPr>
            <w:tcW w:w="1446" w:type="dxa"/>
            <w:gridSpan w:val="2"/>
            <w:tcBorders>
              <w:top w:val="single" w:sz="12" w:space="0" w:color="auto"/>
              <w:left w:val="nil"/>
              <w:bottom w:val="single" w:sz="8" w:space="0" w:color="auto"/>
              <w:right w:val="single" w:sz="4" w:space="0" w:color="auto"/>
            </w:tcBorders>
            <w:shd w:val="clear" w:color="auto" w:fill="auto"/>
            <w:noWrap/>
            <w:vAlign w:val="center"/>
            <w:hideMark/>
          </w:tcPr>
          <w:p w:rsidR="00513E71" w:rsidRPr="00513E71" w:rsidRDefault="00513E71" w:rsidP="00513E71">
            <w:pPr>
              <w:spacing w:line="240" w:lineRule="auto"/>
              <w:jc w:val="left"/>
              <w:rPr>
                <w:rFonts w:eastAsia="Times New Roman" w:cs="Arial"/>
                <w:b/>
                <w:bCs/>
                <w:color w:val="000000"/>
                <w:szCs w:val="24"/>
                <w:lang w:eastAsia="cs-CZ"/>
              </w:rPr>
            </w:pPr>
            <w:r w:rsidRPr="00513E71">
              <w:rPr>
                <w:rFonts w:eastAsia="Times New Roman" w:cs="Arial"/>
                <w:b/>
                <w:bCs/>
                <w:color w:val="000000"/>
                <w:szCs w:val="24"/>
                <w:lang w:eastAsia="cs-CZ"/>
              </w:rPr>
              <w:t>MPSV</w:t>
            </w:r>
          </w:p>
        </w:tc>
        <w:tc>
          <w:tcPr>
            <w:tcW w:w="2659" w:type="dxa"/>
            <w:gridSpan w:val="2"/>
            <w:tcBorders>
              <w:left w:val="single" w:sz="4" w:space="0" w:color="auto"/>
              <w:bottom w:val="single" w:sz="8" w:space="0" w:color="auto"/>
            </w:tcBorders>
            <w:shd w:val="clear" w:color="auto" w:fill="auto"/>
            <w:noWrap/>
            <w:vAlign w:val="center"/>
          </w:tcPr>
          <w:p w:rsidR="00513E71" w:rsidRPr="00513E71" w:rsidRDefault="00513E71" w:rsidP="00513E71">
            <w:pPr>
              <w:spacing w:line="240" w:lineRule="auto"/>
              <w:jc w:val="right"/>
              <w:rPr>
                <w:rFonts w:eastAsia="Times New Roman" w:cs="Arial"/>
                <w:color w:val="000000"/>
                <w:szCs w:val="24"/>
                <w:lang w:eastAsia="cs-CZ"/>
              </w:rPr>
            </w:pPr>
          </w:p>
        </w:tc>
        <w:tc>
          <w:tcPr>
            <w:tcW w:w="2905" w:type="dxa"/>
            <w:gridSpan w:val="4"/>
            <w:tcBorders>
              <w:bottom w:val="single" w:sz="8" w:space="0" w:color="auto"/>
            </w:tcBorders>
            <w:shd w:val="clear" w:color="auto" w:fill="auto"/>
            <w:noWrap/>
            <w:vAlign w:val="center"/>
          </w:tcPr>
          <w:p w:rsidR="00513E71" w:rsidRPr="00513E71" w:rsidRDefault="00513E71" w:rsidP="00513E71">
            <w:pPr>
              <w:spacing w:line="240" w:lineRule="auto"/>
              <w:jc w:val="right"/>
              <w:rPr>
                <w:rFonts w:eastAsia="Times New Roman" w:cs="Arial"/>
                <w:color w:val="000000"/>
                <w:szCs w:val="24"/>
                <w:lang w:eastAsia="cs-CZ"/>
              </w:rPr>
            </w:pPr>
          </w:p>
        </w:tc>
        <w:tc>
          <w:tcPr>
            <w:tcW w:w="1275" w:type="dxa"/>
            <w:gridSpan w:val="3"/>
            <w:tcBorders>
              <w:bottom w:val="single" w:sz="8" w:space="0" w:color="auto"/>
            </w:tcBorders>
            <w:shd w:val="clear" w:color="auto" w:fill="auto"/>
            <w:noWrap/>
            <w:vAlign w:val="center"/>
          </w:tcPr>
          <w:p w:rsidR="00513E71" w:rsidRPr="00513E71" w:rsidRDefault="00513E71" w:rsidP="00513E71">
            <w:pPr>
              <w:spacing w:line="240" w:lineRule="auto"/>
              <w:jc w:val="right"/>
              <w:rPr>
                <w:rFonts w:eastAsia="Times New Roman" w:cs="Arial"/>
                <w:color w:val="000000"/>
                <w:szCs w:val="24"/>
                <w:lang w:eastAsia="cs-CZ"/>
              </w:rPr>
            </w:pPr>
          </w:p>
        </w:tc>
        <w:tc>
          <w:tcPr>
            <w:tcW w:w="1982" w:type="dxa"/>
            <w:gridSpan w:val="2"/>
            <w:tcBorders>
              <w:bottom w:val="single" w:sz="8" w:space="0" w:color="auto"/>
            </w:tcBorders>
            <w:shd w:val="clear" w:color="auto" w:fill="auto"/>
            <w:noWrap/>
            <w:vAlign w:val="center"/>
          </w:tcPr>
          <w:p w:rsidR="00513E71" w:rsidRPr="00513E71" w:rsidRDefault="00513E71" w:rsidP="00513E71">
            <w:pPr>
              <w:spacing w:line="240" w:lineRule="auto"/>
              <w:jc w:val="right"/>
              <w:rPr>
                <w:rFonts w:eastAsia="Times New Roman" w:cs="Arial"/>
                <w:b/>
                <w:bCs/>
                <w:color w:val="000000"/>
                <w:szCs w:val="24"/>
                <w:lang w:eastAsia="cs-CZ"/>
              </w:rPr>
            </w:pPr>
          </w:p>
        </w:tc>
      </w:tr>
      <w:tr w:rsidR="00D4495D" w:rsidRPr="00513E71" w:rsidTr="001879FC">
        <w:trPr>
          <w:gridBefore w:val="1"/>
          <w:wBefore w:w="142" w:type="dxa"/>
          <w:trHeight w:val="285"/>
        </w:trPr>
        <w:tc>
          <w:tcPr>
            <w:tcW w:w="568" w:type="dxa"/>
            <w:gridSpan w:val="2"/>
            <w:vMerge w:val="restart"/>
            <w:tcBorders>
              <w:top w:val="nil"/>
              <w:left w:val="single" w:sz="8" w:space="0" w:color="auto"/>
              <w:bottom w:val="single" w:sz="8" w:space="0" w:color="000000"/>
              <w:right w:val="single" w:sz="8" w:space="0" w:color="auto"/>
            </w:tcBorders>
            <w:shd w:val="clear" w:color="000000" w:fill="FDE9D9"/>
            <w:noWrap/>
            <w:textDirection w:val="btLr"/>
            <w:vAlign w:val="center"/>
            <w:hideMark/>
          </w:tcPr>
          <w:p w:rsidR="00513E71" w:rsidRPr="00513E71" w:rsidRDefault="00513E71" w:rsidP="00513E71">
            <w:pPr>
              <w:spacing w:line="240" w:lineRule="auto"/>
              <w:jc w:val="center"/>
              <w:rPr>
                <w:rFonts w:eastAsia="Times New Roman" w:cs="Arial"/>
                <w:b/>
                <w:bCs/>
                <w:color w:val="000000"/>
                <w:szCs w:val="24"/>
                <w:lang w:eastAsia="cs-CZ"/>
              </w:rPr>
            </w:pPr>
            <w:r w:rsidRPr="00513E71">
              <w:rPr>
                <w:rFonts w:eastAsia="Times New Roman" w:cs="Arial"/>
                <w:b/>
                <w:bCs/>
                <w:color w:val="000000"/>
                <w:szCs w:val="24"/>
                <w:lang w:eastAsia="cs-CZ"/>
              </w:rPr>
              <w:t>Potírání diskriminace na trhu práce a nelegálního zaměstnávání</w:t>
            </w:r>
          </w:p>
        </w:tc>
        <w:tc>
          <w:tcPr>
            <w:tcW w:w="2316" w:type="dxa"/>
            <w:gridSpan w:val="6"/>
            <w:tcBorders>
              <w:top w:val="single" w:sz="4" w:space="0" w:color="auto"/>
              <w:left w:val="nil"/>
              <w:bottom w:val="double" w:sz="6" w:space="0" w:color="auto"/>
              <w:right w:val="nil"/>
            </w:tcBorders>
            <w:shd w:val="clear" w:color="auto" w:fill="auto"/>
            <w:noWrap/>
            <w:vAlign w:val="center"/>
            <w:hideMark/>
          </w:tcPr>
          <w:p w:rsidR="00513E71" w:rsidRPr="00513E71" w:rsidRDefault="00513E71" w:rsidP="00513E71">
            <w:pPr>
              <w:spacing w:line="240" w:lineRule="auto"/>
              <w:jc w:val="right"/>
              <w:rPr>
                <w:rFonts w:eastAsia="Times New Roman" w:cs="Arial"/>
                <w:b/>
                <w:bCs/>
                <w:color w:val="000000"/>
                <w:szCs w:val="24"/>
                <w:lang w:eastAsia="cs-CZ"/>
              </w:rPr>
            </w:pPr>
            <w:r w:rsidRPr="00513E71">
              <w:rPr>
                <w:rFonts w:eastAsia="Times New Roman" w:cs="Arial"/>
                <w:b/>
                <w:bCs/>
                <w:color w:val="000000"/>
                <w:szCs w:val="24"/>
                <w:lang w:eastAsia="cs-CZ"/>
              </w:rPr>
              <w:t>povaha:</w:t>
            </w:r>
          </w:p>
        </w:tc>
        <w:tc>
          <w:tcPr>
            <w:tcW w:w="928" w:type="dxa"/>
            <w:gridSpan w:val="2"/>
            <w:tcBorders>
              <w:top w:val="nil"/>
              <w:left w:val="nil"/>
              <w:bottom w:val="double" w:sz="6" w:space="0" w:color="auto"/>
              <w:right w:val="double" w:sz="6" w:space="0" w:color="auto"/>
            </w:tcBorders>
            <w:shd w:val="clear" w:color="auto" w:fill="auto"/>
            <w:noWrap/>
            <w:vAlign w:val="center"/>
            <w:hideMark/>
          </w:tcPr>
          <w:p w:rsidR="00513E71" w:rsidRPr="00513E71" w:rsidRDefault="00513E71" w:rsidP="00D4495D">
            <w:pPr>
              <w:spacing w:line="240" w:lineRule="auto"/>
              <w:jc w:val="left"/>
              <w:rPr>
                <w:rFonts w:eastAsia="Times New Roman" w:cs="Arial"/>
                <w:b/>
                <w:bCs/>
                <w:color w:val="000000"/>
                <w:szCs w:val="24"/>
                <w:lang w:eastAsia="cs-CZ"/>
              </w:rPr>
            </w:pPr>
            <w:r w:rsidRPr="00513E71">
              <w:rPr>
                <w:rFonts w:eastAsia="Times New Roman" w:cs="Arial"/>
                <w:b/>
                <w:bCs/>
                <w:color w:val="000000"/>
                <w:szCs w:val="24"/>
                <w:lang w:eastAsia="cs-CZ"/>
              </w:rPr>
              <w:t>N</w:t>
            </w:r>
          </w:p>
        </w:tc>
        <w:tc>
          <w:tcPr>
            <w:tcW w:w="7010" w:type="dxa"/>
            <w:gridSpan w:val="8"/>
            <w:tcBorders>
              <w:top w:val="single" w:sz="8" w:space="0" w:color="auto"/>
              <w:left w:val="nil"/>
              <w:right w:val="nil"/>
            </w:tcBorders>
            <w:shd w:val="clear" w:color="auto" w:fill="auto"/>
            <w:noWrap/>
            <w:vAlign w:val="center"/>
            <w:hideMark/>
          </w:tcPr>
          <w:p w:rsidR="00513E71" w:rsidRPr="00513E71" w:rsidRDefault="00513E71" w:rsidP="00513E71">
            <w:pPr>
              <w:spacing w:line="240" w:lineRule="auto"/>
              <w:jc w:val="center"/>
              <w:rPr>
                <w:rFonts w:eastAsia="Times New Roman" w:cs="Arial"/>
                <w:b/>
                <w:bCs/>
                <w:color w:val="000000"/>
                <w:szCs w:val="24"/>
                <w:u w:val="single"/>
                <w:lang w:eastAsia="cs-CZ"/>
              </w:rPr>
            </w:pPr>
            <w:r w:rsidRPr="00513E71">
              <w:rPr>
                <w:rFonts w:eastAsia="Times New Roman" w:cs="Arial"/>
                <w:b/>
                <w:bCs/>
                <w:color w:val="000000"/>
                <w:szCs w:val="24"/>
                <w:u w:val="single"/>
                <w:lang w:eastAsia="cs-CZ"/>
              </w:rPr>
              <w:t>Popis</w:t>
            </w:r>
          </w:p>
        </w:tc>
        <w:tc>
          <w:tcPr>
            <w:tcW w:w="1275" w:type="dxa"/>
            <w:gridSpan w:val="3"/>
            <w:tcBorders>
              <w:top w:val="single" w:sz="8" w:space="0" w:color="auto"/>
              <w:left w:val="nil"/>
              <w:right w:val="nil"/>
            </w:tcBorders>
            <w:shd w:val="clear" w:color="auto" w:fill="auto"/>
            <w:noWrap/>
            <w:vAlign w:val="center"/>
          </w:tcPr>
          <w:p w:rsidR="00513E71" w:rsidRPr="00513E71" w:rsidRDefault="00513E71" w:rsidP="00513E71">
            <w:pPr>
              <w:spacing w:line="240" w:lineRule="auto"/>
              <w:jc w:val="center"/>
              <w:rPr>
                <w:rFonts w:eastAsia="Times New Roman" w:cs="Arial"/>
                <w:b/>
                <w:bCs/>
                <w:color w:val="000000"/>
                <w:szCs w:val="24"/>
                <w:u w:val="single"/>
                <w:lang w:eastAsia="cs-CZ"/>
              </w:rPr>
            </w:pPr>
          </w:p>
        </w:tc>
        <w:tc>
          <w:tcPr>
            <w:tcW w:w="1982" w:type="dxa"/>
            <w:gridSpan w:val="2"/>
            <w:tcBorders>
              <w:top w:val="single" w:sz="8" w:space="0" w:color="auto"/>
              <w:left w:val="nil"/>
              <w:right w:val="single" w:sz="8" w:space="0" w:color="auto"/>
            </w:tcBorders>
            <w:shd w:val="clear" w:color="auto" w:fill="auto"/>
            <w:noWrap/>
            <w:vAlign w:val="center"/>
          </w:tcPr>
          <w:p w:rsidR="00513E71" w:rsidRPr="00513E71" w:rsidRDefault="00513E71" w:rsidP="00513E71">
            <w:pPr>
              <w:spacing w:line="240" w:lineRule="auto"/>
              <w:jc w:val="center"/>
              <w:rPr>
                <w:rFonts w:eastAsia="Times New Roman" w:cs="Arial"/>
                <w:b/>
                <w:bCs/>
                <w:color w:val="000000"/>
                <w:szCs w:val="24"/>
                <w:u w:val="single"/>
                <w:lang w:eastAsia="cs-CZ"/>
              </w:rPr>
            </w:pPr>
          </w:p>
        </w:tc>
      </w:tr>
      <w:tr w:rsidR="00513E71" w:rsidRPr="00513E71" w:rsidTr="001879FC">
        <w:trPr>
          <w:gridBefore w:val="1"/>
          <w:wBefore w:w="142" w:type="dxa"/>
          <w:trHeight w:val="285"/>
        </w:trPr>
        <w:tc>
          <w:tcPr>
            <w:tcW w:w="568" w:type="dxa"/>
            <w:gridSpan w:val="2"/>
            <w:vMerge/>
            <w:tcBorders>
              <w:top w:val="nil"/>
              <w:left w:val="single" w:sz="8" w:space="0" w:color="auto"/>
              <w:bottom w:val="single" w:sz="8" w:space="0" w:color="000000"/>
              <w:right w:val="single" w:sz="8" w:space="0" w:color="auto"/>
            </w:tcBorders>
            <w:vAlign w:val="center"/>
            <w:hideMark/>
          </w:tcPr>
          <w:p w:rsidR="00513E71" w:rsidRPr="00513E71" w:rsidRDefault="00513E71" w:rsidP="00513E71">
            <w:pPr>
              <w:spacing w:line="240" w:lineRule="auto"/>
              <w:jc w:val="left"/>
              <w:rPr>
                <w:rFonts w:eastAsia="Times New Roman" w:cs="Arial"/>
                <w:b/>
                <w:bCs/>
                <w:color w:val="000000"/>
                <w:szCs w:val="24"/>
                <w:lang w:eastAsia="cs-CZ"/>
              </w:rPr>
            </w:pPr>
          </w:p>
        </w:tc>
        <w:tc>
          <w:tcPr>
            <w:tcW w:w="13511" w:type="dxa"/>
            <w:gridSpan w:val="21"/>
            <w:tcBorders>
              <w:top w:val="nil"/>
              <w:left w:val="nil"/>
              <w:bottom w:val="double" w:sz="6" w:space="0" w:color="auto"/>
              <w:right w:val="single" w:sz="8" w:space="0" w:color="000000"/>
            </w:tcBorders>
            <w:shd w:val="clear" w:color="auto" w:fill="auto"/>
            <w:vAlign w:val="center"/>
            <w:hideMark/>
          </w:tcPr>
          <w:p w:rsidR="00513E71" w:rsidRPr="00513E71" w:rsidRDefault="00513E71" w:rsidP="00513E71">
            <w:pPr>
              <w:spacing w:line="240" w:lineRule="auto"/>
              <w:rPr>
                <w:rFonts w:eastAsia="Times New Roman" w:cs="Arial"/>
                <w:color w:val="000000"/>
                <w:szCs w:val="24"/>
                <w:lang w:eastAsia="cs-CZ"/>
              </w:rPr>
            </w:pPr>
            <w:r w:rsidRPr="00513E71">
              <w:rPr>
                <w:rFonts w:eastAsia="Times New Roman" w:cs="Arial"/>
                <w:color w:val="000000"/>
                <w:szCs w:val="24"/>
                <w:lang w:eastAsia="cs-CZ"/>
              </w:rPr>
              <w:t>Zintenzivnění činnosti SUIP v oblasti kontroly nelegální práce a potírání diskriminace na trhu práce</w:t>
            </w:r>
          </w:p>
        </w:tc>
      </w:tr>
      <w:tr w:rsidR="00375D0A" w:rsidRPr="00513E71" w:rsidTr="009B7658">
        <w:trPr>
          <w:gridBefore w:val="1"/>
          <w:wBefore w:w="142" w:type="dxa"/>
          <w:trHeight w:val="285"/>
        </w:trPr>
        <w:tc>
          <w:tcPr>
            <w:tcW w:w="568" w:type="dxa"/>
            <w:gridSpan w:val="2"/>
            <w:vMerge/>
            <w:tcBorders>
              <w:top w:val="nil"/>
              <w:left w:val="single" w:sz="8" w:space="0" w:color="auto"/>
              <w:bottom w:val="single" w:sz="8" w:space="0" w:color="000000"/>
              <w:right w:val="double" w:sz="6" w:space="0" w:color="auto"/>
            </w:tcBorders>
            <w:vAlign w:val="center"/>
            <w:hideMark/>
          </w:tcPr>
          <w:p w:rsidR="00375D0A" w:rsidRPr="00513E71" w:rsidRDefault="00375D0A" w:rsidP="00513E71">
            <w:pPr>
              <w:spacing w:line="240" w:lineRule="auto"/>
              <w:jc w:val="left"/>
              <w:rPr>
                <w:rFonts w:eastAsia="Times New Roman" w:cs="Arial"/>
                <w:b/>
                <w:bCs/>
                <w:color w:val="000000"/>
                <w:szCs w:val="24"/>
                <w:lang w:eastAsia="cs-CZ"/>
              </w:rPr>
            </w:pPr>
          </w:p>
        </w:tc>
        <w:tc>
          <w:tcPr>
            <w:tcW w:w="3244" w:type="dxa"/>
            <w:gridSpan w:val="8"/>
            <w:tcBorders>
              <w:top w:val="double" w:sz="6" w:space="0" w:color="auto"/>
              <w:left w:val="double" w:sz="6" w:space="0" w:color="auto"/>
              <w:bottom w:val="double" w:sz="6" w:space="0" w:color="auto"/>
              <w:right w:val="double" w:sz="6" w:space="0" w:color="auto"/>
            </w:tcBorders>
            <w:shd w:val="clear" w:color="000000" w:fill="F2DCDB"/>
            <w:noWrap/>
            <w:vAlign w:val="center"/>
            <w:hideMark/>
          </w:tcPr>
          <w:p w:rsidR="00375D0A" w:rsidRPr="00513E71" w:rsidRDefault="00375D0A" w:rsidP="00375D0A">
            <w:pPr>
              <w:spacing w:line="240" w:lineRule="auto"/>
              <w:jc w:val="center"/>
              <w:rPr>
                <w:rFonts w:eastAsia="Times New Roman" w:cs="Arial"/>
                <w:b/>
                <w:bCs/>
                <w:color w:val="000000"/>
                <w:szCs w:val="24"/>
                <w:lang w:eastAsia="cs-CZ"/>
              </w:rPr>
            </w:pPr>
            <w:r w:rsidRPr="00513E71">
              <w:rPr>
                <w:rFonts w:eastAsia="Times New Roman" w:cs="Arial"/>
                <w:b/>
                <w:bCs/>
                <w:color w:val="000000"/>
                <w:szCs w:val="24"/>
                <w:lang w:eastAsia="cs-CZ"/>
              </w:rPr>
              <w:t>Řešeno</w:t>
            </w:r>
          </w:p>
        </w:tc>
        <w:tc>
          <w:tcPr>
            <w:tcW w:w="7010" w:type="dxa"/>
            <w:gridSpan w:val="8"/>
            <w:tcBorders>
              <w:top w:val="double" w:sz="6" w:space="0" w:color="auto"/>
              <w:left w:val="double" w:sz="6" w:space="0" w:color="auto"/>
              <w:bottom w:val="nil"/>
              <w:right w:val="nil"/>
            </w:tcBorders>
            <w:shd w:val="clear" w:color="auto" w:fill="auto"/>
            <w:vAlign w:val="center"/>
            <w:hideMark/>
          </w:tcPr>
          <w:p w:rsidR="00375D0A" w:rsidRPr="00513E71" w:rsidRDefault="00375D0A" w:rsidP="00513E71">
            <w:pPr>
              <w:spacing w:line="240" w:lineRule="auto"/>
              <w:jc w:val="center"/>
              <w:rPr>
                <w:rFonts w:eastAsia="Times New Roman" w:cs="Arial"/>
                <w:b/>
                <w:bCs/>
                <w:color w:val="000000"/>
                <w:szCs w:val="24"/>
                <w:u w:val="single"/>
                <w:lang w:eastAsia="cs-CZ"/>
              </w:rPr>
            </w:pPr>
            <w:r w:rsidRPr="00513E71">
              <w:rPr>
                <w:rFonts w:eastAsia="Times New Roman" w:cs="Arial"/>
                <w:b/>
                <w:bCs/>
                <w:color w:val="000000"/>
                <w:szCs w:val="24"/>
                <w:u w:val="single"/>
                <w:lang w:eastAsia="cs-CZ"/>
              </w:rPr>
              <w:t>Plnění</w:t>
            </w:r>
          </w:p>
        </w:tc>
        <w:tc>
          <w:tcPr>
            <w:tcW w:w="1275" w:type="dxa"/>
            <w:gridSpan w:val="3"/>
            <w:tcBorders>
              <w:top w:val="nil"/>
              <w:left w:val="single" w:sz="8" w:space="0" w:color="auto"/>
              <w:bottom w:val="single" w:sz="8" w:space="0" w:color="auto"/>
              <w:right w:val="nil"/>
            </w:tcBorders>
            <w:shd w:val="clear" w:color="auto" w:fill="auto"/>
            <w:vAlign w:val="center"/>
            <w:hideMark/>
          </w:tcPr>
          <w:p w:rsidR="00375D0A" w:rsidRPr="00513E71" w:rsidRDefault="00375D0A" w:rsidP="00513E71">
            <w:pPr>
              <w:spacing w:line="240" w:lineRule="auto"/>
              <w:jc w:val="right"/>
              <w:rPr>
                <w:rFonts w:eastAsia="Times New Roman" w:cs="Arial"/>
                <w:color w:val="000000"/>
                <w:szCs w:val="24"/>
                <w:lang w:eastAsia="cs-CZ"/>
              </w:rPr>
            </w:pPr>
            <w:r w:rsidRPr="00513E71">
              <w:rPr>
                <w:rFonts w:eastAsia="Times New Roman" w:cs="Arial"/>
                <w:color w:val="000000"/>
                <w:szCs w:val="24"/>
                <w:lang w:eastAsia="cs-CZ"/>
              </w:rPr>
              <w:t>k datu</w:t>
            </w:r>
          </w:p>
        </w:tc>
        <w:tc>
          <w:tcPr>
            <w:tcW w:w="1982" w:type="dxa"/>
            <w:gridSpan w:val="2"/>
            <w:tcBorders>
              <w:top w:val="nil"/>
              <w:left w:val="nil"/>
              <w:bottom w:val="single" w:sz="8" w:space="0" w:color="auto"/>
              <w:right w:val="single" w:sz="8" w:space="0" w:color="auto"/>
            </w:tcBorders>
            <w:shd w:val="clear" w:color="auto" w:fill="auto"/>
            <w:vAlign w:val="center"/>
            <w:hideMark/>
          </w:tcPr>
          <w:p w:rsidR="00375D0A" w:rsidRPr="00513E71" w:rsidRDefault="00375D0A" w:rsidP="00D4495D">
            <w:pPr>
              <w:spacing w:line="240" w:lineRule="auto"/>
              <w:jc w:val="left"/>
              <w:rPr>
                <w:rFonts w:eastAsia="Times New Roman" w:cs="Arial"/>
                <w:b/>
                <w:bCs/>
                <w:color w:val="000000"/>
                <w:szCs w:val="24"/>
                <w:u w:val="single"/>
                <w:lang w:eastAsia="cs-CZ"/>
              </w:rPr>
            </w:pPr>
            <w:r>
              <w:rPr>
                <w:rFonts w:eastAsia="Times New Roman" w:cs="Arial"/>
                <w:b/>
                <w:bCs/>
                <w:color w:val="000000"/>
                <w:szCs w:val="24"/>
                <w:u w:val="single"/>
                <w:lang w:eastAsia="cs-CZ"/>
              </w:rPr>
              <w:t xml:space="preserve">31. 12. 2016 </w:t>
            </w:r>
          </w:p>
        </w:tc>
      </w:tr>
      <w:tr w:rsidR="00513E71" w:rsidRPr="00513E71" w:rsidTr="001879FC">
        <w:trPr>
          <w:gridBefore w:val="1"/>
          <w:wBefore w:w="142" w:type="dxa"/>
          <w:trHeight w:val="522"/>
        </w:trPr>
        <w:tc>
          <w:tcPr>
            <w:tcW w:w="568" w:type="dxa"/>
            <w:gridSpan w:val="2"/>
            <w:vMerge/>
            <w:tcBorders>
              <w:top w:val="nil"/>
              <w:left w:val="single" w:sz="8" w:space="0" w:color="auto"/>
              <w:bottom w:val="single" w:sz="8" w:space="0" w:color="000000"/>
              <w:right w:val="single" w:sz="8" w:space="0" w:color="auto"/>
            </w:tcBorders>
            <w:vAlign w:val="center"/>
            <w:hideMark/>
          </w:tcPr>
          <w:p w:rsidR="00513E71" w:rsidRPr="00513E71" w:rsidRDefault="00513E71" w:rsidP="00513E71">
            <w:pPr>
              <w:spacing w:line="240" w:lineRule="auto"/>
              <w:jc w:val="left"/>
              <w:rPr>
                <w:rFonts w:eastAsia="Times New Roman" w:cs="Arial"/>
                <w:b/>
                <w:bCs/>
                <w:color w:val="000000"/>
                <w:szCs w:val="24"/>
                <w:lang w:eastAsia="cs-CZ"/>
              </w:rPr>
            </w:pPr>
          </w:p>
        </w:tc>
        <w:tc>
          <w:tcPr>
            <w:tcW w:w="567" w:type="dxa"/>
            <w:gridSpan w:val="3"/>
            <w:tcBorders>
              <w:top w:val="nil"/>
              <w:left w:val="nil"/>
              <w:bottom w:val="nil"/>
              <w:right w:val="single" w:sz="4" w:space="0" w:color="auto"/>
            </w:tcBorders>
            <w:shd w:val="clear" w:color="auto" w:fill="auto"/>
            <w:textDirection w:val="btLr"/>
            <w:vAlign w:val="center"/>
            <w:hideMark/>
          </w:tcPr>
          <w:p w:rsidR="00513E71" w:rsidRPr="00513E71" w:rsidRDefault="00513E71" w:rsidP="00513E71">
            <w:pPr>
              <w:spacing w:line="240" w:lineRule="auto"/>
              <w:jc w:val="center"/>
              <w:rPr>
                <w:rFonts w:eastAsia="Times New Roman" w:cs="Arial"/>
                <w:color w:val="000000"/>
                <w:szCs w:val="24"/>
                <w:lang w:eastAsia="cs-CZ"/>
              </w:rPr>
            </w:pPr>
            <w:r w:rsidRPr="00513E71">
              <w:rPr>
                <w:rFonts w:eastAsia="Times New Roman" w:cs="Arial"/>
                <w:color w:val="000000"/>
                <w:szCs w:val="24"/>
                <w:lang w:eastAsia="cs-CZ"/>
              </w:rPr>
              <w:t xml:space="preserve">předchozí </w:t>
            </w:r>
          </w:p>
        </w:tc>
        <w:tc>
          <w:tcPr>
            <w:tcW w:w="12944" w:type="dxa"/>
            <w:gridSpan w:val="18"/>
            <w:tcBorders>
              <w:top w:val="nil"/>
              <w:left w:val="nil"/>
              <w:bottom w:val="nil"/>
              <w:right w:val="single" w:sz="8" w:space="0" w:color="000000"/>
            </w:tcBorders>
            <w:shd w:val="clear" w:color="auto" w:fill="auto"/>
            <w:hideMark/>
          </w:tcPr>
          <w:p w:rsidR="00513E71" w:rsidRPr="00513E71" w:rsidRDefault="00513E71" w:rsidP="00F45AA0">
            <w:pPr>
              <w:spacing w:before="120" w:line="240" w:lineRule="auto"/>
              <w:jc w:val="left"/>
              <w:rPr>
                <w:rFonts w:eastAsia="Times New Roman" w:cs="Arial"/>
                <w:color w:val="000000"/>
                <w:szCs w:val="24"/>
                <w:lang w:eastAsia="cs-CZ"/>
              </w:rPr>
            </w:pPr>
            <w:r w:rsidRPr="00513E71">
              <w:rPr>
                <w:rFonts w:eastAsia="Times New Roman" w:cs="Arial"/>
                <w:color w:val="000000"/>
                <w:szCs w:val="24"/>
                <w:lang w:eastAsia="cs-CZ"/>
              </w:rPr>
              <w:t>Součástí materiálu Analýza nabídky a poptávky na trhu práce, schváleného usnesením vlády č. 1127/2016, byla samostatná část/kapitola věnující se problematice kontrol provedených Státním úřadem inspekce práce</w:t>
            </w:r>
            <w:r w:rsidR="00F45AA0">
              <w:rPr>
                <w:rFonts w:eastAsia="Times New Roman" w:cs="Arial"/>
                <w:color w:val="000000"/>
                <w:szCs w:val="24"/>
                <w:lang w:eastAsia="cs-CZ"/>
              </w:rPr>
              <w:t>.</w:t>
            </w:r>
          </w:p>
        </w:tc>
      </w:tr>
      <w:tr w:rsidR="00513E71" w:rsidRPr="00513E71" w:rsidTr="001879FC">
        <w:trPr>
          <w:gridBefore w:val="1"/>
          <w:wBefore w:w="142" w:type="dxa"/>
          <w:trHeight w:val="6921"/>
        </w:trPr>
        <w:tc>
          <w:tcPr>
            <w:tcW w:w="568" w:type="dxa"/>
            <w:gridSpan w:val="2"/>
            <w:vMerge/>
            <w:tcBorders>
              <w:top w:val="nil"/>
              <w:left w:val="single" w:sz="8" w:space="0" w:color="auto"/>
              <w:bottom w:val="single" w:sz="8" w:space="0" w:color="000000"/>
              <w:right w:val="single" w:sz="8" w:space="0" w:color="auto"/>
            </w:tcBorders>
            <w:vAlign w:val="center"/>
            <w:hideMark/>
          </w:tcPr>
          <w:p w:rsidR="00513E71" w:rsidRPr="00513E71" w:rsidRDefault="00513E71" w:rsidP="00513E71">
            <w:pPr>
              <w:spacing w:line="240" w:lineRule="auto"/>
              <w:jc w:val="left"/>
              <w:rPr>
                <w:rFonts w:eastAsia="Times New Roman" w:cs="Arial"/>
                <w:b/>
                <w:bCs/>
                <w:color w:val="000000"/>
                <w:szCs w:val="24"/>
                <w:lang w:eastAsia="cs-CZ"/>
              </w:rPr>
            </w:pPr>
          </w:p>
        </w:tc>
        <w:tc>
          <w:tcPr>
            <w:tcW w:w="567" w:type="dxa"/>
            <w:gridSpan w:val="3"/>
            <w:tcBorders>
              <w:top w:val="single" w:sz="4" w:space="0" w:color="auto"/>
              <w:left w:val="nil"/>
              <w:bottom w:val="single" w:sz="8" w:space="0" w:color="auto"/>
              <w:right w:val="single" w:sz="4" w:space="0" w:color="auto"/>
            </w:tcBorders>
            <w:shd w:val="clear" w:color="auto" w:fill="auto"/>
            <w:textDirection w:val="btLr"/>
            <w:vAlign w:val="center"/>
            <w:hideMark/>
          </w:tcPr>
          <w:p w:rsidR="00513E71" w:rsidRPr="00513E71" w:rsidRDefault="00513E71" w:rsidP="00513E71">
            <w:pPr>
              <w:spacing w:line="240" w:lineRule="auto"/>
              <w:jc w:val="center"/>
              <w:rPr>
                <w:rFonts w:eastAsia="Times New Roman" w:cs="Arial"/>
                <w:color w:val="000000"/>
                <w:szCs w:val="24"/>
                <w:lang w:eastAsia="cs-CZ"/>
              </w:rPr>
            </w:pPr>
            <w:r w:rsidRPr="00513E71">
              <w:rPr>
                <w:rFonts w:eastAsia="Times New Roman" w:cs="Arial"/>
                <w:color w:val="000000"/>
                <w:szCs w:val="24"/>
                <w:lang w:eastAsia="cs-CZ"/>
              </w:rPr>
              <w:t>sledované období</w:t>
            </w:r>
          </w:p>
        </w:tc>
        <w:tc>
          <w:tcPr>
            <w:tcW w:w="12944" w:type="dxa"/>
            <w:gridSpan w:val="18"/>
            <w:tcBorders>
              <w:top w:val="single" w:sz="4" w:space="0" w:color="auto"/>
              <w:left w:val="nil"/>
              <w:bottom w:val="single" w:sz="8" w:space="0" w:color="auto"/>
              <w:right w:val="single" w:sz="8" w:space="0" w:color="000000"/>
            </w:tcBorders>
            <w:shd w:val="clear" w:color="auto" w:fill="auto"/>
            <w:hideMark/>
          </w:tcPr>
          <w:p w:rsidR="00D4495D" w:rsidRDefault="00513E71" w:rsidP="00F45AA0">
            <w:pPr>
              <w:spacing w:before="120" w:after="120" w:line="240" w:lineRule="auto"/>
              <w:rPr>
                <w:rFonts w:eastAsia="Times New Roman" w:cs="Arial"/>
                <w:color w:val="000000"/>
                <w:szCs w:val="24"/>
                <w:lang w:eastAsia="cs-CZ"/>
              </w:rPr>
            </w:pPr>
            <w:r w:rsidRPr="00513E71">
              <w:rPr>
                <w:rFonts w:eastAsia="Times New Roman" w:cs="Arial"/>
                <w:color w:val="000000"/>
                <w:szCs w:val="24"/>
                <w:lang w:eastAsia="cs-CZ"/>
              </w:rPr>
              <w:t xml:space="preserve">V roce 2016 bylo souhrnně ve všech oblastech kontrolní činnosti SÚIP  provedeno 26 620 kontrol. Z </w:t>
            </w:r>
            <w:r w:rsidR="00D4495D">
              <w:rPr>
                <w:rFonts w:eastAsia="Times New Roman" w:cs="Arial"/>
                <w:color w:val="000000"/>
                <w:szCs w:val="24"/>
                <w:lang w:eastAsia="cs-CZ"/>
              </w:rPr>
              <w:t>tohoto počtu bylo v </w:t>
            </w:r>
            <w:r w:rsidRPr="00513E71">
              <w:rPr>
                <w:rFonts w:eastAsia="Times New Roman" w:cs="Arial"/>
                <w:color w:val="000000"/>
                <w:szCs w:val="24"/>
                <w:lang w:eastAsia="cs-CZ"/>
              </w:rPr>
              <w:t xml:space="preserve">oblasti dodržování ustanovení </w:t>
            </w:r>
            <w:proofErr w:type="spellStart"/>
            <w:r w:rsidR="00D4495D">
              <w:rPr>
                <w:rFonts w:eastAsia="Times New Roman" w:cs="Arial"/>
                <w:color w:val="000000"/>
                <w:szCs w:val="24"/>
                <w:lang w:eastAsia="cs-CZ"/>
              </w:rPr>
              <w:t>ZoZ</w:t>
            </w:r>
            <w:proofErr w:type="spellEnd"/>
            <w:r w:rsidRPr="00513E71">
              <w:rPr>
                <w:rFonts w:eastAsia="Times New Roman" w:cs="Arial"/>
                <w:color w:val="000000"/>
                <w:szCs w:val="24"/>
                <w:lang w:eastAsia="cs-CZ"/>
              </w:rPr>
              <w:t xml:space="preserve"> provedeno celkem 9 632 kontrol </w:t>
            </w:r>
            <w:r w:rsidR="00F45AA0">
              <w:rPr>
                <w:rFonts w:eastAsia="Times New Roman" w:cs="Arial"/>
                <w:color w:val="000000"/>
                <w:szCs w:val="24"/>
                <w:lang w:eastAsia="cs-CZ"/>
              </w:rPr>
              <w:t>(</w:t>
            </w:r>
            <w:r w:rsidRPr="00513E71">
              <w:rPr>
                <w:rFonts w:eastAsia="Times New Roman" w:cs="Arial"/>
                <w:color w:val="000000"/>
                <w:szCs w:val="24"/>
                <w:lang w:eastAsia="cs-CZ"/>
              </w:rPr>
              <w:t xml:space="preserve">9 308 zaměřeno na </w:t>
            </w:r>
            <w:r w:rsidR="00D4495D">
              <w:rPr>
                <w:rFonts w:eastAsia="Times New Roman" w:cs="Arial"/>
                <w:color w:val="000000"/>
                <w:szCs w:val="24"/>
                <w:lang w:eastAsia="cs-CZ"/>
              </w:rPr>
              <w:t>nelegální zaměstnávání</w:t>
            </w:r>
            <w:r w:rsidR="00F45AA0">
              <w:rPr>
                <w:rFonts w:eastAsia="Times New Roman" w:cs="Arial"/>
                <w:color w:val="000000"/>
                <w:szCs w:val="24"/>
                <w:lang w:eastAsia="cs-CZ"/>
              </w:rPr>
              <w:t>)</w:t>
            </w:r>
            <w:r w:rsidR="00D4495D">
              <w:rPr>
                <w:rFonts w:eastAsia="Times New Roman" w:cs="Arial"/>
                <w:color w:val="000000"/>
                <w:szCs w:val="24"/>
                <w:lang w:eastAsia="cs-CZ"/>
              </w:rPr>
              <w:t xml:space="preserve">. </w:t>
            </w:r>
            <w:r w:rsidR="00F45AA0">
              <w:rPr>
                <w:rFonts w:eastAsia="Times New Roman" w:cs="Arial"/>
                <w:color w:val="000000"/>
                <w:szCs w:val="24"/>
                <w:lang w:eastAsia="cs-CZ"/>
              </w:rPr>
              <w:t>N</w:t>
            </w:r>
            <w:r w:rsidRPr="00513E71">
              <w:rPr>
                <w:rFonts w:eastAsia="Times New Roman" w:cs="Arial"/>
                <w:color w:val="000000"/>
                <w:szCs w:val="24"/>
                <w:lang w:eastAsia="cs-CZ"/>
              </w:rPr>
              <w:t>elegá</w:t>
            </w:r>
            <w:r w:rsidR="00D4495D">
              <w:rPr>
                <w:rFonts w:eastAsia="Times New Roman" w:cs="Arial"/>
                <w:color w:val="000000"/>
                <w:szCs w:val="24"/>
                <w:lang w:eastAsia="cs-CZ"/>
              </w:rPr>
              <w:t xml:space="preserve">lní zaměstnávání </w:t>
            </w:r>
            <w:r w:rsidR="00F45AA0">
              <w:rPr>
                <w:rFonts w:eastAsia="Times New Roman" w:cs="Arial"/>
                <w:color w:val="000000"/>
                <w:szCs w:val="24"/>
                <w:lang w:eastAsia="cs-CZ"/>
              </w:rPr>
              <w:t xml:space="preserve">bylo zjištěno </w:t>
            </w:r>
            <w:r w:rsidR="00D4495D">
              <w:rPr>
                <w:rFonts w:eastAsia="Times New Roman" w:cs="Arial"/>
                <w:color w:val="000000"/>
                <w:szCs w:val="24"/>
                <w:lang w:eastAsia="cs-CZ"/>
              </w:rPr>
              <w:t xml:space="preserve">u 845 kontrol. </w:t>
            </w:r>
            <w:r w:rsidRPr="00513E71">
              <w:rPr>
                <w:rFonts w:eastAsia="Times New Roman" w:cs="Arial"/>
                <w:color w:val="000000"/>
                <w:szCs w:val="24"/>
                <w:lang w:eastAsia="cs-CZ"/>
              </w:rPr>
              <w:t>Z celkového počtu 2 290 zjištěných nelegálně zaměstnaných osob se v 760 případech jednalo o občany ČR, v</w:t>
            </w:r>
            <w:r w:rsidR="00D4495D">
              <w:rPr>
                <w:rFonts w:eastAsia="Times New Roman" w:cs="Arial"/>
                <w:color w:val="000000"/>
                <w:szCs w:val="24"/>
                <w:lang w:eastAsia="cs-CZ"/>
              </w:rPr>
              <w:t>e</w:t>
            </w:r>
            <w:r w:rsidRPr="00513E71">
              <w:rPr>
                <w:rFonts w:eastAsia="Times New Roman" w:cs="Arial"/>
                <w:color w:val="000000"/>
                <w:szCs w:val="24"/>
                <w:lang w:eastAsia="cs-CZ"/>
              </w:rPr>
              <w:t xml:space="preserve"> 193 případech o občany EU a v 1 337 pří</w:t>
            </w:r>
            <w:r w:rsidR="00D229A2">
              <w:rPr>
                <w:rFonts w:eastAsia="Times New Roman" w:cs="Arial"/>
                <w:color w:val="000000"/>
                <w:szCs w:val="24"/>
                <w:lang w:eastAsia="cs-CZ"/>
              </w:rPr>
              <w:t>padech o občany třecích zemí. V </w:t>
            </w:r>
            <w:r w:rsidRPr="00513E71">
              <w:rPr>
                <w:rFonts w:eastAsia="Times New Roman" w:cs="Arial"/>
                <w:color w:val="000000"/>
                <w:szCs w:val="24"/>
                <w:lang w:eastAsia="cs-CZ"/>
              </w:rPr>
              <w:t>případě výkonu neleg</w:t>
            </w:r>
            <w:r w:rsidR="00F45AA0">
              <w:rPr>
                <w:rFonts w:eastAsia="Times New Roman" w:cs="Arial"/>
                <w:color w:val="000000"/>
                <w:szCs w:val="24"/>
                <w:lang w:eastAsia="cs-CZ"/>
              </w:rPr>
              <w:t xml:space="preserve">ální práce </w:t>
            </w:r>
            <w:r w:rsidRPr="00513E71">
              <w:rPr>
                <w:rFonts w:eastAsia="Times New Roman" w:cs="Arial"/>
                <w:color w:val="000000"/>
                <w:szCs w:val="24"/>
                <w:lang w:eastAsia="cs-CZ"/>
              </w:rPr>
              <w:t>občanů třetích zemí</w:t>
            </w:r>
            <w:r w:rsidR="00F45AA0">
              <w:rPr>
                <w:rFonts w:eastAsia="Times New Roman" w:cs="Arial"/>
                <w:color w:val="000000"/>
                <w:szCs w:val="24"/>
                <w:lang w:eastAsia="cs-CZ"/>
              </w:rPr>
              <w:t>,</w:t>
            </w:r>
            <w:r w:rsidRPr="00513E71">
              <w:rPr>
                <w:rFonts w:eastAsia="Times New Roman" w:cs="Arial"/>
                <w:color w:val="000000"/>
                <w:szCs w:val="24"/>
                <w:lang w:eastAsia="cs-CZ"/>
              </w:rPr>
              <w:t xml:space="preserve"> se v 343 případech jednalo o výkon prá</w:t>
            </w:r>
            <w:r w:rsidR="00F45AA0">
              <w:rPr>
                <w:rFonts w:eastAsia="Times New Roman" w:cs="Arial"/>
                <w:color w:val="000000"/>
                <w:szCs w:val="24"/>
                <w:lang w:eastAsia="cs-CZ"/>
              </w:rPr>
              <w:t>ce mimo pracovněprávní vztah, v </w:t>
            </w:r>
            <w:r w:rsidRPr="00513E71">
              <w:rPr>
                <w:rFonts w:eastAsia="Times New Roman" w:cs="Arial"/>
                <w:color w:val="000000"/>
                <w:szCs w:val="24"/>
                <w:lang w:eastAsia="cs-CZ"/>
              </w:rPr>
              <w:t xml:space="preserve">785 případech o výkon práce bez či v rozporu s vydaným povolením k zaměstnání, zaměstnaneckou či modrou kartou a v 209 případech o výkon práce bez povolení k pobytu (někteří i v kombinaci více těchto nedostatků). </w:t>
            </w:r>
            <w:r w:rsidR="00F45AA0">
              <w:rPr>
                <w:rFonts w:eastAsia="Times New Roman" w:cs="Arial"/>
                <w:color w:val="000000"/>
                <w:szCs w:val="24"/>
                <w:lang w:eastAsia="cs-CZ"/>
              </w:rPr>
              <w:t>Oproti roku</w:t>
            </w:r>
            <w:r w:rsidRPr="00513E71">
              <w:rPr>
                <w:rFonts w:eastAsia="Times New Roman" w:cs="Arial"/>
                <w:color w:val="000000"/>
                <w:szCs w:val="24"/>
                <w:lang w:eastAsia="cs-CZ"/>
              </w:rPr>
              <w:t xml:space="preserve"> 2015 byl zaznamenán výrazný nárůst počtu nelegálně zaměstnaných cizinců ze třetích zemí. Nejčastěji se jednalo o státní příslušníky Ukrajiny (997 osob), Moldavska (143 osob), Vietnamu (73 osob), Srbska (37 osob), Albánie (12 osob), Uzbekist</w:t>
            </w:r>
            <w:r w:rsidR="00F45AA0">
              <w:rPr>
                <w:rFonts w:eastAsia="Times New Roman" w:cs="Arial"/>
                <w:color w:val="000000"/>
                <w:szCs w:val="24"/>
                <w:lang w:eastAsia="cs-CZ"/>
              </w:rPr>
              <w:t>ánu (10 osob) a Ruska (9 osob).</w:t>
            </w:r>
          </w:p>
          <w:p w:rsidR="00D4495D" w:rsidRDefault="00513E71" w:rsidP="00F45AA0">
            <w:pPr>
              <w:spacing w:before="120" w:after="120" w:line="240" w:lineRule="auto"/>
              <w:rPr>
                <w:rFonts w:eastAsia="Times New Roman" w:cs="Arial"/>
                <w:color w:val="000000"/>
                <w:szCs w:val="24"/>
                <w:lang w:eastAsia="cs-CZ"/>
              </w:rPr>
            </w:pPr>
            <w:r w:rsidRPr="00513E71">
              <w:rPr>
                <w:rFonts w:eastAsia="Times New Roman" w:cs="Arial"/>
                <w:color w:val="000000"/>
                <w:szCs w:val="24"/>
                <w:lang w:eastAsia="cs-CZ"/>
              </w:rPr>
              <w:t xml:space="preserve">V roce 2016 obdržel SÚIP celkem 7 351 podnětů ke kontrole. Z tohoto počtu směřovalo do dodržování </w:t>
            </w:r>
            <w:proofErr w:type="spellStart"/>
            <w:r w:rsidR="00F45AA0">
              <w:rPr>
                <w:rFonts w:eastAsia="Times New Roman" w:cs="Arial"/>
                <w:color w:val="000000"/>
                <w:szCs w:val="24"/>
                <w:lang w:eastAsia="cs-CZ"/>
              </w:rPr>
              <w:t>ZoZ</w:t>
            </w:r>
            <w:proofErr w:type="spellEnd"/>
            <w:r w:rsidRPr="00513E71">
              <w:rPr>
                <w:rFonts w:eastAsia="Times New Roman" w:cs="Arial"/>
                <w:color w:val="000000"/>
                <w:szCs w:val="24"/>
                <w:lang w:eastAsia="cs-CZ"/>
              </w:rPr>
              <w:t xml:space="preserve"> v roce 2016 celkem 2 254 podnětů, z nichž 1 925 podnětů poukazovalo porušování v oblasti nelegálního zaměstnávání. V úseku nelegálního zaměstnávání pak upozorňovalo 1 702 podnětů na výkon nelegální práce občanů ČR, v 306 případech na nelegální práci občanů EU mimo ČR a v 449 případech na výkon nelegální práce cizinců mimo EU. Přičemž jeden objekt může směřovat do více oblastí</w:t>
            </w:r>
            <w:r w:rsidR="00D4495D">
              <w:rPr>
                <w:rFonts w:eastAsia="Times New Roman" w:cs="Arial"/>
                <w:color w:val="000000"/>
                <w:szCs w:val="24"/>
                <w:lang w:eastAsia="cs-CZ"/>
              </w:rPr>
              <w:t xml:space="preserve"> a je v každé z nich započítán.</w:t>
            </w:r>
            <w:r w:rsidR="00F45AA0">
              <w:rPr>
                <w:rFonts w:eastAsia="Times New Roman" w:cs="Arial"/>
                <w:color w:val="000000"/>
                <w:szCs w:val="24"/>
                <w:lang w:eastAsia="cs-CZ"/>
              </w:rPr>
              <w:t xml:space="preserve"> </w:t>
            </w:r>
            <w:r w:rsidRPr="00513E71">
              <w:rPr>
                <w:rFonts w:eastAsia="Times New Roman" w:cs="Arial"/>
                <w:color w:val="000000"/>
                <w:szCs w:val="24"/>
                <w:lang w:eastAsia="cs-CZ"/>
              </w:rPr>
              <w:t>Na základě přijatých podnětů bylo provedeno celkem 5 664 kontrol, z nichž 1 460 kontrol směřovalo do obl</w:t>
            </w:r>
            <w:r w:rsidR="00D4495D">
              <w:rPr>
                <w:rFonts w:eastAsia="Times New Roman" w:cs="Arial"/>
                <w:color w:val="000000"/>
                <w:szCs w:val="24"/>
                <w:lang w:eastAsia="cs-CZ"/>
              </w:rPr>
              <w:t xml:space="preserve">asti nelegálního zaměstnávání. </w:t>
            </w:r>
            <w:r w:rsidRPr="00513E71">
              <w:rPr>
                <w:rFonts w:eastAsia="Times New Roman" w:cs="Arial"/>
                <w:color w:val="000000"/>
                <w:szCs w:val="24"/>
                <w:lang w:eastAsia="cs-CZ"/>
              </w:rPr>
              <w:t>Za porušení právních předpisů v oblasti nelegálního zaměstnávání bylo uloženo v roce 2016 714 pokut a jejich celková výše dosá</w:t>
            </w:r>
            <w:r w:rsidR="00D4495D">
              <w:rPr>
                <w:rFonts w:eastAsia="Times New Roman" w:cs="Arial"/>
                <w:color w:val="000000"/>
                <w:szCs w:val="24"/>
                <w:lang w:eastAsia="cs-CZ"/>
              </w:rPr>
              <w:t>hla částky 73 152 500 Kč.</w:t>
            </w:r>
          </w:p>
          <w:p w:rsidR="00513E71" w:rsidRPr="00513E71" w:rsidRDefault="00513E71" w:rsidP="00F45AA0">
            <w:pPr>
              <w:spacing w:before="120" w:after="120" w:line="240" w:lineRule="auto"/>
              <w:rPr>
                <w:rFonts w:eastAsia="Times New Roman" w:cs="Arial"/>
                <w:color w:val="000000"/>
                <w:szCs w:val="24"/>
                <w:lang w:eastAsia="cs-CZ"/>
              </w:rPr>
            </w:pPr>
            <w:r w:rsidRPr="00513E71">
              <w:rPr>
                <w:rFonts w:eastAsia="Times New Roman" w:cs="Arial"/>
                <w:color w:val="000000"/>
                <w:szCs w:val="24"/>
                <w:lang w:eastAsia="cs-CZ"/>
              </w:rPr>
              <w:t>V loňském roce obdržel Státní úřad inspekce práce 390 podnětů směřujících do oblasti uplatňování práva na zaměstnání a v zaměstnání. V roce 2016 bylo provedeno 683 kontrol zaměřených na diskriminaci při uplatňování práva na zaměstnání a v zaměstnání, z toho 431 přímo v rámci hlavního úkolu zaměřeného na diskriminaci a při dalších 252 kontrolách byla oblast diskriminace jednou z kontrolovaných oblastí. Při těchto kontrolách bylo zjištěno 152 nedostatků. Za zjištěné nedostatky bylo uloženo 46 pokut v souhrnné výši 836 000 Kč.</w:t>
            </w:r>
          </w:p>
        </w:tc>
      </w:tr>
      <w:tr w:rsidR="00A15FB7" w:rsidRPr="00A15FB7" w:rsidTr="001879FC">
        <w:trPr>
          <w:gridAfter w:val="1"/>
          <w:wAfter w:w="45" w:type="dxa"/>
          <w:trHeight w:val="330"/>
        </w:trPr>
        <w:tc>
          <w:tcPr>
            <w:tcW w:w="1135" w:type="dxa"/>
            <w:gridSpan w:val="5"/>
            <w:tcBorders>
              <w:top w:val="double" w:sz="6" w:space="0" w:color="auto"/>
              <w:left w:val="double" w:sz="6" w:space="0" w:color="auto"/>
              <w:bottom w:val="double" w:sz="6" w:space="0" w:color="auto"/>
              <w:right w:val="nil"/>
            </w:tcBorders>
            <w:shd w:val="clear" w:color="000000" w:fill="B1A0C7"/>
            <w:noWrap/>
            <w:vAlign w:val="center"/>
            <w:hideMark/>
          </w:tcPr>
          <w:p w:rsidR="00A15FB7" w:rsidRPr="00A15FB7" w:rsidRDefault="00A15FB7" w:rsidP="00A15FB7">
            <w:pPr>
              <w:spacing w:line="240" w:lineRule="auto"/>
              <w:jc w:val="center"/>
              <w:rPr>
                <w:rFonts w:eastAsia="Times New Roman" w:cs="Arial"/>
                <w:b/>
                <w:bCs/>
                <w:color w:val="000000"/>
                <w:szCs w:val="24"/>
                <w:lang w:eastAsia="cs-CZ"/>
              </w:rPr>
            </w:pPr>
          </w:p>
        </w:tc>
        <w:tc>
          <w:tcPr>
            <w:tcW w:w="13041" w:type="dxa"/>
            <w:gridSpan w:val="18"/>
            <w:tcBorders>
              <w:top w:val="double" w:sz="6" w:space="0" w:color="auto"/>
              <w:left w:val="nil"/>
              <w:bottom w:val="double" w:sz="6" w:space="0" w:color="auto"/>
              <w:right w:val="double" w:sz="6" w:space="0" w:color="000000"/>
            </w:tcBorders>
            <w:shd w:val="clear" w:color="000000" w:fill="B1A0C7"/>
            <w:vAlign w:val="center"/>
            <w:hideMark/>
          </w:tcPr>
          <w:p w:rsidR="00A15FB7" w:rsidRPr="00A15FB7" w:rsidRDefault="00A629BC" w:rsidP="00FE5B58">
            <w:pPr>
              <w:pStyle w:val="Nadpis2"/>
              <w:numPr>
                <w:ilvl w:val="0"/>
                <w:numId w:val="0"/>
              </w:numPr>
              <w:spacing w:before="0" w:after="0"/>
              <w:jc w:val="center"/>
              <w:rPr>
                <w:rFonts w:eastAsia="Times New Roman"/>
                <w:lang w:eastAsia="cs-CZ"/>
              </w:rPr>
            </w:pPr>
            <w:bookmarkStart w:id="100" w:name="_Toc476556247"/>
            <w:r>
              <w:rPr>
                <w:rFonts w:eastAsia="Times New Roman"/>
                <w:lang w:eastAsia="cs-CZ"/>
              </w:rPr>
              <w:t xml:space="preserve">Sk. 4: </w:t>
            </w:r>
            <w:r w:rsidR="00A15FB7" w:rsidRPr="00A15FB7">
              <w:rPr>
                <w:rFonts w:eastAsia="Times New Roman"/>
                <w:lang w:eastAsia="cs-CZ"/>
              </w:rPr>
              <w:t>Zvýšení kvalifikačního souladu na trhu práce</w:t>
            </w:r>
            <w:bookmarkEnd w:id="100"/>
          </w:p>
        </w:tc>
      </w:tr>
      <w:tr w:rsidR="00A15FB7" w:rsidRPr="00A15FB7" w:rsidTr="001879FC">
        <w:trPr>
          <w:gridAfter w:val="1"/>
          <w:wAfter w:w="45" w:type="dxa"/>
          <w:trHeight w:val="285"/>
        </w:trPr>
        <w:tc>
          <w:tcPr>
            <w:tcW w:w="568" w:type="dxa"/>
            <w:gridSpan w:val="2"/>
            <w:tcBorders>
              <w:top w:val="single" w:sz="8" w:space="0" w:color="auto"/>
              <w:left w:val="single" w:sz="8" w:space="0" w:color="auto"/>
              <w:bottom w:val="single" w:sz="4" w:space="0" w:color="auto"/>
              <w:right w:val="nil"/>
            </w:tcBorders>
            <w:shd w:val="clear" w:color="000000" w:fill="E4DFEC"/>
            <w:noWrap/>
            <w:vAlign w:val="center"/>
            <w:hideMark/>
          </w:tcPr>
          <w:p w:rsidR="00A15FB7" w:rsidRPr="00A15FB7" w:rsidRDefault="00A15FB7" w:rsidP="00A15FB7">
            <w:pPr>
              <w:spacing w:line="240" w:lineRule="auto"/>
              <w:jc w:val="center"/>
              <w:rPr>
                <w:rFonts w:eastAsia="Times New Roman" w:cs="Arial"/>
                <w:b/>
                <w:bCs/>
                <w:color w:val="000000"/>
                <w:szCs w:val="24"/>
                <w:lang w:eastAsia="cs-CZ"/>
              </w:rPr>
            </w:pPr>
            <w:r w:rsidRPr="00A15FB7">
              <w:rPr>
                <w:rFonts w:eastAsia="Times New Roman" w:cs="Arial"/>
                <w:b/>
                <w:bCs/>
                <w:color w:val="000000"/>
                <w:szCs w:val="24"/>
                <w:lang w:eastAsia="cs-CZ"/>
              </w:rPr>
              <w:t>4.1</w:t>
            </w:r>
          </w:p>
        </w:tc>
        <w:tc>
          <w:tcPr>
            <w:tcW w:w="1125" w:type="dxa"/>
            <w:gridSpan w:val="5"/>
            <w:tcBorders>
              <w:top w:val="single" w:sz="8" w:space="0" w:color="auto"/>
              <w:left w:val="single" w:sz="8" w:space="0" w:color="auto"/>
              <w:bottom w:val="single" w:sz="4" w:space="0" w:color="auto"/>
              <w:right w:val="nil"/>
            </w:tcBorders>
            <w:shd w:val="clear" w:color="auto" w:fill="auto"/>
            <w:noWrap/>
            <w:vAlign w:val="center"/>
            <w:hideMark/>
          </w:tcPr>
          <w:p w:rsidR="00A15FB7" w:rsidRPr="00A15FB7" w:rsidRDefault="00A15FB7" w:rsidP="00A15FB7">
            <w:pPr>
              <w:spacing w:line="240" w:lineRule="auto"/>
              <w:jc w:val="right"/>
              <w:rPr>
                <w:rFonts w:eastAsia="Times New Roman" w:cs="Arial"/>
                <w:b/>
                <w:bCs/>
                <w:color w:val="000000"/>
                <w:szCs w:val="24"/>
                <w:lang w:eastAsia="cs-CZ"/>
              </w:rPr>
            </w:pPr>
            <w:r w:rsidRPr="00A15FB7">
              <w:rPr>
                <w:rFonts w:eastAsia="Times New Roman" w:cs="Arial"/>
                <w:b/>
                <w:bCs/>
                <w:color w:val="000000"/>
                <w:szCs w:val="24"/>
                <w:lang w:eastAsia="cs-CZ"/>
              </w:rPr>
              <w:t>T:</w:t>
            </w:r>
          </w:p>
        </w:tc>
        <w:tc>
          <w:tcPr>
            <w:tcW w:w="1285" w:type="dxa"/>
            <w:tcBorders>
              <w:top w:val="single" w:sz="8" w:space="0" w:color="auto"/>
              <w:left w:val="nil"/>
              <w:bottom w:val="single" w:sz="4" w:space="0" w:color="auto"/>
              <w:right w:val="nil"/>
            </w:tcBorders>
            <w:shd w:val="clear" w:color="auto" w:fill="auto"/>
            <w:noWrap/>
            <w:vAlign w:val="center"/>
            <w:hideMark/>
          </w:tcPr>
          <w:p w:rsidR="00A15FB7" w:rsidRPr="00A15FB7" w:rsidRDefault="00A15FB7" w:rsidP="00A15FB7">
            <w:pPr>
              <w:spacing w:line="240" w:lineRule="auto"/>
              <w:jc w:val="center"/>
              <w:rPr>
                <w:rFonts w:eastAsia="Times New Roman" w:cs="Arial"/>
                <w:b/>
                <w:bCs/>
                <w:color w:val="000000"/>
                <w:szCs w:val="24"/>
                <w:lang w:eastAsia="cs-CZ"/>
              </w:rPr>
            </w:pPr>
            <w:r w:rsidRPr="00A15FB7">
              <w:rPr>
                <w:rFonts w:eastAsia="Times New Roman" w:cs="Arial"/>
                <w:b/>
                <w:bCs/>
                <w:color w:val="000000"/>
                <w:szCs w:val="24"/>
                <w:lang w:eastAsia="cs-CZ"/>
              </w:rPr>
              <w:t>průběžně</w:t>
            </w:r>
          </w:p>
        </w:tc>
        <w:tc>
          <w:tcPr>
            <w:tcW w:w="928" w:type="dxa"/>
            <w:gridSpan w:val="2"/>
            <w:tcBorders>
              <w:top w:val="single" w:sz="12" w:space="0" w:color="auto"/>
              <w:left w:val="single" w:sz="12" w:space="0" w:color="auto"/>
              <w:bottom w:val="single" w:sz="12" w:space="0" w:color="auto"/>
              <w:right w:val="nil"/>
            </w:tcBorders>
            <w:shd w:val="clear" w:color="auto" w:fill="auto"/>
            <w:noWrap/>
            <w:vAlign w:val="center"/>
            <w:hideMark/>
          </w:tcPr>
          <w:p w:rsidR="00A15FB7" w:rsidRPr="00A15FB7" w:rsidRDefault="00A15FB7" w:rsidP="00A15FB7">
            <w:pPr>
              <w:spacing w:line="240" w:lineRule="auto"/>
              <w:jc w:val="right"/>
              <w:rPr>
                <w:rFonts w:eastAsia="Times New Roman" w:cs="Arial"/>
                <w:b/>
                <w:bCs/>
                <w:color w:val="000000"/>
                <w:szCs w:val="24"/>
                <w:lang w:eastAsia="cs-CZ"/>
              </w:rPr>
            </w:pPr>
            <w:r w:rsidRPr="00A15FB7">
              <w:rPr>
                <w:rFonts w:eastAsia="Times New Roman" w:cs="Arial"/>
                <w:b/>
                <w:bCs/>
                <w:color w:val="000000"/>
                <w:szCs w:val="24"/>
                <w:lang w:eastAsia="cs-CZ"/>
              </w:rPr>
              <w:t>gesce:</w:t>
            </w:r>
          </w:p>
        </w:tc>
        <w:tc>
          <w:tcPr>
            <w:tcW w:w="1446" w:type="dxa"/>
            <w:gridSpan w:val="2"/>
            <w:tcBorders>
              <w:top w:val="single" w:sz="12" w:space="0" w:color="auto"/>
              <w:left w:val="nil"/>
              <w:bottom w:val="single" w:sz="8" w:space="0" w:color="auto"/>
              <w:right w:val="single" w:sz="12" w:space="0" w:color="auto"/>
            </w:tcBorders>
            <w:shd w:val="clear" w:color="auto" w:fill="auto"/>
            <w:noWrap/>
            <w:vAlign w:val="center"/>
            <w:hideMark/>
          </w:tcPr>
          <w:p w:rsidR="00A15FB7" w:rsidRPr="00A15FB7" w:rsidRDefault="00A15FB7" w:rsidP="00A15FB7">
            <w:pPr>
              <w:spacing w:line="240" w:lineRule="auto"/>
              <w:jc w:val="left"/>
              <w:rPr>
                <w:rFonts w:eastAsia="Times New Roman" w:cs="Arial"/>
                <w:b/>
                <w:bCs/>
                <w:color w:val="000000"/>
                <w:szCs w:val="24"/>
                <w:lang w:eastAsia="cs-CZ"/>
              </w:rPr>
            </w:pPr>
            <w:r w:rsidRPr="00A15FB7">
              <w:rPr>
                <w:rFonts w:eastAsia="Times New Roman" w:cs="Arial"/>
                <w:b/>
                <w:bCs/>
                <w:color w:val="000000"/>
                <w:szCs w:val="24"/>
                <w:lang w:eastAsia="cs-CZ"/>
              </w:rPr>
              <w:t>MPSV</w:t>
            </w:r>
          </w:p>
        </w:tc>
        <w:tc>
          <w:tcPr>
            <w:tcW w:w="8824" w:type="dxa"/>
            <w:gridSpan w:val="11"/>
            <w:tcBorders>
              <w:top w:val="single" w:sz="8" w:space="0" w:color="auto"/>
              <w:left w:val="nil"/>
              <w:bottom w:val="single" w:sz="8" w:space="0" w:color="auto"/>
            </w:tcBorders>
            <w:shd w:val="clear" w:color="auto" w:fill="auto"/>
            <w:noWrap/>
            <w:vAlign w:val="center"/>
          </w:tcPr>
          <w:p w:rsidR="00A15FB7" w:rsidRPr="00A15FB7" w:rsidRDefault="00A15FB7" w:rsidP="00A15FB7">
            <w:pPr>
              <w:spacing w:line="240" w:lineRule="auto"/>
              <w:jc w:val="right"/>
              <w:rPr>
                <w:rFonts w:eastAsia="Times New Roman" w:cs="Arial"/>
                <w:b/>
                <w:bCs/>
                <w:color w:val="000000"/>
                <w:szCs w:val="24"/>
                <w:lang w:eastAsia="cs-CZ"/>
              </w:rPr>
            </w:pPr>
          </w:p>
        </w:tc>
      </w:tr>
      <w:tr w:rsidR="00A15FB7" w:rsidRPr="00A15FB7" w:rsidTr="001879FC">
        <w:trPr>
          <w:gridAfter w:val="1"/>
          <w:wAfter w:w="45" w:type="dxa"/>
          <w:trHeight w:val="285"/>
        </w:trPr>
        <w:tc>
          <w:tcPr>
            <w:tcW w:w="568" w:type="dxa"/>
            <w:gridSpan w:val="2"/>
            <w:vMerge w:val="restart"/>
            <w:tcBorders>
              <w:top w:val="nil"/>
              <w:left w:val="single" w:sz="8" w:space="0" w:color="auto"/>
              <w:bottom w:val="single" w:sz="8" w:space="0" w:color="000000"/>
              <w:right w:val="single" w:sz="8" w:space="0" w:color="auto"/>
            </w:tcBorders>
            <w:shd w:val="clear" w:color="000000" w:fill="E4DFEC"/>
            <w:noWrap/>
            <w:textDirection w:val="btLr"/>
            <w:vAlign w:val="center"/>
            <w:hideMark/>
          </w:tcPr>
          <w:p w:rsidR="00A15FB7" w:rsidRPr="00A15FB7" w:rsidRDefault="00A15FB7" w:rsidP="00A15FB7">
            <w:pPr>
              <w:spacing w:line="240" w:lineRule="auto"/>
              <w:jc w:val="center"/>
              <w:rPr>
                <w:rFonts w:eastAsia="Times New Roman" w:cs="Arial"/>
                <w:b/>
                <w:bCs/>
                <w:color w:val="000000"/>
                <w:szCs w:val="24"/>
                <w:lang w:eastAsia="cs-CZ"/>
              </w:rPr>
            </w:pPr>
            <w:r w:rsidRPr="00A15FB7">
              <w:rPr>
                <w:rFonts w:eastAsia="Times New Roman" w:cs="Arial"/>
                <w:b/>
                <w:bCs/>
                <w:color w:val="000000"/>
                <w:szCs w:val="24"/>
                <w:lang w:eastAsia="cs-CZ"/>
              </w:rPr>
              <w:t>Kariérové poradenství</w:t>
            </w:r>
          </w:p>
        </w:tc>
        <w:tc>
          <w:tcPr>
            <w:tcW w:w="2410" w:type="dxa"/>
            <w:gridSpan w:val="6"/>
            <w:tcBorders>
              <w:top w:val="single" w:sz="4" w:space="0" w:color="auto"/>
              <w:left w:val="nil"/>
              <w:bottom w:val="double" w:sz="6" w:space="0" w:color="auto"/>
              <w:right w:val="nil"/>
            </w:tcBorders>
            <w:shd w:val="clear" w:color="auto" w:fill="auto"/>
            <w:noWrap/>
            <w:vAlign w:val="center"/>
            <w:hideMark/>
          </w:tcPr>
          <w:p w:rsidR="00A15FB7" w:rsidRPr="00A15FB7" w:rsidRDefault="00A15FB7" w:rsidP="00A15FB7">
            <w:pPr>
              <w:spacing w:line="240" w:lineRule="auto"/>
              <w:jc w:val="right"/>
              <w:rPr>
                <w:rFonts w:eastAsia="Times New Roman" w:cs="Arial"/>
                <w:b/>
                <w:bCs/>
                <w:color w:val="000000"/>
                <w:szCs w:val="24"/>
                <w:lang w:eastAsia="cs-CZ"/>
              </w:rPr>
            </w:pPr>
            <w:r w:rsidRPr="00A15FB7">
              <w:rPr>
                <w:rFonts w:eastAsia="Times New Roman" w:cs="Arial"/>
                <w:b/>
                <w:bCs/>
                <w:color w:val="000000"/>
                <w:szCs w:val="24"/>
                <w:lang w:eastAsia="cs-CZ"/>
              </w:rPr>
              <w:t>povaha:</w:t>
            </w:r>
          </w:p>
        </w:tc>
        <w:tc>
          <w:tcPr>
            <w:tcW w:w="928" w:type="dxa"/>
            <w:gridSpan w:val="2"/>
            <w:tcBorders>
              <w:top w:val="nil"/>
              <w:left w:val="nil"/>
              <w:bottom w:val="double" w:sz="6" w:space="0" w:color="auto"/>
              <w:right w:val="double" w:sz="6" w:space="0" w:color="auto"/>
            </w:tcBorders>
            <w:shd w:val="clear" w:color="auto" w:fill="auto"/>
            <w:noWrap/>
            <w:vAlign w:val="center"/>
            <w:hideMark/>
          </w:tcPr>
          <w:p w:rsidR="00A15FB7" w:rsidRPr="00A15FB7" w:rsidRDefault="00A15FB7" w:rsidP="00A15FB7">
            <w:pPr>
              <w:spacing w:line="240" w:lineRule="auto"/>
              <w:jc w:val="left"/>
              <w:rPr>
                <w:rFonts w:eastAsia="Times New Roman" w:cs="Arial"/>
                <w:b/>
                <w:bCs/>
                <w:color w:val="000000"/>
                <w:szCs w:val="24"/>
                <w:lang w:eastAsia="cs-CZ"/>
              </w:rPr>
            </w:pPr>
            <w:r w:rsidRPr="00A15FB7">
              <w:rPr>
                <w:rFonts w:eastAsia="Times New Roman" w:cs="Arial"/>
                <w:b/>
                <w:bCs/>
                <w:color w:val="000000"/>
                <w:szCs w:val="24"/>
                <w:lang w:eastAsia="cs-CZ"/>
              </w:rPr>
              <w:t>N</w:t>
            </w:r>
          </w:p>
        </w:tc>
        <w:tc>
          <w:tcPr>
            <w:tcW w:w="6292" w:type="dxa"/>
            <w:gridSpan w:val="7"/>
            <w:tcBorders>
              <w:top w:val="single" w:sz="8" w:space="0" w:color="auto"/>
              <w:left w:val="nil"/>
              <w:right w:val="nil"/>
            </w:tcBorders>
            <w:shd w:val="clear" w:color="auto" w:fill="auto"/>
            <w:noWrap/>
            <w:vAlign w:val="center"/>
            <w:hideMark/>
          </w:tcPr>
          <w:p w:rsidR="00A15FB7" w:rsidRPr="00A15FB7" w:rsidRDefault="00A15FB7" w:rsidP="00A15FB7">
            <w:pPr>
              <w:spacing w:line="240" w:lineRule="auto"/>
              <w:jc w:val="center"/>
              <w:rPr>
                <w:rFonts w:eastAsia="Times New Roman" w:cs="Arial"/>
                <w:b/>
                <w:bCs/>
                <w:color w:val="000000"/>
                <w:szCs w:val="24"/>
                <w:u w:val="single"/>
                <w:lang w:eastAsia="cs-CZ"/>
              </w:rPr>
            </w:pPr>
            <w:r w:rsidRPr="00A15FB7">
              <w:rPr>
                <w:rFonts w:eastAsia="Times New Roman" w:cs="Arial"/>
                <w:b/>
                <w:bCs/>
                <w:color w:val="000000"/>
                <w:szCs w:val="24"/>
                <w:u w:val="single"/>
                <w:lang w:eastAsia="cs-CZ"/>
              </w:rPr>
              <w:t>Popis </w:t>
            </w:r>
          </w:p>
        </w:tc>
        <w:tc>
          <w:tcPr>
            <w:tcW w:w="3978" w:type="dxa"/>
            <w:gridSpan w:val="6"/>
            <w:tcBorders>
              <w:top w:val="single" w:sz="8" w:space="0" w:color="auto"/>
              <w:left w:val="nil"/>
              <w:right w:val="single" w:sz="8" w:space="0" w:color="auto"/>
            </w:tcBorders>
            <w:shd w:val="clear" w:color="auto" w:fill="auto"/>
            <w:noWrap/>
            <w:vAlign w:val="center"/>
            <w:hideMark/>
          </w:tcPr>
          <w:p w:rsidR="00A15FB7" w:rsidRPr="00A15FB7" w:rsidRDefault="00A15FB7" w:rsidP="00A15FB7">
            <w:pPr>
              <w:spacing w:line="240" w:lineRule="auto"/>
              <w:jc w:val="center"/>
              <w:rPr>
                <w:rFonts w:eastAsia="Times New Roman" w:cs="Arial"/>
                <w:b/>
                <w:bCs/>
                <w:color w:val="000000"/>
                <w:szCs w:val="24"/>
                <w:u w:val="single"/>
                <w:lang w:eastAsia="cs-CZ"/>
              </w:rPr>
            </w:pPr>
          </w:p>
        </w:tc>
      </w:tr>
      <w:tr w:rsidR="00A15FB7" w:rsidRPr="00A15FB7" w:rsidTr="001879FC">
        <w:trPr>
          <w:gridAfter w:val="1"/>
          <w:wAfter w:w="45" w:type="dxa"/>
          <w:trHeight w:val="945"/>
        </w:trPr>
        <w:tc>
          <w:tcPr>
            <w:tcW w:w="568" w:type="dxa"/>
            <w:gridSpan w:val="2"/>
            <w:vMerge/>
            <w:tcBorders>
              <w:top w:val="nil"/>
              <w:left w:val="single" w:sz="8" w:space="0" w:color="auto"/>
              <w:bottom w:val="single" w:sz="8" w:space="0" w:color="000000"/>
              <w:right w:val="single" w:sz="8" w:space="0" w:color="auto"/>
            </w:tcBorders>
            <w:vAlign w:val="center"/>
            <w:hideMark/>
          </w:tcPr>
          <w:p w:rsidR="00A15FB7" w:rsidRPr="00A15FB7" w:rsidRDefault="00A15FB7" w:rsidP="00A15FB7">
            <w:pPr>
              <w:spacing w:line="240" w:lineRule="auto"/>
              <w:jc w:val="left"/>
              <w:rPr>
                <w:rFonts w:eastAsia="Times New Roman" w:cs="Arial"/>
                <w:b/>
                <w:bCs/>
                <w:color w:val="000000"/>
                <w:szCs w:val="24"/>
                <w:lang w:eastAsia="cs-CZ"/>
              </w:rPr>
            </w:pPr>
          </w:p>
        </w:tc>
        <w:tc>
          <w:tcPr>
            <w:tcW w:w="13608" w:type="dxa"/>
            <w:gridSpan w:val="21"/>
            <w:tcBorders>
              <w:top w:val="nil"/>
              <w:left w:val="nil"/>
              <w:bottom w:val="double" w:sz="6" w:space="0" w:color="auto"/>
              <w:right w:val="single" w:sz="8" w:space="0" w:color="000000"/>
            </w:tcBorders>
            <w:shd w:val="clear" w:color="auto" w:fill="auto"/>
            <w:vAlign w:val="center"/>
            <w:hideMark/>
          </w:tcPr>
          <w:p w:rsidR="00A15FB7" w:rsidRPr="00A15FB7" w:rsidRDefault="00A15FB7" w:rsidP="001879FC">
            <w:pPr>
              <w:spacing w:line="240" w:lineRule="auto"/>
              <w:rPr>
                <w:rFonts w:eastAsia="Times New Roman" w:cs="Arial"/>
                <w:color w:val="000000"/>
                <w:szCs w:val="24"/>
                <w:lang w:eastAsia="cs-CZ"/>
              </w:rPr>
            </w:pPr>
            <w:r w:rsidRPr="00A15FB7">
              <w:rPr>
                <w:rFonts w:eastAsia="Times New Roman" w:cs="Arial"/>
                <w:color w:val="000000"/>
                <w:szCs w:val="24"/>
                <w:lang w:eastAsia="cs-CZ"/>
              </w:rPr>
              <w:t xml:space="preserve">V rámci individualizované práce s klienty ÚP ČR budou posíleny útvary </w:t>
            </w:r>
            <w:r>
              <w:rPr>
                <w:rFonts w:eastAsia="Times New Roman" w:cs="Arial"/>
                <w:color w:val="000000"/>
                <w:szCs w:val="24"/>
                <w:lang w:eastAsia="cs-CZ"/>
              </w:rPr>
              <w:t>IPS</w:t>
            </w:r>
            <w:r w:rsidRPr="00A15FB7">
              <w:rPr>
                <w:rFonts w:eastAsia="Times New Roman" w:cs="Arial"/>
                <w:color w:val="000000"/>
                <w:szCs w:val="24"/>
                <w:lang w:eastAsia="cs-CZ"/>
              </w:rPr>
              <w:t xml:space="preserve"> s cílem zintenzivnit činnost ÚP ČR v oblasti kariérového poradenství a poradenství k volbě povolání s cílem směřovat volnou (a potenciální) pracovní sílu do těch oblastí národního hospodářství, kde je citelný nedostatek vhodné a kvalifikované pracovní síly</w:t>
            </w:r>
            <w:r>
              <w:rPr>
                <w:rFonts w:eastAsia="Times New Roman" w:cs="Arial"/>
                <w:color w:val="000000"/>
                <w:szCs w:val="24"/>
                <w:lang w:eastAsia="cs-CZ"/>
              </w:rPr>
              <w:t>.</w:t>
            </w:r>
          </w:p>
        </w:tc>
      </w:tr>
      <w:tr w:rsidR="00375D0A" w:rsidRPr="00A15FB7" w:rsidTr="009B7658">
        <w:trPr>
          <w:gridAfter w:val="1"/>
          <w:wAfter w:w="45" w:type="dxa"/>
          <w:trHeight w:val="285"/>
        </w:trPr>
        <w:tc>
          <w:tcPr>
            <w:tcW w:w="568" w:type="dxa"/>
            <w:gridSpan w:val="2"/>
            <w:vMerge/>
            <w:tcBorders>
              <w:top w:val="nil"/>
              <w:left w:val="single" w:sz="8" w:space="0" w:color="auto"/>
              <w:bottom w:val="single" w:sz="8" w:space="0" w:color="000000"/>
              <w:right w:val="double" w:sz="6" w:space="0" w:color="auto"/>
            </w:tcBorders>
            <w:vAlign w:val="center"/>
            <w:hideMark/>
          </w:tcPr>
          <w:p w:rsidR="00375D0A" w:rsidRPr="00A15FB7" w:rsidRDefault="00375D0A" w:rsidP="00A15FB7">
            <w:pPr>
              <w:spacing w:line="240" w:lineRule="auto"/>
              <w:jc w:val="left"/>
              <w:rPr>
                <w:rFonts w:eastAsia="Times New Roman" w:cs="Arial"/>
                <w:b/>
                <w:bCs/>
                <w:color w:val="000000"/>
                <w:szCs w:val="24"/>
                <w:lang w:eastAsia="cs-CZ"/>
              </w:rPr>
            </w:pPr>
          </w:p>
        </w:tc>
        <w:tc>
          <w:tcPr>
            <w:tcW w:w="3338" w:type="dxa"/>
            <w:gridSpan w:val="8"/>
            <w:tcBorders>
              <w:top w:val="double" w:sz="6" w:space="0" w:color="auto"/>
              <w:left w:val="double" w:sz="6" w:space="0" w:color="auto"/>
              <w:bottom w:val="double" w:sz="6" w:space="0" w:color="auto"/>
              <w:right w:val="double" w:sz="6" w:space="0" w:color="auto"/>
            </w:tcBorders>
            <w:shd w:val="clear" w:color="000000" w:fill="F2DCDB"/>
            <w:noWrap/>
            <w:vAlign w:val="center"/>
            <w:hideMark/>
          </w:tcPr>
          <w:p w:rsidR="00375D0A" w:rsidRPr="00A15FB7" w:rsidRDefault="00375D0A" w:rsidP="00375D0A">
            <w:pPr>
              <w:spacing w:line="240" w:lineRule="auto"/>
              <w:jc w:val="center"/>
              <w:rPr>
                <w:rFonts w:eastAsia="Times New Roman" w:cs="Arial"/>
                <w:b/>
                <w:bCs/>
                <w:color w:val="000000"/>
                <w:szCs w:val="24"/>
                <w:lang w:eastAsia="cs-CZ"/>
              </w:rPr>
            </w:pPr>
            <w:r w:rsidRPr="00A15FB7">
              <w:rPr>
                <w:rFonts w:eastAsia="Times New Roman" w:cs="Arial"/>
                <w:b/>
                <w:bCs/>
                <w:color w:val="000000"/>
                <w:szCs w:val="24"/>
                <w:lang w:eastAsia="cs-CZ"/>
              </w:rPr>
              <w:t>Řešeno</w:t>
            </w:r>
          </w:p>
        </w:tc>
        <w:tc>
          <w:tcPr>
            <w:tcW w:w="6301" w:type="dxa"/>
            <w:gridSpan w:val="8"/>
            <w:tcBorders>
              <w:top w:val="double" w:sz="6" w:space="0" w:color="auto"/>
              <w:left w:val="double" w:sz="6" w:space="0" w:color="auto"/>
              <w:bottom w:val="nil"/>
              <w:right w:val="nil"/>
            </w:tcBorders>
            <w:shd w:val="clear" w:color="auto" w:fill="auto"/>
            <w:vAlign w:val="center"/>
            <w:hideMark/>
          </w:tcPr>
          <w:p w:rsidR="00375D0A" w:rsidRPr="00A15FB7" w:rsidRDefault="00375D0A" w:rsidP="00A15FB7">
            <w:pPr>
              <w:spacing w:line="240" w:lineRule="auto"/>
              <w:jc w:val="center"/>
              <w:rPr>
                <w:rFonts w:eastAsia="Times New Roman" w:cs="Arial"/>
                <w:b/>
                <w:bCs/>
                <w:color w:val="000000"/>
                <w:szCs w:val="24"/>
                <w:u w:val="single"/>
                <w:lang w:eastAsia="cs-CZ"/>
              </w:rPr>
            </w:pPr>
            <w:r w:rsidRPr="00A15FB7">
              <w:rPr>
                <w:rFonts w:eastAsia="Times New Roman" w:cs="Arial"/>
                <w:b/>
                <w:bCs/>
                <w:color w:val="000000"/>
                <w:szCs w:val="24"/>
                <w:u w:val="single"/>
                <w:lang w:eastAsia="cs-CZ"/>
              </w:rPr>
              <w:t>Plnění</w:t>
            </w:r>
          </w:p>
        </w:tc>
        <w:tc>
          <w:tcPr>
            <w:tcW w:w="1843" w:type="dxa"/>
            <w:gridSpan w:val="3"/>
            <w:tcBorders>
              <w:top w:val="nil"/>
              <w:left w:val="single" w:sz="8" w:space="0" w:color="auto"/>
              <w:bottom w:val="single" w:sz="8" w:space="0" w:color="auto"/>
              <w:right w:val="nil"/>
            </w:tcBorders>
            <w:shd w:val="clear" w:color="auto" w:fill="auto"/>
            <w:vAlign w:val="center"/>
            <w:hideMark/>
          </w:tcPr>
          <w:p w:rsidR="00375D0A" w:rsidRPr="00A15FB7" w:rsidRDefault="00375D0A" w:rsidP="00A15FB7">
            <w:pPr>
              <w:spacing w:line="240" w:lineRule="auto"/>
              <w:jc w:val="right"/>
              <w:rPr>
                <w:rFonts w:eastAsia="Times New Roman" w:cs="Arial"/>
                <w:color w:val="000000"/>
                <w:szCs w:val="24"/>
                <w:lang w:eastAsia="cs-CZ"/>
              </w:rPr>
            </w:pPr>
            <w:r w:rsidRPr="00A15FB7">
              <w:rPr>
                <w:rFonts w:eastAsia="Times New Roman" w:cs="Arial"/>
                <w:color w:val="000000"/>
                <w:szCs w:val="24"/>
                <w:lang w:eastAsia="cs-CZ"/>
              </w:rPr>
              <w:t>k datu</w:t>
            </w:r>
          </w:p>
        </w:tc>
        <w:tc>
          <w:tcPr>
            <w:tcW w:w="2126" w:type="dxa"/>
            <w:gridSpan w:val="2"/>
            <w:tcBorders>
              <w:top w:val="nil"/>
              <w:left w:val="nil"/>
              <w:bottom w:val="single" w:sz="8" w:space="0" w:color="auto"/>
              <w:right w:val="single" w:sz="8" w:space="0" w:color="auto"/>
            </w:tcBorders>
            <w:shd w:val="clear" w:color="auto" w:fill="auto"/>
            <w:vAlign w:val="center"/>
            <w:hideMark/>
          </w:tcPr>
          <w:p w:rsidR="00375D0A" w:rsidRPr="00A15FB7" w:rsidRDefault="00375D0A" w:rsidP="00A15FB7">
            <w:pPr>
              <w:spacing w:line="240" w:lineRule="auto"/>
              <w:jc w:val="center"/>
              <w:rPr>
                <w:rFonts w:eastAsia="Times New Roman" w:cs="Arial"/>
                <w:b/>
                <w:bCs/>
                <w:color w:val="000000"/>
                <w:szCs w:val="24"/>
                <w:u w:val="single"/>
                <w:lang w:eastAsia="cs-CZ"/>
              </w:rPr>
            </w:pPr>
            <w:r w:rsidRPr="00A15FB7">
              <w:rPr>
                <w:rFonts w:eastAsia="Times New Roman" w:cs="Arial"/>
                <w:b/>
                <w:bCs/>
                <w:color w:val="000000"/>
                <w:szCs w:val="24"/>
                <w:u w:val="single"/>
                <w:lang w:eastAsia="cs-CZ"/>
              </w:rPr>
              <w:t>31.</w:t>
            </w:r>
            <w:r>
              <w:rPr>
                <w:rFonts w:eastAsia="Times New Roman" w:cs="Arial"/>
                <w:b/>
                <w:bCs/>
                <w:color w:val="000000"/>
                <w:szCs w:val="24"/>
                <w:u w:val="single"/>
                <w:lang w:eastAsia="cs-CZ"/>
              </w:rPr>
              <w:t xml:space="preserve"> </w:t>
            </w:r>
            <w:r w:rsidRPr="00A15FB7">
              <w:rPr>
                <w:rFonts w:eastAsia="Times New Roman" w:cs="Arial"/>
                <w:b/>
                <w:bCs/>
                <w:color w:val="000000"/>
                <w:szCs w:val="24"/>
                <w:u w:val="single"/>
                <w:lang w:eastAsia="cs-CZ"/>
              </w:rPr>
              <w:t>12.</w:t>
            </w:r>
            <w:r>
              <w:rPr>
                <w:rFonts w:eastAsia="Times New Roman" w:cs="Arial"/>
                <w:b/>
                <w:bCs/>
                <w:color w:val="000000"/>
                <w:szCs w:val="24"/>
                <w:u w:val="single"/>
                <w:lang w:eastAsia="cs-CZ"/>
              </w:rPr>
              <w:t xml:space="preserve"> </w:t>
            </w:r>
            <w:r w:rsidRPr="00A15FB7">
              <w:rPr>
                <w:rFonts w:eastAsia="Times New Roman" w:cs="Arial"/>
                <w:b/>
                <w:bCs/>
                <w:color w:val="000000"/>
                <w:szCs w:val="24"/>
                <w:u w:val="single"/>
                <w:lang w:eastAsia="cs-CZ"/>
              </w:rPr>
              <w:t>2016</w:t>
            </w:r>
          </w:p>
        </w:tc>
      </w:tr>
      <w:tr w:rsidR="00A15FB7" w:rsidRPr="00A15FB7" w:rsidTr="001879FC">
        <w:trPr>
          <w:gridAfter w:val="1"/>
          <w:wAfter w:w="45" w:type="dxa"/>
          <w:trHeight w:val="1301"/>
        </w:trPr>
        <w:tc>
          <w:tcPr>
            <w:tcW w:w="568" w:type="dxa"/>
            <w:gridSpan w:val="2"/>
            <w:vMerge/>
            <w:tcBorders>
              <w:top w:val="nil"/>
              <w:left w:val="single" w:sz="8" w:space="0" w:color="auto"/>
              <w:bottom w:val="single" w:sz="8" w:space="0" w:color="000000"/>
              <w:right w:val="single" w:sz="8" w:space="0" w:color="auto"/>
            </w:tcBorders>
            <w:vAlign w:val="center"/>
            <w:hideMark/>
          </w:tcPr>
          <w:p w:rsidR="00A15FB7" w:rsidRPr="00A15FB7" w:rsidRDefault="00A15FB7" w:rsidP="00A15FB7">
            <w:pPr>
              <w:spacing w:line="240" w:lineRule="auto"/>
              <w:jc w:val="left"/>
              <w:rPr>
                <w:rFonts w:eastAsia="Times New Roman" w:cs="Arial"/>
                <w:b/>
                <w:bCs/>
                <w:color w:val="000000"/>
                <w:szCs w:val="24"/>
                <w:lang w:eastAsia="cs-CZ"/>
              </w:rPr>
            </w:pPr>
          </w:p>
        </w:tc>
        <w:tc>
          <w:tcPr>
            <w:tcW w:w="425" w:type="dxa"/>
            <w:gridSpan w:val="2"/>
            <w:tcBorders>
              <w:top w:val="nil"/>
              <w:left w:val="nil"/>
              <w:bottom w:val="nil"/>
              <w:right w:val="single" w:sz="4" w:space="0" w:color="auto"/>
            </w:tcBorders>
            <w:shd w:val="clear" w:color="auto" w:fill="auto"/>
            <w:textDirection w:val="btLr"/>
            <w:vAlign w:val="center"/>
            <w:hideMark/>
          </w:tcPr>
          <w:p w:rsidR="00A15FB7" w:rsidRPr="00A15FB7" w:rsidRDefault="00A15FB7" w:rsidP="00A15FB7">
            <w:pPr>
              <w:spacing w:line="240" w:lineRule="auto"/>
              <w:jc w:val="center"/>
              <w:rPr>
                <w:rFonts w:eastAsia="Times New Roman" w:cs="Arial"/>
                <w:color w:val="000000"/>
                <w:szCs w:val="24"/>
                <w:lang w:eastAsia="cs-CZ"/>
              </w:rPr>
            </w:pPr>
            <w:r w:rsidRPr="00A15FB7">
              <w:rPr>
                <w:rFonts w:eastAsia="Times New Roman" w:cs="Arial"/>
                <w:color w:val="000000"/>
                <w:szCs w:val="24"/>
                <w:lang w:eastAsia="cs-CZ"/>
              </w:rPr>
              <w:t xml:space="preserve">předchozí </w:t>
            </w:r>
          </w:p>
        </w:tc>
        <w:tc>
          <w:tcPr>
            <w:tcW w:w="13183" w:type="dxa"/>
            <w:gridSpan w:val="19"/>
            <w:tcBorders>
              <w:top w:val="nil"/>
              <w:left w:val="nil"/>
              <w:bottom w:val="nil"/>
              <w:right w:val="single" w:sz="8" w:space="0" w:color="000000"/>
            </w:tcBorders>
            <w:shd w:val="clear" w:color="auto" w:fill="auto"/>
            <w:hideMark/>
          </w:tcPr>
          <w:p w:rsidR="00A15FB7" w:rsidRPr="00A15FB7" w:rsidRDefault="00A15FB7" w:rsidP="001879FC">
            <w:pPr>
              <w:spacing w:line="240" w:lineRule="auto"/>
              <w:rPr>
                <w:rFonts w:eastAsia="Times New Roman" w:cs="Arial"/>
                <w:color w:val="000000"/>
                <w:szCs w:val="24"/>
                <w:lang w:eastAsia="cs-CZ"/>
              </w:rPr>
            </w:pPr>
            <w:r w:rsidRPr="00A15FB7">
              <w:rPr>
                <w:rFonts w:eastAsia="Times New Roman" w:cs="Arial"/>
                <w:color w:val="000000"/>
                <w:szCs w:val="24"/>
                <w:lang w:eastAsia="cs-CZ"/>
              </w:rPr>
              <w:t>Poradenské aktivity ÚP ČR jsou zabezpečovány jak interně speciálními poradci - za</w:t>
            </w:r>
            <w:r>
              <w:rPr>
                <w:rFonts w:eastAsia="Times New Roman" w:cs="Arial"/>
                <w:color w:val="000000"/>
                <w:szCs w:val="24"/>
                <w:lang w:eastAsia="cs-CZ"/>
              </w:rPr>
              <w:t>městnanci ÚP ČR, tak externě, a </w:t>
            </w:r>
            <w:r w:rsidRPr="00A15FB7">
              <w:rPr>
                <w:rFonts w:eastAsia="Times New Roman" w:cs="Arial"/>
                <w:color w:val="000000"/>
                <w:szCs w:val="24"/>
                <w:lang w:eastAsia="cs-CZ"/>
              </w:rPr>
              <w:t>to prostřednictvím nákupu poradenských služeb, přičemž převažuje poradenství interně zajišťované ÚP ČR. Významnou součástí skupinových poradenských programů jsou Job Cluby, které představují ucelený aktivizační poradenský program. V 1. pololetí roku 2016 bylo v rámci interního poradenství realizováno 4 604 akcí pro 134 010 účastníků, externích akcí bylo 209 pro 2 910 účastníků. Job Cluby – 152 akcí pro 1455 účastníků s počtem 1232 úspěšných absolventů.</w:t>
            </w:r>
          </w:p>
        </w:tc>
      </w:tr>
      <w:tr w:rsidR="00A15FB7" w:rsidRPr="00A15FB7" w:rsidTr="001879FC">
        <w:trPr>
          <w:gridAfter w:val="1"/>
          <w:wAfter w:w="45" w:type="dxa"/>
          <w:trHeight w:val="5220"/>
        </w:trPr>
        <w:tc>
          <w:tcPr>
            <w:tcW w:w="568" w:type="dxa"/>
            <w:gridSpan w:val="2"/>
            <w:vMerge/>
            <w:tcBorders>
              <w:top w:val="nil"/>
              <w:left w:val="single" w:sz="8" w:space="0" w:color="auto"/>
              <w:bottom w:val="single" w:sz="8" w:space="0" w:color="000000"/>
              <w:right w:val="single" w:sz="8" w:space="0" w:color="auto"/>
            </w:tcBorders>
            <w:vAlign w:val="center"/>
            <w:hideMark/>
          </w:tcPr>
          <w:p w:rsidR="00A15FB7" w:rsidRPr="00A15FB7" w:rsidRDefault="00A15FB7" w:rsidP="00A15FB7">
            <w:pPr>
              <w:spacing w:line="240" w:lineRule="auto"/>
              <w:jc w:val="left"/>
              <w:rPr>
                <w:rFonts w:eastAsia="Times New Roman" w:cs="Arial"/>
                <w:b/>
                <w:bCs/>
                <w:color w:val="000000"/>
                <w:szCs w:val="24"/>
                <w:lang w:eastAsia="cs-CZ"/>
              </w:rPr>
            </w:pPr>
          </w:p>
        </w:tc>
        <w:tc>
          <w:tcPr>
            <w:tcW w:w="425"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A15FB7" w:rsidRPr="00A15FB7" w:rsidRDefault="00A15FB7" w:rsidP="00A15FB7">
            <w:pPr>
              <w:spacing w:line="240" w:lineRule="auto"/>
              <w:jc w:val="center"/>
              <w:rPr>
                <w:rFonts w:eastAsia="Times New Roman" w:cs="Arial"/>
                <w:color w:val="000000"/>
                <w:szCs w:val="24"/>
                <w:lang w:eastAsia="cs-CZ"/>
              </w:rPr>
            </w:pPr>
            <w:r w:rsidRPr="00A15FB7">
              <w:rPr>
                <w:rFonts w:eastAsia="Times New Roman" w:cs="Arial"/>
                <w:color w:val="000000"/>
                <w:szCs w:val="24"/>
                <w:lang w:eastAsia="cs-CZ"/>
              </w:rPr>
              <w:t>sledované období</w:t>
            </w:r>
          </w:p>
        </w:tc>
        <w:tc>
          <w:tcPr>
            <w:tcW w:w="13183" w:type="dxa"/>
            <w:gridSpan w:val="19"/>
            <w:tcBorders>
              <w:top w:val="single" w:sz="4" w:space="0" w:color="auto"/>
              <w:left w:val="nil"/>
              <w:bottom w:val="single" w:sz="8" w:space="0" w:color="auto"/>
              <w:right w:val="single" w:sz="8" w:space="0" w:color="000000"/>
            </w:tcBorders>
            <w:shd w:val="clear" w:color="auto" w:fill="auto"/>
            <w:hideMark/>
          </w:tcPr>
          <w:p w:rsidR="00A15FB7" w:rsidRPr="00A15FB7" w:rsidRDefault="00A15FB7" w:rsidP="001879FC">
            <w:pPr>
              <w:spacing w:before="120" w:after="120" w:line="240" w:lineRule="auto"/>
              <w:rPr>
                <w:rFonts w:eastAsia="Times New Roman" w:cs="Arial"/>
                <w:color w:val="000000"/>
                <w:szCs w:val="24"/>
                <w:lang w:eastAsia="cs-CZ"/>
              </w:rPr>
            </w:pPr>
            <w:r w:rsidRPr="00A15FB7">
              <w:rPr>
                <w:rFonts w:eastAsia="Times New Roman" w:cs="Arial"/>
                <w:color w:val="000000"/>
                <w:szCs w:val="24"/>
                <w:lang w:eastAsia="cs-CZ"/>
              </w:rPr>
              <w:t>Interní poradenské aktivity zajišťované zaměstnanci útvarů poradenství a dalšího vzdělávání se soustředily na skupinové</w:t>
            </w:r>
            <w:r w:rsidR="009A4A77">
              <w:rPr>
                <w:rFonts w:eastAsia="Times New Roman" w:cs="Arial"/>
                <w:color w:val="000000"/>
                <w:szCs w:val="24"/>
                <w:lang w:eastAsia="cs-CZ"/>
              </w:rPr>
              <w:t xml:space="preserve"> i</w:t>
            </w:r>
            <w:r w:rsidR="001879FC">
              <w:rPr>
                <w:rFonts w:eastAsia="Times New Roman" w:cs="Arial"/>
                <w:color w:val="000000"/>
                <w:szCs w:val="24"/>
                <w:lang w:eastAsia="cs-CZ"/>
              </w:rPr>
              <w:t> </w:t>
            </w:r>
            <w:r w:rsidRPr="00A15FB7">
              <w:rPr>
                <w:rFonts w:eastAsia="Times New Roman" w:cs="Arial"/>
                <w:color w:val="000000"/>
                <w:szCs w:val="24"/>
                <w:lang w:eastAsia="cs-CZ"/>
              </w:rPr>
              <w:t xml:space="preserve">individuální poradenství. </w:t>
            </w:r>
            <w:r>
              <w:rPr>
                <w:rFonts w:eastAsia="Times New Roman" w:cs="Arial"/>
                <w:color w:val="000000"/>
                <w:szCs w:val="24"/>
                <w:lang w:eastAsia="cs-CZ"/>
              </w:rPr>
              <w:t>P</w:t>
            </w:r>
            <w:r w:rsidRPr="00A15FB7">
              <w:rPr>
                <w:rFonts w:eastAsia="Times New Roman" w:cs="Arial"/>
                <w:color w:val="000000"/>
                <w:szCs w:val="24"/>
                <w:lang w:eastAsia="cs-CZ"/>
              </w:rPr>
              <w:t>oradenské aktivity zaměřen</w:t>
            </w:r>
            <w:r w:rsidR="009A4A77">
              <w:rPr>
                <w:rFonts w:eastAsia="Times New Roman" w:cs="Arial"/>
                <w:color w:val="000000"/>
                <w:szCs w:val="24"/>
                <w:lang w:eastAsia="cs-CZ"/>
              </w:rPr>
              <w:t>é</w:t>
            </w:r>
            <w:r w:rsidRPr="00A15FB7">
              <w:rPr>
                <w:rFonts w:eastAsia="Times New Roman" w:cs="Arial"/>
                <w:color w:val="000000"/>
                <w:szCs w:val="24"/>
                <w:lang w:eastAsia="cs-CZ"/>
              </w:rPr>
              <w:t xml:space="preserve"> na volbu</w:t>
            </w:r>
            <w:r w:rsidR="009A4A77">
              <w:rPr>
                <w:rFonts w:eastAsia="Times New Roman" w:cs="Arial"/>
                <w:color w:val="000000"/>
                <w:szCs w:val="24"/>
                <w:lang w:eastAsia="cs-CZ"/>
              </w:rPr>
              <w:t xml:space="preserve"> či změnu</w:t>
            </w:r>
            <w:r w:rsidRPr="00A15FB7">
              <w:rPr>
                <w:rFonts w:eastAsia="Times New Roman" w:cs="Arial"/>
                <w:color w:val="000000"/>
                <w:szCs w:val="24"/>
                <w:lang w:eastAsia="cs-CZ"/>
              </w:rPr>
              <w:t xml:space="preserve"> povolání, </w:t>
            </w:r>
            <w:r w:rsidR="009A4A77">
              <w:rPr>
                <w:rFonts w:eastAsia="Times New Roman" w:cs="Arial"/>
                <w:color w:val="000000"/>
                <w:szCs w:val="24"/>
                <w:lang w:eastAsia="cs-CZ"/>
              </w:rPr>
              <w:t xml:space="preserve">byly </w:t>
            </w:r>
            <w:r>
              <w:rPr>
                <w:rFonts w:eastAsia="Times New Roman" w:cs="Arial"/>
                <w:color w:val="000000"/>
                <w:szCs w:val="24"/>
                <w:lang w:eastAsia="cs-CZ"/>
              </w:rPr>
              <w:t xml:space="preserve">zabezpečované </w:t>
            </w:r>
            <w:r w:rsidRPr="00A15FB7">
              <w:rPr>
                <w:rFonts w:eastAsia="Times New Roman" w:cs="Arial"/>
                <w:color w:val="000000"/>
                <w:szCs w:val="24"/>
                <w:lang w:eastAsia="cs-CZ"/>
              </w:rPr>
              <w:t>především zaměstnanci IPS</w:t>
            </w:r>
            <w:r>
              <w:rPr>
                <w:rFonts w:eastAsia="Times New Roman" w:cs="Arial"/>
                <w:color w:val="000000"/>
                <w:szCs w:val="24"/>
                <w:lang w:eastAsia="cs-CZ"/>
              </w:rPr>
              <w:t>.</w:t>
            </w:r>
            <w:r w:rsidRPr="00A15FB7">
              <w:rPr>
                <w:rFonts w:eastAsia="Times New Roman" w:cs="Arial"/>
                <w:color w:val="000000"/>
                <w:szCs w:val="24"/>
                <w:lang w:eastAsia="cs-CZ"/>
              </w:rPr>
              <w:t xml:space="preserve"> </w:t>
            </w:r>
            <w:r>
              <w:rPr>
                <w:rFonts w:eastAsia="Times New Roman" w:cs="Arial"/>
                <w:color w:val="000000"/>
                <w:szCs w:val="24"/>
                <w:lang w:eastAsia="cs-CZ"/>
              </w:rPr>
              <w:t>P</w:t>
            </w:r>
            <w:r w:rsidRPr="00A15FB7">
              <w:rPr>
                <w:rFonts w:eastAsia="Times New Roman" w:cs="Arial"/>
                <w:color w:val="000000"/>
                <w:szCs w:val="24"/>
                <w:lang w:eastAsia="cs-CZ"/>
              </w:rPr>
              <w:t xml:space="preserve">oskytovány </w:t>
            </w:r>
            <w:r>
              <w:rPr>
                <w:rFonts w:eastAsia="Times New Roman" w:cs="Arial"/>
                <w:color w:val="000000"/>
                <w:szCs w:val="24"/>
                <w:lang w:eastAsia="cs-CZ"/>
              </w:rPr>
              <w:t xml:space="preserve">jsou </w:t>
            </w:r>
            <w:r w:rsidRPr="00A15FB7">
              <w:rPr>
                <w:rFonts w:eastAsia="Times New Roman" w:cs="Arial"/>
                <w:color w:val="000000"/>
                <w:szCs w:val="24"/>
                <w:lang w:eastAsia="cs-CZ"/>
              </w:rPr>
              <w:t xml:space="preserve">jak žákům a studentům (případně jejich rodičům), tak zároveň </w:t>
            </w:r>
            <w:proofErr w:type="spellStart"/>
            <w:r>
              <w:rPr>
                <w:rFonts w:eastAsia="Times New Roman" w:cs="Arial"/>
                <w:color w:val="000000"/>
                <w:szCs w:val="24"/>
                <w:lang w:eastAsia="cs-CZ"/>
              </w:rPr>
              <w:t>UoZ</w:t>
            </w:r>
            <w:proofErr w:type="spellEnd"/>
            <w:r w:rsidRPr="00A15FB7">
              <w:rPr>
                <w:rFonts w:eastAsia="Times New Roman" w:cs="Arial"/>
                <w:color w:val="000000"/>
                <w:szCs w:val="24"/>
                <w:lang w:eastAsia="cs-CZ"/>
              </w:rPr>
              <w:t>. V rámci poradenství pro volbu povolání bylo IPS zrealizováno celkem 4</w:t>
            </w:r>
            <w:r>
              <w:rPr>
                <w:rFonts w:eastAsia="Times New Roman" w:cs="Arial"/>
                <w:color w:val="000000"/>
                <w:szCs w:val="24"/>
                <w:lang w:eastAsia="cs-CZ"/>
              </w:rPr>
              <w:t xml:space="preserve"> 704 skupinových akcí pro školy (</w:t>
            </w:r>
            <w:r w:rsidRPr="00A15FB7">
              <w:rPr>
                <w:rFonts w:eastAsia="Times New Roman" w:cs="Arial"/>
                <w:color w:val="000000"/>
                <w:szCs w:val="24"/>
                <w:lang w:eastAsia="cs-CZ"/>
              </w:rPr>
              <w:t>99 027 žáků či studentů</w:t>
            </w:r>
            <w:r>
              <w:rPr>
                <w:rFonts w:eastAsia="Times New Roman" w:cs="Arial"/>
                <w:color w:val="000000"/>
                <w:szCs w:val="24"/>
                <w:lang w:eastAsia="cs-CZ"/>
              </w:rPr>
              <w:t>). IPS v </w:t>
            </w:r>
            <w:r w:rsidRPr="00A15FB7">
              <w:rPr>
                <w:rFonts w:eastAsia="Times New Roman" w:cs="Arial"/>
                <w:color w:val="000000"/>
                <w:szCs w:val="24"/>
                <w:lang w:eastAsia="cs-CZ"/>
              </w:rPr>
              <w:t>roce 2015 uspořád</w:t>
            </w:r>
            <w:r w:rsidR="009A4A77">
              <w:rPr>
                <w:rFonts w:eastAsia="Times New Roman" w:cs="Arial"/>
                <w:color w:val="000000"/>
                <w:szCs w:val="24"/>
                <w:lang w:eastAsia="cs-CZ"/>
              </w:rPr>
              <w:t>ala</w:t>
            </w:r>
            <w:r w:rsidRPr="00A15FB7">
              <w:rPr>
                <w:rFonts w:eastAsia="Times New Roman" w:cs="Arial"/>
                <w:color w:val="000000"/>
                <w:szCs w:val="24"/>
                <w:lang w:eastAsia="cs-CZ"/>
              </w:rPr>
              <w:t xml:space="preserve"> celkem 2 936 akcí pro 30 778 </w:t>
            </w:r>
            <w:proofErr w:type="spellStart"/>
            <w:r>
              <w:rPr>
                <w:rFonts w:eastAsia="Times New Roman" w:cs="Arial"/>
                <w:color w:val="000000"/>
                <w:szCs w:val="24"/>
                <w:lang w:eastAsia="cs-CZ"/>
              </w:rPr>
              <w:t>UoZ</w:t>
            </w:r>
            <w:proofErr w:type="spellEnd"/>
            <w:r w:rsidRPr="00A15FB7">
              <w:rPr>
                <w:rFonts w:eastAsia="Times New Roman" w:cs="Arial"/>
                <w:color w:val="000000"/>
                <w:szCs w:val="24"/>
                <w:lang w:eastAsia="cs-CZ"/>
              </w:rPr>
              <w:t xml:space="preserve">. </w:t>
            </w:r>
            <w:r>
              <w:rPr>
                <w:rFonts w:eastAsia="Times New Roman" w:cs="Arial"/>
                <w:color w:val="000000"/>
                <w:szCs w:val="24"/>
                <w:lang w:eastAsia="cs-CZ"/>
              </w:rPr>
              <w:t>Skupinové informační schůzky jsou zaměřeny</w:t>
            </w:r>
            <w:r w:rsidRPr="00A15FB7">
              <w:rPr>
                <w:rFonts w:eastAsia="Times New Roman" w:cs="Arial"/>
                <w:color w:val="000000"/>
                <w:szCs w:val="24"/>
                <w:lang w:eastAsia="cs-CZ"/>
              </w:rPr>
              <w:t xml:space="preserve"> na informování klientů o jejich právech a povinnostech, o </w:t>
            </w:r>
            <w:r w:rsidR="000901EA" w:rsidRPr="00A15FB7">
              <w:rPr>
                <w:rFonts w:eastAsia="Times New Roman" w:cs="Arial"/>
                <w:color w:val="000000"/>
                <w:szCs w:val="24"/>
                <w:lang w:eastAsia="cs-CZ"/>
              </w:rPr>
              <w:t>služeb</w:t>
            </w:r>
            <w:r w:rsidR="000901EA">
              <w:rPr>
                <w:rFonts w:eastAsia="Times New Roman" w:cs="Arial"/>
                <w:color w:val="000000"/>
                <w:szCs w:val="24"/>
                <w:lang w:eastAsia="cs-CZ"/>
              </w:rPr>
              <w:t>nách</w:t>
            </w:r>
            <w:r w:rsidRPr="00A15FB7">
              <w:rPr>
                <w:rFonts w:eastAsia="Times New Roman" w:cs="Arial"/>
                <w:color w:val="000000"/>
                <w:szCs w:val="24"/>
                <w:lang w:eastAsia="cs-CZ"/>
              </w:rPr>
              <w:t xml:space="preserve"> </w:t>
            </w:r>
            <w:r>
              <w:rPr>
                <w:rFonts w:eastAsia="Times New Roman" w:cs="Arial"/>
                <w:color w:val="000000"/>
                <w:szCs w:val="24"/>
                <w:lang w:eastAsia="cs-CZ"/>
              </w:rPr>
              <w:t>ÚP</w:t>
            </w:r>
            <w:r w:rsidRPr="00A15FB7">
              <w:rPr>
                <w:rFonts w:eastAsia="Times New Roman" w:cs="Arial"/>
                <w:color w:val="000000"/>
                <w:szCs w:val="24"/>
                <w:lang w:eastAsia="cs-CZ"/>
              </w:rPr>
              <w:t xml:space="preserve"> ČR, o rekvalifikacích a APZ, o možnostech sjednání </w:t>
            </w:r>
            <w:r w:rsidR="009A4A77">
              <w:rPr>
                <w:rFonts w:eastAsia="Times New Roman" w:cs="Arial"/>
                <w:color w:val="000000"/>
                <w:szCs w:val="24"/>
                <w:lang w:eastAsia="cs-CZ"/>
              </w:rPr>
              <w:t>IAP</w:t>
            </w:r>
            <w:r w:rsidRPr="00A15FB7">
              <w:rPr>
                <w:rFonts w:eastAsia="Times New Roman" w:cs="Arial"/>
                <w:color w:val="000000"/>
                <w:szCs w:val="24"/>
                <w:lang w:eastAsia="cs-CZ"/>
              </w:rPr>
              <w:t xml:space="preserve"> apod. Informačních schůz</w:t>
            </w:r>
            <w:r>
              <w:rPr>
                <w:rFonts w:eastAsia="Times New Roman" w:cs="Arial"/>
                <w:color w:val="000000"/>
                <w:szCs w:val="24"/>
                <w:lang w:eastAsia="cs-CZ"/>
              </w:rPr>
              <w:t>ek se v roce 2016 uskutečnilo 5 </w:t>
            </w:r>
            <w:r w:rsidRPr="00A15FB7">
              <w:rPr>
                <w:rFonts w:eastAsia="Times New Roman" w:cs="Arial"/>
                <w:color w:val="000000"/>
                <w:szCs w:val="24"/>
                <w:lang w:eastAsia="cs-CZ"/>
              </w:rPr>
              <w:t xml:space="preserve">790 </w:t>
            </w:r>
            <w:r w:rsidR="009A4A77">
              <w:rPr>
                <w:rFonts w:eastAsia="Times New Roman" w:cs="Arial"/>
                <w:color w:val="000000"/>
                <w:szCs w:val="24"/>
                <w:lang w:eastAsia="cs-CZ"/>
              </w:rPr>
              <w:t>pro</w:t>
            </w:r>
            <w:r w:rsidRPr="00A15FB7">
              <w:rPr>
                <w:rFonts w:eastAsia="Times New Roman" w:cs="Arial"/>
                <w:color w:val="000000"/>
                <w:szCs w:val="24"/>
                <w:lang w:eastAsia="cs-CZ"/>
              </w:rPr>
              <w:t xml:space="preserve"> 108 488 klientů. Individuální poradenství bylo v roce 2016 poskytnuto 127 526 klientům</w:t>
            </w:r>
            <w:r w:rsidR="009A4A77">
              <w:rPr>
                <w:rFonts w:eastAsia="Times New Roman" w:cs="Arial"/>
                <w:color w:val="000000"/>
                <w:szCs w:val="24"/>
                <w:lang w:eastAsia="cs-CZ"/>
              </w:rPr>
              <w:t>,</w:t>
            </w:r>
            <w:r w:rsidRPr="00A15FB7">
              <w:rPr>
                <w:rFonts w:eastAsia="Times New Roman" w:cs="Arial"/>
                <w:color w:val="000000"/>
                <w:szCs w:val="24"/>
                <w:lang w:eastAsia="cs-CZ"/>
              </w:rPr>
              <w:t xml:space="preserve"> zahrnuje především poradenství k volbě povolání, k rekvalifikacím, speciální, psychologické poradenství, poradenství k pracovní rehabilitaci</w:t>
            </w:r>
            <w:r w:rsidR="009A4A77">
              <w:rPr>
                <w:rFonts w:eastAsia="Times New Roman" w:cs="Arial"/>
                <w:color w:val="000000"/>
                <w:szCs w:val="24"/>
                <w:lang w:eastAsia="cs-CZ"/>
              </w:rPr>
              <w:t xml:space="preserve"> či</w:t>
            </w:r>
            <w:r w:rsidRPr="00A15FB7">
              <w:rPr>
                <w:rFonts w:eastAsia="Times New Roman" w:cs="Arial"/>
                <w:color w:val="000000"/>
                <w:szCs w:val="24"/>
                <w:lang w:eastAsia="cs-CZ"/>
              </w:rPr>
              <w:t xml:space="preserve"> užití diagnostických nástrojů. Bilanční diagnostika byla interně poskytnuta celkem 125 klientům.</w:t>
            </w:r>
            <w:r w:rsidR="009A4A77">
              <w:rPr>
                <w:rFonts w:eastAsia="Times New Roman" w:cs="Arial"/>
                <w:color w:val="000000"/>
                <w:szCs w:val="24"/>
                <w:lang w:eastAsia="cs-CZ"/>
              </w:rPr>
              <w:t xml:space="preserve"> </w:t>
            </w:r>
            <w:r w:rsidRPr="00A15FB7">
              <w:rPr>
                <w:rFonts w:eastAsia="Times New Roman" w:cs="Arial"/>
                <w:color w:val="000000"/>
                <w:szCs w:val="24"/>
                <w:lang w:eastAsia="cs-CZ"/>
              </w:rPr>
              <w:t xml:space="preserve">V roce 2016 bylo realizováno interně zaměstnanci ÚP ČR celkem 263 skupinových poradenských aktivit v rámci </w:t>
            </w:r>
            <w:r w:rsidR="009A4A77">
              <w:rPr>
                <w:rFonts w:eastAsia="Times New Roman" w:cs="Arial"/>
                <w:color w:val="000000"/>
                <w:szCs w:val="24"/>
                <w:lang w:eastAsia="cs-CZ"/>
              </w:rPr>
              <w:t>RIP</w:t>
            </w:r>
            <w:r w:rsidRPr="00A15FB7">
              <w:rPr>
                <w:rFonts w:eastAsia="Times New Roman" w:cs="Arial"/>
                <w:color w:val="000000"/>
                <w:szCs w:val="24"/>
                <w:lang w:eastAsia="cs-CZ"/>
              </w:rPr>
              <w:t xml:space="preserve">. Tyto aktivity byly realizovány pro 1 930 klientů. Individuální poradenství bylo poskytnuto v rámci </w:t>
            </w:r>
            <w:r w:rsidR="009A4A77">
              <w:rPr>
                <w:rFonts w:eastAsia="Times New Roman" w:cs="Arial"/>
                <w:color w:val="000000"/>
                <w:szCs w:val="24"/>
                <w:lang w:eastAsia="cs-CZ"/>
              </w:rPr>
              <w:t>RIP</w:t>
            </w:r>
            <w:r w:rsidRPr="00A15FB7">
              <w:rPr>
                <w:rFonts w:eastAsia="Times New Roman" w:cs="Arial"/>
                <w:color w:val="000000"/>
                <w:szCs w:val="24"/>
                <w:lang w:eastAsia="cs-CZ"/>
              </w:rPr>
              <w:t xml:space="preserve"> celkem 2 388 klientům. </w:t>
            </w:r>
            <w:r>
              <w:rPr>
                <w:rFonts w:eastAsia="Times New Roman" w:cs="Arial"/>
                <w:color w:val="000000"/>
                <w:szCs w:val="24"/>
                <w:lang w:eastAsia="cs-CZ"/>
              </w:rPr>
              <w:t>ÚP</w:t>
            </w:r>
            <w:r w:rsidRPr="00A15FB7">
              <w:rPr>
                <w:rFonts w:eastAsia="Times New Roman" w:cs="Arial"/>
                <w:color w:val="000000"/>
                <w:szCs w:val="24"/>
                <w:lang w:eastAsia="cs-CZ"/>
              </w:rPr>
              <w:t xml:space="preserve"> ČR rovněž realizoval další akce v počtu 633 </w:t>
            </w:r>
            <w:r w:rsidR="009A4A77">
              <w:rPr>
                <w:rFonts w:eastAsia="Times New Roman" w:cs="Arial"/>
                <w:color w:val="000000"/>
                <w:szCs w:val="24"/>
                <w:lang w:eastAsia="cs-CZ"/>
              </w:rPr>
              <w:t>(např. prezentace IPS na veletrzích)</w:t>
            </w:r>
            <w:r w:rsidRPr="00A15FB7">
              <w:rPr>
                <w:rFonts w:eastAsia="Times New Roman" w:cs="Arial"/>
                <w:color w:val="000000"/>
                <w:szCs w:val="24"/>
                <w:lang w:eastAsia="cs-CZ"/>
              </w:rPr>
              <w:t>.</w:t>
            </w:r>
            <w:r w:rsidR="009A4A77">
              <w:rPr>
                <w:rFonts w:eastAsia="Times New Roman" w:cs="Arial"/>
                <w:color w:val="000000"/>
                <w:szCs w:val="24"/>
                <w:lang w:eastAsia="cs-CZ"/>
              </w:rPr>
              <w:t xml:space="preserve"> </w:t>
            </w:r>
            <w:r w:rsidRPr="00A15FB7">
              <w:rPr>
                <w:rFonts w:eastAsia="Times New Roman" w:cs="Arial"/>
                <w:color w:val="000000"/>
                <w:szCs w:val="24"/>
                <w:lang w:eastAsia="cs-CZ"/>
              </w:rPr>
              <w:t>Externí poradenství bylo v roce 2016 zabezpečováno prostřednictvím odborných zařízení za ú</w:t>
            </w:r>
            <w:r w:rsidR="001879FC">
              <w:rPr>
                <w:rFonts w:eastAsia="Times New Roman" w:cs="Arial"/>
                <w:color w:val="000000"/>
                <w:szCs w:val="24"/>
                <w:lang w:eastAsia="cs-CZ"/>
              </w:rPr>
              <w:t>čelem zjišťování osobnostních a </w:t>
            </w:r>
            <w:r w:rsidRPr="00A15FB7">
              <w:rPr>
                <w:rFonts w:eastAsia="Times New Roman" w:cs="Arial"/>
                <w:color w:val="000000"/>
                <w:szCs w:val="24"/>
                <w:lang w:eastAsia="cs-CZ"/>
              </w:rPr>
              <w:t xml:space="preserve">kvalifikačních předpokladů osob pro volbu povolání, pro zprostředkování vhodného zaměstnání, pro volbu přípravy k práci </w:t>
            </w:r>
            <w:r>
              <w:rPr>
                <w:rFonts w:eastAsia="Times New Roman" w:cs="Arial"/>
                <w:color w:val="000000"/>
                <w:szCs w:val="24"/>
                <w:lang w:eastAsia="cs-CZ"/>
              </w:rPr>
              <w:t>OZP</w:t>
            </w:r>
            <w:r w:rsidRPr="00A15FB7">
              <w:rPr>
                <w:rFonts w:eastAsia="Times New Roman" w:cs="Arial"/>
                <w:color w:val="000000"/>
                <w:szCs w:val="24"/>
                <w:lang w:eastAsia="cs-CZ"/>
              </w:rPr>
              <w:t xml:space="preserve"> a při výběru </w:t>
            </w:r>
            <w:r w:rsidR="000901EA" w:rsidRPr="00A15FB7">
              <w:rPr>
                <w:rFonts w:eastAsia="Times New Roman" w:cs="Arial"/>
                <w:color w:val="000000"/>
                <w:szCs w:val="24"/>
                <w:lang w:eastAsia="cs-CZ"/>
              </w:rPr>
              <w:t>nástrojů</w:t>
            </w:r>
            <w:r w:rsidRPr="00A15FB7">
              <w:rPr>
                <w:rFonts w:eastAsia="Times New Roman" w:cs="Arial"/>
                <w:color w:val="000000"/>
                <w:szCs w:val="24"/>
                <w:lang w:eastAsia="cs-CZ"/>
              </w:rPr>
              <w:t xml:space="preserve"> </w:t>
            </w:r>
            <w:r>
              <w:rPr>
                <w:rFonts w:eastAsia="Times New Roman" w:cs="Arial"/>
                <w:color w:val="000000"/>
                <w:szCs w:val="24"/>
                <w:lang w:eastAsia="cs-CZ"/>
              </w:rPr>
              <w:t>APZ</w:t>
            </w:r>
            <w:r w:rsidRPr="00A15FB7">
              <w:rPr>
                <w:rFonts w:eastAsia="Times New Roman" w:cs="Arial"/>
                <w:color w:val="000000"/>
                <w:szCs w:val="24"/>
                <w:lang w:eastAsia="cs-CZ"/>
              </w:rPr>
              <w:t>. Skupinových poradenských aktivit zabezpečovaných externě se uskutečnilo</w:t>
            </w:r>
            <w:r w:rsidR="009A4A77">
              <w:rPr>
                <w:rFonts w:eastAsia="Times New Roman" w:cs="Arial"/>
                <w:color w:val="000000"/>
                <w:szCs w:val="24"/>
                <w:lang w:eastAsia="cs-CZ"/>
              </w:rPr>
              <w:t xml:space="preserve"> 442 pro 4 324 klientů, i</w:t>
            </w:r>
            <w:r w:rsidRPr="00A15FB7">
              <w:rPr>
                <w:rFonts w:eastAsia="Times New Roman" w:cs="Arial"/>
                <w:color w:val="000000"/>
                <w:szCs w:val="24"/>
                <w:lang w:eastAsia="cs-CZ"/>
              </w:rPr>
              <w:t xml:space="preserve">ndividuální poradenství pro 494 klientů. Bilanční diagnostika byla zajišťována především </w:t>
            </w:r>
            <w:r w:rsidR="009A4A77">
              <w:rPr>
                <w:rFonts w:eastAsia="Times New Roman" w:cs="Arial"/>
                <w:color w:val="000000"/>
                <w:szCs w:val="24"/>
                <w:lang w:eastAsia="cs-CZ"/>
              </w:rPr>
              <w:t>externě</w:t>
            </w:r>
            <w:r w:rsidRPr="00A15FB7">
              <w:rPr>
                <w:rFonts w:eastAsia="Times New Roman" w:cs="Arial"/>
                <w:color w:val="000000"/>
                <w:szCs w:val="24"/>
                <w:lang w:eastAsia="cs-CZ"/>
              </w:rPr>
              <w:t>, pro 945 klientů.</w:t>
            </w:r>
            <w:r w:rsidR="009A4A77">
              <w:rPr>
                <w:rFonts w:eastAsia="Times New Roman" w:cs="Arial"/>
                <w:color w:val="000000"/>
                <w:szCs w:val="24"/>
                <w:lang w:eastAsia="cs-CZ"/>
              </w:rPr>
              <w:t xml:space="preserve"> </w:t>
            </w:r>
            <w:r w:rsidRPr="00A15FB7">
              <w:rPr>
                <w:rFonts w:eastAsia="Times New Roman" w:cs="Arial"/>
                <w:color w:val="000000"/>
                <w:szCs w:val="24"/>
                <w:lang w:eastAsia="cs-CZ"/>
              </w:rPr>
              <w:t>Job Cluby představují ucelený aktivizační poradenský program. Počet realizovaných programů v roce 2016 byl celkem 268. Počet účastníků byl 2 478, z toho bylo 2 105 úspěšných absolventů.</w:t>
            </w:r>
          </w:p>
        </w:tc>
      </w:tr>
      <w:tr w:rsidR="00A15FB7" w:rsidRPr="00A15FB7" w:rsidTr="00D229A2">
        <w:trPr>
          <w:gridAfter w:val="1"/>
          <w:wAfter w:w="45" w:type="dxa"/>
          <w:trHeight w:val="285"/>
        </w:trPr>
        <w:tc>
          <w:tcPr>
            <w:tcW w:w="568" w:type="dxa"/>
            <w:gridSpan w:val="2"/>
            <w:tcBorders>
              <w:top w:val="single" w:sz="8" w:space="0" w:color="auto"/>
              <w:left w:val="single" w:sz="8" w:space="0" w:color="auto"/>
              <w:bottom w:val="single" w:sz="4" w:space="0" w:color="auto"/>
              <w:right w:val="nil"/>
            </w:tcBorders>
            <w:shd w:val="clear" w:color="000000" w:fill="E4DFEC"/>
            <w:noWrap/>
            <w:vAlign w:val="center"/>
            <w:hideMark/>
          </w:tcPr>
          <w:p w:rsidR="00A15FB7" w:rsidRPr="00A15FB7" w:rsidRDefault="00A15FB7" w:rsidP="00A15FB7">
            <w:pPr>
              <w:spacing w:line="240" w:lineRule="auto"/>
              <w:jc w:val="center"/>
              <w:rPr>
                <w:rFonts w:eastAsia="Times New Roman" w:cs="Arial"/>
                <w:b/>
                <w:bCs/>
                <w:color w:val="000000"/>
                <w:szCs w:val="24"/>
                <w:lang w:eastAsia="cs-CZ"/>
              </w:rPr>
            </w:pPr>
            <w:r w:rsidRPr="00A15FB7">
              <w:rPr>
                <w:rFonts w:eastAsia="Times New Roman" w:cs="Arial"/>
                <w:b/>
                <w:bCs/>
                <w:color w:val="000000"/>
                <w:szCs w:val="24"/>
                <w:lang w:eastAsia="cs-CZ"/>
              </w:rPr>
              <w:t>4.2</w:t>
            </w:r>
          </w:p>
        </w:tc>
        <w:tc>
          <w:tcPr>
            <w:tcW w:w="425" w:type="dxa"/>
            <w:gridSpan w:val="2"/>
            <w:tcBorders>
              <w:top w:val="single" w:sz="8" w:space="0" w:color="auto"/>
              <w:left w:val="single" w:sz="8" w:space="0" w:color="auto"/>
              <w:bottom w:val="single" w:sz="4" w:space="0" w:color="auto"/>
              <w:right w:val="nil"/>
            </w:tcBorders>
            <w:shd w:val="clear" w:color="auto" w:fill="auto"/>
            <w:noWrap/>
            <w:vAlign w:val="center"/>
            <w:hideMark/>
          </w:tcPr>
          <w:p w:rsidR="00A15FB7" w:rsidRPr="00A15FB7" w:rsidRDefault="00A15FB7" w:rsidP="00A15FB7">
            <w:pPr>
              <w:spacing w:line="240" w:lineRule="auto"/>
              <w:jc w:val="right"/>
              <w:rPr>
                <w:rFonts w:eastAsia="Times New Roman" w:cs="Arial"/>
                <w:b/>
                <w:bCs/>
                <w:color w:val="000000"/>
                <w:szCs w:val="24"/>
                <w:lang w:eastAsia="cs-CZ"/>
              </w:rPr>
            </w:pPr>
            <w:r w:rsidRPr="00A15FB7">
              <w:rPr>
                <w:rFonts w:eastAsia="Times New Roman" w:cs="Arial"/>
                <w:b/>
                <w:bCs/>
                <w:color w:val="000000"/>
                <w:szCs w:val="24"/>
                <w:lang w:eastAsia="cs-CZ"/>
              </w:rPr>
              <w:t>T:</w:t>
            </w:r>
          </w:p>
        </w:tc>
        <w:tc>
          <w:tcPr>
            <w:tcW w:w="1985" w:type="dxa"/>
            <w:gridSpan w:val="4"/>
            <w:tcBorders>
              <w:top w:val="single" w:sz="8" w:space="0" w:color="auto"/>
              <w:left w:val="nil"/>
              <w:bottom w:val="single" w:sz="4" w:space="0" w:color="auto"/>
              <w:right w:val="nil"/>
            </w:tcBorders>
            <w:shd w:val="clear" w:color="auto" w:fill="auto"/>
            <w:noWrap/>
            <w:vAlign w:val="center"/>
            <w:hideMark/>
          </w:tcPr>
          <w:p w:rsidR="00A15FB7" w:rsidRPr="00A15FB7" w:rsidRDefault="00A15FB7" w:rsidP="00A15FB7">
            <w:pPr>
              <w:spacing w:line="240" w:lineRule="auto"/>
              <w:jc w:val="center"/>
              <w:rPr>
                <w:rFonts w:eastAsia="Times New Roman" w:cs="Arial"/>
                <w:b/>
                <w:bCs/>
                <w:color w:val="000000"/>
                <w:szCs w:val="24"/>
                <w:lang w:eastAsia="cs-CZ"/>
              </w:rPr>
            </w:pPr>
            <w:r w:rsidRPr="00A15FB7">
              <w:rPr>
                <w:rFonts w:eastAsia="Times New Roman" w:cs="Arial"/>
                <w:b/>
                <w:bCs/>
                <w:color w:val="000000"/>
                <w:szCs w:val="24"/>
                <w:lang w:eastAsia="cs-CZ"/>
              </w:rPr>
              <w:t>2016</w:t>
            </w:r>
          </w:p>
        </w:tc>
        <w:tc>
          <w:tcPr>
            <w:tcW w:w="928" w:type="dxa"/>
            <w:gridSpan w:val="2"/>
            <w:tcBorders>
              <w:top w:val="single" w:sz="12" w:space="0" w:color="auto"/>
              <w:left w:val="single" w:sz="12" w:space="0" w:color="auto"/>
              <w:bottom w:val="single" w:sz="12" w:space="0" w:color="auto"/>
              <w:right w:val="nil"/>
            </w:tcBorders>
            <w:shd w:val="clear" w:color="auto" w:fill="auto"/>
            <w:noWrap/>
            <w:vAlign w:val="center"/>
            <w:hideMark/>
          </w:tcPr>
          <w:p w:rsidR="00A15FB7" w:rsidRPr="00A15FB7" w:rsidRDefault="00A15FB7" w:rsidP="00A15FB7">
            <w:pPr>
              <w:spacing w:line="240" w:lineRule="auto"/>
              <w:jc w:val="right"/>
              <w:rPr>
                <w:rFonts w:eastAsia="Times New Roman" w:cs="Arial"/>
                <w:b/>
                <w:bCs/>
                <w:color w:val="000000"/>
                <w:szCs w:val="24"/>
                <w:lang w:eastAsia="cs-CZ"/>
              </w:rPr>
            </w:pPr>
            <w:r w:rsidRPr="00A15FB7">
              <w:rPr>
                <w:rFonts w:eastAsia="Times New Roman" w:cs="Arial"/>
                <w:b/>
                <w:bCs/>
                <w:color w:val="000000"/>
                <w:szCs w:val="24"/>
                <w:lang w:eastAsia="cs-CZ"/>
              </w:rPr>
              <w:t>gesce:</w:t>
            </w:r>
          </w:p>
        </w:tc>
        <w:tc>
          <w:tcPr>
            <w:tcW w:w="1446" w:type="dxa"/>
            <w:gridSpan w:val="2"/>
            <w:tcBorders>
              <w:top w:val="single" w:sz="12" w:space="0" w:color="auto"/>
              <w:left w:val="nil"/>
              <w:bottom w:val="single" w:sz="12" w:space="0" w:color="auto"/>
              <w:right w:val="single" w:sz="4" w:space="0" w:color="auto"/>
            </w:tcBorders>
            <w:shd w:val="clear" w:color="auto" w:fill="auto"/>
            <w:noWrap/>
            <w:vAlign w:val="center"/>
            <w:hideMark/>
          </w:tcPr>
          <w:p w:rsidR="00A15FB7" w:rsidRPr="00A15FB7" w:rsidRDefault="00A15FB7" w:rsidP="00A15FB7">
            <w:pPr>
              <w:spacing w:line="240" w:lineRule="auto"/>
              <w:jc w:val="left"/>
              <w:rPr>
                <w:rFonts w:eastAsia="Times New Roman" w:cs="Arial"/>
                <w:b/>
                <w:bCs/>
                <w:color w:val="000000"/>
                <w:szCs w:val="24"/>
                <w:lang w:eastAsia="cs-CZ"/>
              </w:rPr>
            </w:pPr>
            <w:r w:rsidRPr="00A15FB7">
              <w:rPr>
                <w:rFonts w:eastAsia="Times New Roman" w:cs="Arial"/>
                <w:b/>
                <w:bCs/>
                <w:color w:val="000000"/>
                <w:szCs w:val="24"/>
                <w:lang w:eastAsia="cs-CZ"/>
              </w:rPr>
              <w:t>MPSV</w:t>
            </w:r>
          </w:p>
        </w:tc>
        <w:tc>
          <w:tcPr>
            <w:tcW w:w="2659" w:type="dxa"/>
            <w:gridSpan w:val="2"/>
            <w:tcBorders>
              <w:left w:val="single" w:sz="4" w:space="0" w:color="auto"/>
              <w:bottom w:val="single" w:sz="4" w:space="0" w:color="auto"/>
            </w:tcBorders>
            <w:shd w:val="clear" w:color="auto" w:fill="auto"/>
            <w:noWrap/>
            <w:vAlign w:val="center"/>
          </w:tcPr>
          <w:p w:rsidR="00A15FB7" w:rsidRPr="00A15FB7" w:rsidRDefault="00A15FB7" w:rsidP="00A15FB7">
            <w:pPr>
              <w:spacing w:line="240" w:lineRule="auto"/>
              <w:jc w:val="right"/>
              <w:rPr>
                <w:rFonts w:eastAsia="Times New Roman" w:cs="Arial"/>
                <w:color w:val="000000"/>
                <w:szCs w:val="24"/>
                <w:lang w:eastAsia="cs-CZ"/>
              </w:rPr>
            </w:pPr>
          </w:p>
        </w:tc>
        <w:tc>
          <w:tcPr>
            <w:tcW w:w="208" w:type="dxa"/>
            <w:gridSpan w:val="2"/>
            <w:tcBorders>
              <w:bottom w:val="single" w:sz="4" w:space="0" w:color="auto"/>
            </w:tcBorders>
            <w:shd w:val="clear" w:color="auto" w:fill="auto"/>
            <w:noWrap/>
            <w:vAlign w:val="center"/>
          </w:tcPr>
          <w:p w:rsidR="00A15FB7" w:rsidRPr="00A15FB7" w:rsidRDefault="00A15FB7" w:rsidP="00A15FB7">
            <w:pPr>
              <w:spacing w:line="240" w:lineRule="auto"/>
              <w:jc w:val="right"/>
              <w:rPr>
                <w:rFonts w:eastAsia="Times New Roman" w:cs="Arial"/>
                <w:color w:val="000000"/>
                <w:szCs w:val="24"/>
                <w:lang w:eastAsia="cs-CZ"/>
              </w:rPr>
            </w:pPr>
          </w:p>
        </w:tc>
        <w:tc>
          <w:tcPr>
            <w:tcW w:w="1979" w:type="dxa"/>
            <w:tcBorders>
              <w:bottom w:val="single" w:sz="4" w:space="0" w:color="auto"/>
            </w:tcBorders>
            <w:shd w:val="clear" w:color="auto" w:fill="auto"/>
            <w:noWrap/>
            <w:vAlign w:val="center"/>
          </w:tcPr>
          <w:p w:rsidR="00A15FB7" w:rsidRPr="00A15FB7" w:rsidRDefault="00A15FB7" w:rsidP="00A15FB7">
            <w:pPr>
              <w:spacing w:line="240" w:lineRule="auto"/>
              <w:jc w:val="right"/>
              <w:rPr>
                <w:rFonts w:eastAsia="Times New Roman" w:cs="Arial"/>
                <w:color w:val="000000"/>
                <w:szCs w:val="24"/>
                <w:lang w:eastAsia="cs-CZ"/>
              </w:rPr>
            </w:pPr>
          </w:p>
        </w:tc>
        <w:tc>
          <w:tcPr>
            <w:tcW w:w="3978" w:type="dxa"/>
            <w:gridSpan w:val="6"/>
            <w:tcBorders>
              <w:bottom w:val="single" w:sz="4" w:space="0" w:color="auto"/>
            </w:tcBorders>
            <w:shd w:val="clear" w:color="auto" w:fill="auto"/>
            <w:noWrap/>
            <w:vAlign w:val="center"/>
          </w:tcPr>
          <w:p w:rsidR="00A15FB7" w:rsidRPr="00A15FB7" w:rsidRDefault="00A15FB7" w:rsidP="00A15FB7">
            <w:pPr>
              <w:spacing w:line="240" w:lineRule="auto"/>
              <w:jc w:val="right"/>
              <w:rPr>
                <w:rFonts w:eastAsia="Times New Roman" w:cs="Arial"/>
                <w:b/>
                <w:bCs/>
                <w:color w:val="000000"/>
                <w:szCs w:val="24"/>
                <w:lang w:eastAsia="cs-CZ"/>
              </w:rPr>
            </w:pPr>
          </w:p>
        </w:tc>
      </w:tr>
      <w:tr w:rsidR="00A748B6" w:rsidRPr="00A15FB7" w:rsidTr="00426516">
        <w:trPr>
          <w:gridAfter w:val="1"/>
          <w:wAfter w:w="45" w:type="dxa"/>
          <w:trHeight w:val="285"/>
        </w:trPr>
        <w:tc>
          <w:tcPr>
            <w:tcW w:w="568" w:type="dxa"/>
            <w:gridSpan w:val="2"/>
            <w:vMerge w:val="restart"/>
            <w:tcBorders>
              <w:top w:val="nil"/>
              <w:left w:val="single" w:sz="8" w:space="0" w:color="auto"/>
              <w:bottom w:val="single" w:sz="8" w:space="0" w:color="000000"/>
              <w:right w:val="single" w:sz="4" w:space="0" w:color="auto"/>
            </w:tcBorders>
            <w:shd w:val="clear" w:color="000000" w:fill="E4DFEC"/>
            <w:noWrap/>
            <w:textDirection w:val="btLr"/>
            <w:vAlign w:val="center"/>
            <w:hideMark/>
          </w:tcPr>
          <w:p w:rsidR="00A748B6" w:rsidRPr="00A15FB7" w:rsidRDefault="00A748B6" w:rsidP="00A15FB7">
            <w:pPr>
              <w:spacing w:line="240" w:lineRule="auto"/>
              <w:jc w:val="center"/>
              <w:rPr>
                <w:rFonts w:eastAsia="Times New Roman" w:cs="Arial"/>
                <w:b/>
                <w:bCs/>
                <w:color w:val="000000"/>
                <w:szCs w:val="24"/>
                <w:lang w:eastAsia="cs-CZ"/>
              </w:rPr>
            </w:pPr>
            <w:r w:rsidRPr="00A15FB7">
              <w:rPr>
                <w:rFonts w:eastAsia="Times New Roman" w:cs="Arial"/>
                <w:b/>
                <w:bCs/>
                <w:color w:val="000000"/>
                <w:szCs w:val="24"/>
                <w:lang w:eastAsia="cs-CZ"/>
              </w:rPr>
              <w:t>Rekvalifikace</w:t>
            </w:r>
          </w:p>
        </w:tc>
        <w:tc>
          <w:tcPr>
            <w:tcW w:w="2410" w:type="dxa"/>
            <w:gridSpan w:val="6"/>
            <w:tcBorders>
              <w:top w:val="single" w:sz="4" w:space="0" w:color="auto"/>
              <w:left w:val="nil"/>
              <w:bottom w:val="double" w:sz="6" w:space="0" w:color="auto"/>
              <w:right w:val="nil"/>
            </w:tcBorders>
            <w:shd w:val="clear" w:color="auto" w:fill="auto"/>
            <w:noWrap/>
            <w:vAlign w:val="center"/>
            <w:hideMark/>
          </w:tcPr>
          <w:p w:rsidR="00A748B6" w:rsidRPr="00A15FB7" w:rsidRDefault="00A748B6" w:rsidP="00A15FB7">
            <w:pPr>
              <w:spacing w:line="240" w:lineRule="auto"/>
              <w:jc w:val="right"/>
              <w:rPr>
                <w:rFonts w:eastAsia="Times New Roman" w:cs="Arial"/>
                <w:b/>
                <w:bCs/>
                <w:color w:val="000000"/>
                <w:szCs w:val="24"/>
                <w:lang w:eastAsia="cs-CZ"/>
              </w:rPr>
            </w:pPr>
            <w:r w:rsidRPr="00A15FB7">
              <w:rPr>
                <w:rFonts w:eastAsia="Times New Roman" w:cs="Arial"/>
                <w:b/>
                <w:bCs/>
                <w:color w:val="000000"/>
                <w:szCs w:val="24"/>
                <w:lang w:eastAsia="cs-CZ"/>
              </w:rPr>
              <w:t>povaha:</w:t>
            </w:r>
          </w:p>
        </w:tc>
        <w:tc>
          <w:tcPr>
            <w:tcW w:w="928" w:type="dxa"/>
            <w:gridSpan w:val="2"/>
            <w:tcBorders>
              <w:top w:val="nil"/>
              <w:left w:val="nil"/>
              <w:bottom w:val="double" w:sz="6" w:space="0" w:color="auto"/>
              <w:right w:val="double" w:sz="6" w:space="0" w:color="auto"/>
            </w:tcBorders>
            <w:shd w:val="clear" w:color="auto" w:fill="auto"/>
            <w:noWrap/>
            <w:vAlign w:val="center"/>
            <w:hideMark/>
          </w:tcPr>
          <w:p w:rsidR="00A748B6" w:rsidRPr="00A15FB7" w:rsidRDefault="00A748B6" w:rsidP="00A748B6">
            <w:pPr>
              <w:spacing w:line="240" w:lineRule="auto"/>
              <w:jc w:val="left"/>
              <w:rPr>
                <w:rFonts w:eastAsia="Times New Roman" w:cs="Arial"/>
                <w:b/>
                <w:bCs/>
                <w:color w:val="000000"/>
                <w:szCs w:val="24"/>
                <w:lang w:eastAsia="cs-CZ"/>
              </w:rPr>
            </w:pPr>
            <w:r w:rsidRPr="00A15FB7">
              <w:rPr>
                <w:rFonts w:eastAsia="Times New Roman" w:cs="Arial"/>
                <w:b/>
                <w:bCs/>
                <w:color w:val="000000"/>
                <w:szCs w:val="24"/>
                <w:lang w:eastAsia="cs-CZ"/>
              </w:rPr>
              <w:t>N</w:t>
            </w:r>
          </w:p>
        </w:tc>
        <w:tc>
          <w:tcPr>
            <w:tcW w:w="6292" w:type="dxa"/>
            <w:gridSpan w:val="7"/>
            <w:tcBorders>
              <w:top w:val="nil"/>
              <w:left w:val="nil"/>
              <w:bottom w:val="single" w:sz="8" w:space="0" w:color="auto"/>
              <w:right w:val="nil"/>
            </w:tcBorders>
            <w:shd w:val="clear" w:color="auto" w:fill="auto"/>
            <w:noWrap/>
            <w:vAlign w:val="center"/>
            <w:hideMark/>
          </w:tcPr>
          <w:p w:rsidR="00A748B6" w:rsidRPr="00A15FB7" w:rsidRDefault="00A748B6" w:rsidP="00A748B6">
            <w:pPr>
              <w:spacing w:line="240" w:lineRule="auto"/>
              <w:jc w:val="center"/>
              <w:rPr>
                <w:rFonts w:eastAsia="Times New Roman" w:cs="Arial"/>
                <w:b/>
                <w:bCs/>
                <w:color w:val="000000"/>
                <w:szCs w:val="24"/>
                <w:u w:val="single"/>
                <w:lang w:eastAsia="cs-CZ"/>
              </w:rPr>
            </w:pPr>
            <w:r w:rsidRPr="00A15FB7">
              <w:rPr>
                <w:rFonts w:eastAsia="Times New Roman" w:cs="Arial"/>
                <w:b/>
                <w:bCs/>
                <w:color w:val="000000"/>
                <w:szCs w:val="24"/>
                <w:u w:val="single"/>
                <w:lang w:eastAsia="cs-CZ"/>
              </w:rPr>
              <w:t>Popis </w:t>
            </w:r>
          </w:p>
        </w:tc>
        <w:tc>
          <w:tcPr>
            <w:tcW w:w="3978" w:type="dxa"/>
            <w:gridSpan w:val="6"/>
            <w:tcBorders>
              <w:top w:val="nil"/>
              <w:left w:val="nil"/>
              <w:bottom w:val="single" w:sz="8" w:space="0" w:color="auto"/>
              <w:right w:val="single" w:sz="8" w:space="0" w:color="auto"/>
            </w:tcBorders>
            <w:shd w:val="clear" w:color="auto" w:fill="auto"/>
            <w:noWrap/>
            <w:vAlign w:val="center"/>
            <w:hideMark/>
          </w:tcPr>
          <w:p w:rsidR="00A748B6" w:rsidRPr="00A15FB7" w:rsidRDefault="00A748B6" w:rsidP="00A15FB7">
            <w:pPr>
              <w:spacing w:line="240" w:lineRule="auto"/>
              <w:jc w:val="center"/>
              <w:rPr>
                <w:rFonts w:eastAsia="Times New Roman" w:cs="Arial"/>
                <w:b/>
                <w:bCs/>
                <w:color w:val="000000"/>
                <w:szCs w:val="24"/>
                <w:u w:val="single"/>
                <w:lang w:eastAsia="cs-CZ"/>
              </w:rPr>
            </w:pPr>
          </w:p>
        </w:tc>
      </w:tr>
      <w:tr w:rsidR="00A15FB7" w:rsidRPr="00A15FB7" w:rsidTr="001879FC">
        <w:trPr>
          <w:gridAfter w:val="1"/>
          <w:wAfter w:w="45" w:type="dxa"/>
          <w:trHeight w:val="930"/>
        </w:trPr>
        <w:tc>
          <w:tcPr>
            <w:tcW w:w="568" w:type="dxa"/>
            <w:gridSpan w:val="2"/>
            <w:vMerge/>
            <w:tcBorders>
              <w:top w:val="nil"/>
              <w:left w:val="single" w:sz="8" w:space="0" w:color="auto"/>
              <w:bottom w:val="single" w:sz="8" w:space="0" w:color="000000"/>
              <w:right w:val="single" w:sz="4" w:space="0" w:color="auto"/>
            </w:tcBorders>
            <w:vAlign w:val="center"/>
            <w:hideMark/>
          </w:tcPr>
          <w:p w:rsidR="00A15FB7" w:rsidRPr="00A15FB7" w:rsidRDefault="00A15FB7" w:rsidP="00A15FB7">
            <w:pPr>
              <w:spacing w:line="240" w:lineRule="auto"/>
              <w:jc w:val="left"/>
              <w:rPr>
                <w:rFonts w:eastAsia="Times New Roman" w:cs="Arial"/>
                <w:b/>
                <w:bCs/>
                <w:color w:val="000000"/>
                <w:szCs w:val="24"/>
                <w:lang w:eastAsia="cs-CZ"/>
              </w:rPr>
            </w:pPr>
          </w:p>
        </w:tc>
        <w:tc>
          <w:tcPr>
            <w:tcW w:w="13608" w:type="dxa"/>
            <w:gridSpan w:val="21"/>
            <w:tcBorders>
              <w:top w:val="nil"/>
              <w:left w:val="nil"/>
              <w:bottom w:val="double" w:sz="6" w:space="0" w:color="auto"/>
              <w:right w:val="single" w:sz="8" w:space="0" w:color="000000"/>
            </w:tcBorders>
            <w:shd w:val="clear" w:color="auto" w:fill="auto"/>
            <w:vAlign w:val="center"/>
            <w:hideMark/>
          </w:tcPr>
          <w:p w:rsidR="00A15FB7" w:rsidRPr="00A15FB7" w:rsidRDefault="00A15FB7" w:rsidP="00A15FB7">
            <w:pPr>
              <w:spacing w:line="240" w:lineRule="auto"/>
              <w:rPr>
                <w:rFonts w:eastAsia="Times New Roman" w:cs="Arial"/>
                <w:color w:val="000000"/>
                <w:szCs w:val="24"/>
                <w:lang w:eastAsia="cs-CZ"/>
              </w:rPr>
            </w:pPr>
            <w:r w:rsidRPr="00A15FB7">
              <w:rPr>
                <w:rFonts w:eastAsia="Times New Roman" w:cs="Arial"/>
                <w:color w:val="000000"/>
                <w:szCs w:val="24"/>
                <w:lang w:eastAsia="cs-CZ"/>
              </w:rPr>
              <w:t>Pro odstranění disproporcí v profesním rozložení nabídky a poptávky bude prováděn efektivní průzkum požadavků zaměstnavatelů tak, aby rekvalifikační kurzy byly schopny v dostatečném předstihu připravit pracovní sílu. MPSV provede vyhodnocení efektivity nastavení rekvalifikačních kurzů a vypracuje návrhy směřující ke zvýšení flexibility a efektivity tohoto nástroje APZ.</w:t>
            </w:r>
          </w:p>
        </w:tc>
      </w:tr>
      <w:tr w:rsidR="00560364" w:rsidRPr="00A15FB7" w:rsidTr="009B7658">
        <w:trPr>
          <w:gridAfter w:val="1"/>
          <w:wAfter w:w="45" w:type="dxa"/>
          <w:trHeight w:val="285"/>
        </w:trPr>
        <w:tc>
          <w:tcPr>
            <w:tcW w:w="568" w:type="dxa"/>
            <w:gridSpan w:val="2"/>
            <w:vMerge/>
            <w:tcBorders>
              <w:top w:val="nil"/>
              <w:left w:val="single" w:sz="8" w:space="0" w:color="auto"/>
              <w:bottom w:val="single" w:sz="8" w:space="0" w:color="000000"/>
              <w:right w:val="double" w:sz="6" w:space="0" w:color="auto"/>
            </w:tcBorders>
            <w:vAlign w:val="center"/>
            <w:hideMark/>
          </w:tcPr>
          <w:p w:rsidR="00560364" w:rsidRPr="00A15FB7" w:rsidRDefault="00560364" w:rsidP="00A15FB7">
            <w:pPr>
              <w:spacing w:line="240" w:lineRule="auto"/>
              <w:jc w:val="left"/>
              <w:rPr>
                <w:rFonts w:eastAsia="Times New Roman" w:cs="Arial"/>
                <w:b/>
                <w:bCs/>
                <w:color w:val="000000"/>
                <w:szCs w:val="24"/>
                <w:lang w:eastAsia="cs-CZ"/>
              </w:rPr>
            </w:pPr>
          </w:p>
        </w:tc>
        <w:tc>
          <w:tcPr>
            <w:tcW w:w="3338" w:type="dxa"/>
            <w:gridSpan w:val="8"/>
            <w:tcBorders>
              <w:top w:val="double" w:sz="6" w:space="0" w:color="auto"/>
              <w:left w:val="double" w:sz="6" w:space="0" w:color="auto"/>
              <w:bottom w:val="double" w:sz="6" w:space="0" w:color="auto"/>
              <w:right w:val="double" w:sz="6" w:space="0" w:color="auto"/>
            </w:tcBorders>
            <w:shd w:val="clear" w:color="000000" w:fill="F2DCDB"/>
            <w:noWrap/>
            <w:vAlign w:val="center"/>
            <w:hideMark/>
          </w:tcPr>
          <w:p w:rsidR="00560364" w:rsidRPr="00A15FB7" w:rsidRDefault="00560364" w:rsidP="00560364">
            <w:pPr>
              <w:spacing w:line="240" w:lineRule="auto"/>
              <w:jc w:val="center"/>
              <w:rPr>
                <w:rFonts w:eastAsia="Times New Roman" w:cs="Arial"/>
                <w:b/>
                <w:bCs/>
                <w:color w:val="000000"/>
                <w:szCs w:val="24"/>
                <w:lang w:eastAsia="cs-CZ"/>
              </w:rPr>
            </w:pPr>
            <w:r w:rsidRPr="00A15FB7">
              <w:rPr>
                <w:rFonts w:eastAsia="Times New Roman" w:cs="Arial"/>
                <w:b/>
                <w:bCs/>
                <w:color w:val="000000"/>
                <w:szCs w:val="24"/>
                <w:lang w:eastAsia="cs-CZ"/>
              </w:rPr>
              <w:t>Řešeno</w:t>
            </w:r>
          </w:p>
        </w:tc>
        <w:tc>
          <w:tcPr>
            <w:tcW w:w="6301" w:type="dxa"/>
            <w:gridSpan w:val="8"/>
            <w:tcBorders>
              <w:top w:val="double" w:sz="6" w:space="0" w:color="auto"/>
              <w:left w:val="double" w:sz="6" w:space="0" w:color="auto"/>
              <w:right w:val="nil"/>
            </w:tcBorders>
            <w:shd w:val="clear" w:color="auto" w:fill="auto"/>
            <w:vAlign w:val="center"/>
            <w:hideMark/>
          </w:tcPr>
          <w:p w:rsidR="00560364" w:rsidRPr="00A15FB7" w:rsidRDefault="00560364" w:rsidP="00A15FB7">
            <w:pPr>
              <w:spacing w:line="240" w:lineRule="auto"/>
              <w:jc w:val="center"/>
              <w:rPr>
                <w:rFonts w:eastAsia="Times New Roman" w:cs="Arial"/>
                <w:b/>
                <w:bCs/>
                <w:color w:val="000000"/>
                <w:szCs w:val="24"/>
                <w:u w:val="single"/>
                <w:lang w:eastAsia="cs-CZ"/>
              </w:rPr>
            </w:pPr>
            <w:r w:rsidRPr="00A15FB7">
              <w:rPr>
                <w:rFonts w:eastAsia="Times New Roman" w:cs="Arial"/>
                <w:b/>
                <w:bCs/>
                <w:color w:val="000000"/>
                <w:szCs w:val="24"/>
                <w:u w:val="single"/>
                <w:lang w:eastAsia="cs-CZ"/>
              </w:rPr>
              <w:t>Plnění</w:t>
            </w:r>
          </w:p>
        </w:tc>
        <w:tc>
          <w:tcPr>
            <w:tcW w:w="1701" w:type="dxa"/>
            <w:gridSpan w:val="2"/>
            <w:tcBorders>
              <w:top w:val="nil"/>
              <w:left w:val="single" w:sz="8" w:space="0" w:color="auto"/>
              <w:bottom w:val="single" w:sz="8" w:space="0" w:color="auto"/>
              <w:right w:val="nil"/>
            </w:tcBorders>
            <w:shd w:val="clear" w:color="auto" w:fill="auto"/>
            <w:vAlign w:val="center"/>
            <w:hideMark/>
          </w:tcPr>
          <w:p w:rsidR="00560364" w:rsidRPr="00A15FB7" w:rsidRDefault="00560364" w:rsidP="00A15FB7">
            <w:pPr>
              <w:spacing w:line="240" w:lineRule="auto"/>
              <w:jc w:val="right"/>
              <w:rPr>
                <w:rFonts w:eastAsia="Times New Roman" w:cs="Arial"/>
                <w:color w:val="000000"/>
                <w:szCs w:val="24"/>
                <w:lang w:eastAsia="cs-CZ"/>
              </w:rPr>
            </w:pPr>
            <w:r w:rsidRPr="00A15FB7">
              <w:rPr>
                <w:rFonts w:eastAsia="Times New Roman" w:cs="Arial"/>
                <w:color w:val="000000"/>
                <w:szCs w:val="24"/>
                <w:lang w:eastAsia="cs-CZ"/>
              </w:rPr>
              <w:t>k datu</w:t>
            </w:r>
          </w:p>
        </w:tc>
        <w:tc>
          <w:tcPr>
            <w:tcW w:w="2268" w:type="dxa"/>
            <w:gridSpan w:val="3"/>
            <w:tcBorders>
              <w:top w:val="nil"/>
              <w:left w:val="nil"/>
              <w:bottom w:val="single" w:sz="8" w:space="0" w:color="auto"/>
              <w:right w:val="single" w:sz="8" w:space="0" w:color="auto"/>
            </w:tcBorders>
            <w:shd w:val="clear" w:color="auto" w:fill="auto"/>
            <w:vAlign w:val="center"/>
            <w:hideMark/>
          </w:tcPr>
          <w:p w:rsidR="00560364" w:rsidRPr="00A15FB7" w:rsidRDefault="00560364" w:rsidP="00A748B6">
            <w:pPr>
              <w:spacing w:line="240" w:lineRule="auto"/>
              <w:jc w:val="left"/>
              <w:rPr>
                <w:rFonts w:eastAsia="Times New Roman" w:cs="Arial"/>
                <w:b/>
                <w:bCs/>
                <w:color w:val="000000"/>
                <w:szCs w:val="24"/>
                <w:u w:val="single"/>
                <w:lang w:eastAsia="cs-CZ"/>
              </w:rPr>
            </w:pPr>
            <w:r>
              <w:rPr>
                <w:rFonts w:eastAsia="Times New Roman" w:cs="Arial"/>
                <w:b/>
                <w:bCs/>
                <w:color w:val="000000"/>
                <w:szCs w:val="24"/>
                <w:u w:val="single"/>
                <w:lang w:eastAsia="cs-CZ"/>
              </w:rPr>
              <w:t>31. 12. 2016</w:t>
            </w:r>
            <w:r w:rsidRPr="00A15FB7">
              <w:rPr>
                <w:rFonts w:eastAsia="Times New Roman" w:cs="Arial"/>
                <w:b/>
                <w:bCs/>
                <w:color w:val="000000"/>
                <w:szCs w:val="24"/>
                <w:u w:val="single"/>
                <w:lang w:eastAsia="cs-CZ"/>
              </w:rPr>
              <w:t> </w:t>
            </w:r>
          </w:p>
        </w:tc>
      </w:tr>
      <w:tr w:rsidR="00A15FB7" w:rsidRPr="00A15FB7" w:rsidTr="005453C2">
        <w:trPr>
          <w:gridAfter w:val="1"/>
          <w:wAfter w:w="45" w:type="dxa"/>
          <w:trHeight w:val="5835"/>
        </w:trPr>
        <w:tc>
          <w:tcPr>
            <w:tcW w:w="568" w:type="dxa"/>
            <w:gridSpan w:val="2"/>
            <w:vMerge/>
            <w:tcBorders>
              <w:top w:val="nil"/>
              <w:left w:val="single" w:sz="8" w:space="0" w:color="auto"/>
              <w:bottom w:val="single" w:sz="8" w:space="0" w:color="000000"/>
              <w:right w:val="single" w:sz="8" w:space="0" w:color="auto"/>
            </w:tcBorders>
            <w:vAlign w:val="center"/>
            <w:hideMark/>
          </w:tcPr>
          <w:p w:rsidR="00A15FB7" w:rsidRPr="00A15FB7" w:rsidRDefault="00A15FB7" w:rsidP="00A15FB7">
            <w:pPr>
              <w:spacing w:line="240" w:lineRule="auto"/>
              <w:jc w:val="left"/>
              <w:rPr>
                <w:rFonts w:eastAsia="Times New Roman" w:cs="Arial"/>
                <w:b/>
                <w:bCs/>
                <w:color w:val="000000"/>
                <w:szCs w:val="24"/>
                <w:lang w:eastAsia="cs-CZ"/>
              </w:rPr>
            </w:pPr>
          </w:p>
        </w:tc>
        <w:tc>
          <w:tcPr>
            <w:tcW w:w="567" w:type="dxa"/>
            <w:gridSpan w:val="3"/>
            <w:tcBorders>
              <w:top w:val="double" w:sz="6" w:space="0" w:color="auto"/>
              <w:left w:val="single" w:sz="8" w:space="0" w:color="auto"/>
              <w:bottom w:val="single" w:sz="8" w:space="0" w:color="auto"/>
              <w:right w:val="single" w:sz="8" w:space="0" w:color="auto"/>
            </w:tcBorders>
            <w:shd w:val="clear" w:color="auto" w:fill="auto"/>
            <w:textDirection w:val="btLr"/>
            <w:vAlign w:val="center"/>
            <w:hideMark/>
          </w:tcPr>
          <w:p w:rsidR="00A15FB7" w:rsidRPr="00A15FB7" w:rsidRDefault="00A15FB7" w:rsidP="00A15FB7">
            <w:pPr>
              <w:spacing w:line="240" w:lineRule="auto"/>
              <w:jc w:val="center"/>
              <w:rPr>
                <w:rFonts w:eastAsia="Times New Roman" w:cs="Arial"/>
                <w:color w:val="000000"/>
                <w:szCs w:val="24"/>
                <w:lang w:eastAsia="cs-CZ"/>
              </w:rPr>
            </w:pPr>
            <w:r w:rsidRPr="00A15FB7">
              <w:rPr>
                <w:rFonts w:eastAsia="Times New Roman" w:cs="Arial"/>
                <w:color w:val="000000"/>
                <w:szCs w:val="24"/>
                <w:lang w:eastAsia="cs-CZ"/>
              </w:rPr>
              <w:t xml:space="preserve">předchozí </w:t>
            </w:r>
          </w:p>
        </w:tc>
        <w:tc>
          <w:tcPr>
            <w:tcW w:w="13041" w:type="dxa"/>
            <w:gridSpan w:val="18"/>
            <w:tcBorders>
              <w:top w:val="nil"/>
              <w:left w:val="single" w:sz="8" w:space="0" w:color="auto"/>
              <w:bottom w:val="single" w:sz="8" w:space="0" w:color="auto"/>
              <w:right w:val="single" w:sz="8" w:space="0" w:color="auto"/>
            </w:tcBorders>
            <w:shd w:val="clear" w:color="auto" w:fill="auto"/>
            <w:hideMark/>
          </w:tcPr>
          <w:p w:rsidR="00A748B6" w:rsidRDefault="00A15FB7" w:rsidP="00A748B6">
            <w:pPr>
              <w:spacing w:before="120" w:after="120" w:line="240" w:lineRule="auto"/>
              <w:rPr>
                <w:rFonts w:eastAsia="Times New Roman" w:cs="Arial"/>
                <w:color w:val="000000"/>
                <w:szCs w:val="24"/>
                <w:lang w:eastAsia="cs-CZ"/>
              </w:rPr>
            </w:pPr>
            <w:r w:rsidRPr="00A15FB7">
              <w:rPr>
                <w:rFonts w:eastAsia="Times New Roman" w:cs="Arial"/>
                <w:color w:val="000000"/>
                <w:szCs w:val="24"/>
                <w:lang w:eastAsia="cs-CZ"/>
              </w:rPr>
              <w:t xml:space="preserve">Rekvalifikace se svým zaměřením průběžně přizpůsobují požadavkům trhu práce a struktuře </w:t>
            </w:r>
            <w:r w:rsidR="00A748B6">
              <w:rPr>
                <w:rFonts w:eastAsia="Times New Roman" w:cs="Arial"/>
                <w:color w:val="000000"/>
                <w:szCs w:val="24"/>
                <w:lang w:eastAsia="cs-CZ"/>
              </w:rPr>
              <w:t>VPM</w:t>
            </w:r>
            <w:r w:rsidRPr="00A15FB7">
              <w:rPr>
                <w:rFonts w:eastAsia="Times New Roman" w:cs="Arial"/>
                <w:color w:val="000000"/>
                <w:szCs w:val="24"/>
                <w:lang w:eastAsia="cs-CZ"/>
              </w:rPr>
              <w:t xml:space="preserve">. S ohledem na nabídku </w:t>
            </w:r>
            <w:r w:rsidR="00A748B6">
              <w:rPr>
                <w:rFonts w:eastAsia="Times New Roman" w:cs="Arial"/>
                <w:color w:val="000000"/>
                <w:szCs w:val="24"/>
                <w:lang w:eastAsia="cs-CZ"/>
              </w:rPr>
              <w:t>VPM</w:t>
            </w:r>
            <w:r w:rsidRPr="00A15FB7">
              <w:rPr>
                <w:rFonts w:eastAsia="Times New Roman" w:cs="Arial"/>
                <w:color w:val="000000"/>
                <w:szCs w:val="24"/>
                <w:lang w:eastAsia="cs-CZ"/>
              </w:rPr>
              <w:t xml:space="preserve"> v jednotlivých regionech jsou přednostně podporované rekvalifikace s praktickou částí výuky a rekvalifikace směřující ke konkrétnímu pracovnímu uplatnění. Na základě poptávky zaměstnavatelů a zájmu </w:t>
            </w:r>
            <w:proofErr w:type="spellStart"/>
            <w:r w:rsidR="00A748B6">
              <w:rPr>
                <w:rFonts w:eastAsia="Times New Roman" w:cs="Arial"/>
                <w:color w:val="000000"/>
                <w:szCs w:val="24"/>
                <w:lang w:eastAsia="cs-CZ"/>
              </w:rPr>
              <w:t>UoZ</w:t>
            </w:r>
            <w:proofErr w:type="spellEnd"/>
            <w:r w:rsidR="00A748B6">
              <w:rPr>
                <w:rFonts w:eastAsia="Times New Roman" w:cs="Arial"/>
                <w:color w:val="000000"/>
                <w:szCs w:val="24"/>
                <w:lang w:eastAsia="cs-CZ"/>
              </w:rPr>
              <w:t xml:space="preserve"> a zájemců o </w:t>
            </w:r>
            <w:r w:rsidRPr="00A15FB7">
              <w:rPr>
                <w:rFonts w:eastAsia="Times New Roman" w:cs="Arial"/>
                <w:color w:val="000000"/>
                <w:szCs w:val="24"/>
                <w:lang w:eastAsia="cs-CZ"/>
              </w:rPr>
              <w:t>zaměstnání o konkrétní rekvalifikace byly nejčastěji realizovány kurzy:</w:t>
            </w:r>
          </w:p>
          <w:p w:rsidR="00A748B6" w:rsidRDefault="00A15FB7" w:rsidP="00A748B6">
            <w:pPr>
              <w:pStyle w:val="Odstavecseseznamem"/>
              <w:numPr>
                <w:ilvl w:val="0"/>
                <w:numId w:val="16"/>
              </w:numPr>
              <w:spacing w:before="120" w:after="120" w:line="240" w:lineRule="auto"/>
              <w:rPr>
                <w:rFonts w:eastAsia="Times New Roman" w:cs="Arial"/>
                <w:color w:val="000000"/>
                <w:szCs w:val="24"/>
                <w:lang w:eastAsia="cs-CZ"/>
              </w:rPr>
            </w:pPr>
            <w:r w:rsidRPr="00A748B6">
              <w:rPr>
                <w:rFonts w:eastAsia="Times New Roman" w:cs="Arial"/>
                <w:color w:val="000000"/>
                <w:szCs w:val="24"/>
                <w:lang w:eastAsia="cs-CZ"/>
              </w:rPr>
              <w:t>pro získání svářečských, strojnických a jiných odborných průkazů,</w:t>
            </w:r>
          </w:p>
          <w:p w:rsidR="00A748B6" w:rsidRDefault="00A15FB7" w:rsidP="00A748B6">
            <w:pPr>
              <w:pStyle w:val="Odstavecseseznamem"/>
              <w:numPr>
                <w:ilvl w:val="0"/>
                <w:numId w:val="16"/>
              </w:numPr>
              <w:spacing w:before="120" w:after="120" w:line="240" w:lineRule="auto"/>
              <w:rPr>
                <w:rFonts w:eastAsia="Times New Roman" w:cs="Arial"/>
                <w:color w:val="000000"/>
                <w:szCs w:val="24"/>
                <w:lang w:eastAsia="cs-CZ"/>
              </w:rPr>
            </w:pPr>
            <w:r w:rsidRPr="00A748B6">
              <w:rPr>
                <w:rFonts w:eastAsia="Times New Roman" w:cs="Arial"/>
                <w:color w:val="000000"/>
                <w:szCs w:val="24"/>
                <w:lang w:eastAsia="cs-CZ"/>
              </w:rPr>
              <w:t>se zaměřením na získání základních a specializovaných PC dovedností,</w:t>
            </w:r>
          </w:p>
          <w:p w:rsidR="00A748B6" w:rsidRDefault="00A15FB7" w:rsidP="00A748B6">
            <w:pPr>
              <w:pStyle w:val="Odstavecseseznamem"/>
              <w:numPr>
                <w:ilvl w:val="0"/>
                <w:numId w:val="16"/>
              </w:numPr>
              <w:spacing w:before="120" w:after="120" w:line="240" w:lineRule="auto"/>
              <w:rPr>
                <w:rFonts w:eastAsia="Times New Roman" w:cs="Arial"/>
                <w:color w:val="000000"/>
                <w:szCs w:val="24"/>
                <w:lang w:eastAsia="cs-CZ"/>
              </w:rPr>
            </w:pPr>
            <w:r w:rsidRPr="00A748B6">
              <w:rPr>
                <w:rFonts w:eastAsia="Times New Roman" w:cs="Arial"/>
                <w:color w:val="000000"/>
                <w:szCs w:val="24"/>
                <w:lang w:eastAsia="cs-CZ"/>
              </w:rPr>
              <w:t>účetnictví a kurzy pro pracovníky v sociálních službách,</w:t>
            </w:r>
          </w:p>
          <w:p w:rsidR="00A748B6" w:rsidRDefault="00A15FB7" w:rsidP="00A748B6">
            <w:pPr>
              <w:pStyle w:val="Odstavecseseznamem"/>
              <w:numPr>
                <w:ilvl w:val="0"/>
                <w:numId w:val="16"/>
              </w:numPr>
              <w:spacing w:before="120" w:after="120" w:line="240" w:lineRule="auto"/>
              <w:rPr>
                <w:rFonts w:eastAsia="Times New Roman" w:cs="Arial"/>
                <w:color w:val="000000"/>
                <w:szCs w:val="24"/>
                <w:lang w:eastAsia="cs-CZ"/>
              </w:rPr>
            </w:pPr>
            <w:r w:rsidRPr="00A748B6">
              <w:rPr>
                <w:rFonts w:eastAsia="Times New Roman" w:cs="Arial"/>
                <w:color w:val="000000"/>
                <w:szCs w:val="24"/>
                <w:lang w:eastAsia="cs-CZ"/>
              </w:rPr>
              <w:t xml:space="preserve">pro získání řidičských průkazů (od </w:t>
            </w:r>
            <w:proofErr w:type="spellStart"/>
            <w:r w:rsidRPr="00A748B6">
              <w:rPr>
                <w:rFonts w:eastAsia="Times New Roman" w:cs="Arial"/>
                <w:color w:val="000000"/>
                <w:szCs w:val="24"/>
                <w:lang w:eastAsia="cs-CZ"/>
              </w:rPr>
              <w:t>sk</w:t>
            </w:r>
            <w:proofErr w:type="spellEnd"/>
            <w:r w:rsidRPr="00A748B6">
              <w:rPr>
                <w:rFonts w:eastAsia="Times New Roman" w:cs="Arial"/>
                <w:color w:val="000000"/>
                <w:szCs w:val="24"/>
                <w:lang w:eastAsia="cs-CZ"/>
              </w:rPr>
              <w:t xml:space="preserve">. C) včetně </w:t>
            </w:r>
            <w:r w:rsidR="00A748B6">
              <w:rPr>
                <w:rFonts w:eastAsia="Times New Roman" w:cs="Arial"/>
                <w:color w:val="000000"/>
                <w:szCs w:val="24"/>
                <w:lang w:eastAsia="cs-CZ"/>
              </w:rPr>
              <w:t xml:space="preserve">průkazů profesní způsobilosti, </w:t>
            </w:r>
          </w:p>
          <w:p w:rsidR="00A748B6" w:rsidRDefault="00A15FB7" w:rsidP="00A748B6">
            <w:pPr>
              <w:spacing w:before="120" w:after="120" w:line="240" w:lineRule="auto"/>
              <w:rPr>
                <w:rFonts w:eastAsia="Times New Roman" w:cs="Arial"/>
                <w:color w:val="000000"/>
                <w:szCs w:val="24"/>
                <w:lang w:eastAsia="cs-CZ"/>
              </w:rPr>
            </w:pPr>
            <w:r w:rsidRPr="00A748B6">
              <w:rPr>
                <w:rFonts w:eastAsia="Times New Roman" w:cs="Arial"/>
                <w:color w:val="000000"/>
                <w:szCs w:val="24"/>
                <w:lang w:eastAsia="cs-CZ"/>
              </w:rPr>
              <w:t>Od ledna 2016 do srpna 2016 bylo do rekvalifikace zařazeno 14 831osob,. Počet účastníků zvolené rekvalifikace, tj. rekvalifikace, kdy si uchazeč nebo zájemce o zaměstnání sám vybírá rekvalifikační kurz a rekvalifikační zařízení, a žádá ÚP ČR o schválení a úhradu zvolené rekvalifikace, tvořil z celkového počtu účastníků rekvalifikace v uvedeném období 45% (v roce 2015 cca 4</w:t>
            </w:r>
            <w:r w:rsidR="009F1FBB">
              <w:rPr>
                <w:rFonts w:eastAsia="Times New Roman" w:cs="Arial"/>
                <w:color w:val="000000"/>
                <w:szCs w:val="24"/>
                <w:lang w:eastAsia="cs-CZ"/>
              </w:rPr>
              <w:t>6</w:t>
            </w:r>
            <w:r w:rsidRPr="00A748B6">
              <w:rPr>
                <w:rFonts w:eastAsia="Times New Roman" w:cs="Arial"/>
                <w:color w:val="000000"/>
                <w:szCs w:val="24"/>
                <w:lang w:eastAsia="cs-CZ"/>
              </w:rPr>
              <w:t xml:space="preserve">%). Snížení počtu účastníků rekvalifikace je dáno nižším počtem nezaměstnaných v evidenci ÚP ČR a související vhodností zařazení </w:t>
            </w:r>
            <w:proofErr w:type="spellStart"/>
            <w:r w:rsidR="00A748B6">
              <w:rPr>
                <w:rFonts w:eastAsia="Times New Roman" w:cs="Arial"/>
                <w:color w:val="000000"/>
                <w:szCs w:val="24"/>
                <w:lang w:eastAsia="cs-CZ"/>
              </w:rPr>
              <w:t>UoZ</w:t>
            </w:r>
            <w:proofErr w:type="spellEnd"/>
            <w:r w:rsidRPr="00A748B6">
              <w:rPr>
                <w:rFonts w:eastAsia="Times New Roman" w:cs="Arial"/>
                <w:color w:val="000000"/>
                <w:szCs w:val="24"/>
                <w:lang w:eastAsia="cs-CZ"/>
              </w:rPr>
              <w:t xml:space="preserve"> do rekvalifikačního kurzu. Nejpočetnější skupinou v rekvalifikaci jsou dlouhodobě uchazeči/zájemci o zaměstnání ve věku 35 – 39 let, 40 – 44 let a 2</w:t>
            </w:r>
            <w:r w:rsidR="009F1FBB">
              <w:rPr>
                <w:rFonts w:eastAsia="Times New Roman" w:cs="Arial"/>
                <w:color w:val="000000"/>
                <w:szCs w:val="24"/>
                <w:lang w:eastAsia="cs-CZ"/>
              </w:rPr>
              <w:t>5</w:t>
            </w:r>
            <w:r w:rsidRPr="00A748B6">
              <w:rPr>
                <w:rFonts w:eastAsia="Times New Roman" w:cs="Arial"/>
                <w:color w:val="000000"/>
                <w:szCs w:val="24"/>
                <w:lang w:eastAsia="cs-CZ"/>
              </w:rPr>
              <w:t xml:space="preserve"> – 29 let.</w:t>
            </w:r>
            <w:r w:rsidR="00A748B6">
              <w:rPr>
                <w:rFonts w:eastAsia="Times New Roman" w:cs="Arial"/>
                <w:color w:val="000000"/>
                <w:szCs w:val="24"/>
                <w:lang w:eastAsia="cs-CZ"/>
              </w:rPr>
              <w:t xml:space="preserve"> Z hlediska vzdělání se jedná o </w:t>
            </w:r>
            <w:r w:rsidRPr="00A748B6">
              <w:rPr>
                <w:rFonts w:eastAsia="Times New Roman" w:cs="Arial"/>
                <w:color w:val="000000"/>
                <w:szCs w:val="24"/>
                <w:lang w:eastAsia="cs-CZ"/>
              </w:rPr>
              <w:t xml:space="preserve">osoby se SOV (s vyučením), ÚSO s maturitou (bez vyučení) a osoby se </w:t>
            </w:r>
            <w:r w:rsidR="00A748B6">
              <w:rPr>
                <w:rFonts w:eastAsia="Times New Roman" w:cs="Arial"/>
                <w:color w:val="000000"/>
                <w:szCs w:val="24"/>
                <w:lang w:eastAsia="cs-CZ"/>
              </w:rPr>
              <w:t>ZŠ</w:t>
            </w:r>
            <w:r w:rsidRPr="00A748B6">
              <w:rPr>
                <w:rFonts w:eastAsia="Times New Roman" w:cs="Arial"/>
                <w:color w:val="000000"/>
                <w:szCs w:val="24"/>
                <w:lang w:eastAsia="cs-CZ"/>
              </w:rPr>
              <w:t>.</w:t>
            </w:r>
          </w:p>
          <w:p w:rsidR="00A15FB7" w:rsidRPr="00A748B6" w:rsidRDefault="00A15FB7" w:rsidP="00A748B6">
            <w:pPr>
              <w:spacing w:before="120" w:after="120" w:line="240" w:lineRule="auto"/>
              <w:rPr>
                <w:rFonts w:eastAsia="Times New Roman" w:cs="Arial"/>
                <w:color w:val="000000"/>
                <w:szCs w:val="24"/>
                <w:lang w:eastAsia="cs-CZ"/>
              </w:rPr>
            </w:pPr>
            <w:r w:rsidRPr="00A748B6">
              <w:rPr>
                <w:rFonts w:eastAsia="Times New Roman" w:cs="Arial"/>
                <w:color w:val="000000"/>
                <w:szCs w:val="24"/>
                <w:lang w:eastAsia="cs-CZ"/>
              </w:rPr>
              <w:t xml:space="preserve">MPSV </w:t>
            </w:r>
            <w:r w:rsidR="00A748B6">
              <w:rPr>
                <w:rFonts w:eastAsia="Times New Roman" w:cs="Arial"/>
                <w:color w:val="000000"/>
                <w:szCs w:val="24"/>
                <w:lang w:eastAsia="cs-CZ"/>
              </w:rPr>
              <w:t>připravuje</w:t>
            </w:r>
            <w:r w:rsidRPr="00A748B6">
              <w:rPr>
                <w:rFonts w:eastAsia="Times New Roman" w:cs="Arial"/>
                <w:color w:val="000000"/>
                <w:szCs w:val="24"/>
                <w:lang w:eastAsia="cs-CZ"/>
              </w:rPr>
              <w:t xml:space="preserve"> projekt „ Kvasar“, jehož smyslem je, ve</w:t>
            </w:r>
            <w:r w:rsidR="00A748B6">
              <w:rPr>
                <w:rFonts w:eastAsia="Times New Roman" w:cs="Arial"/>
                <w:color w:val="000000"/>
                <w:szCs w:val="24"/>
                <w:lang w:eastAsia="cs-CZ"/>
              </w:rPr>
              <w:t xml:space="preserve"> spolupráci se zaměstnavateli a </w:t>
            </w:r>
            <w:r w:rsidRPr="00A748B6">
              <w:rPr>
                <w:rFonts w:eastAsia="Times New Roman" w:cs="Arial"/>
                <w:color w:val="000000"/>
                <w:szCs w:val="24"/>
                <w:lang w:eastAsia="cs-CZ"/>
              </w:rPr>
              <w:t xml:space="preserve">sdruženími zaměstnavatelů, navrhnout revizi systému rekvalifikací, a to mj. tak, aby lépe reagovaly na potřeby trhu práce a uplatnění </w:t>
            </w:r>
            <w:proofErr w:type="spellStart"/>
            <w:r w:rsidR="00A748B6">
              <w:rPr>
                <w:rFonts w:eastAsia="Times New Roman" w:cs="Arial"/>
                <w:color w:val="000000"/>
                <w:szCs w:val="24"/>
                <w:lang w:eastAsia="cs-CZ"/>
              </w:rPr>
              <w:t>UoZ</w:t>
            </w:r>
            <w:proofErr w:type="spellEnd"/>
            <w:r w:rsidRPr="00A748B6">
              <w:rPr>
                <w:rFonts w:eastAsia="Times New Roman" w:cs="Arial"/>
                <w:color w:val="000000"/>
                <w:szCs w:val="24"/>
                <w:lang w:eastAsia="cs-CZ"/>
              </w:rPr>
              <w:t>, např. dostatečným podílem praxe v průběhu rekvalifikací nebo díky prostřednictvím modularizace rekvalifikací tak, aby byly schopny reflektovat již naučené dovednosti a rekvalifikovaná osoba mohla být vzdělávána pouze v těch částech, které skutečně potřebuje.</w:t>
            </w:r>
          </w:p>
        </w:tc>
      </w:tr>
      <w:tr w:rsidR="00A15FB7" w:rsidRPr="00A15FB7" w:rsidTr="005453C2">
        <w:trPr>
          <w:gridAfter w:val="1"/>
          <w:wAfter w:w="45" w:type="dxa"/>
          <w:trHeight w:val="5787"/>
        </w:trPr>
        <w:tc>
          <w:tcPr>
            <w:tcW w:w="568" w:type="dxa"/>
            <w:gridSpan w:val="2"/>
            <w:vMerge/>
            <w:tcBorders>
              <w:top w:val="nil"/>
              <w:left w:val="single" w:sz="8" w:space="0" w:color="auto"/>
              <w:bottom w:val="single" w:sz="8" w:space="0" w:color="000000"/>
              <w:right w:val="single" w:sz="4" w:space="0" w:color="auto"/>
            </w:tcBorders>
            <w:vAlign w:val="center"/>
            <w:hideMark/>
          </w:tcPr>
          <w:p w:rsidR="00A15FB7" w:rsidRPr="00A15FB7" w:rsidRDefault="00A15FB7" w:rsidP="00A15FB7">
            <w:pPr>
              <w:spacing w:line="240" w:lineRule="auto"/>
              <w:jc w:val="left"/>
              <w:rPr>
                <w:rFonts w:eastAsia="Times New Roman" w:cs="Arial"/>
                <w:b/>
                <w:bCs/>
                <w:color w:val="000000"/>
                <w:szCs w:val="24"/>
                <w:lang w:eastAsia="cs-CZ"/>
              </w:rPr>
            </w:pPr>
          </w:p>
        </w:tc>
        <w:tc>
          <w:tcPr>
            <w:tcW w:w="567" w:type="dxa"/>
            <w:gridSpan w:val="3"/>
            <w:tcBorders>
              <w:top w:val="single" w:sz="8" w:space="0" w:color="auto"/>
              <w:left w:val="single" w:sz="4" w:space="0" w:color="auto"/>
              <w:bottom w:val="single" w:sz="8" w:space="0" w:color="000000"/>
              <w:right w:val="single" w:sz="8" w:space="0" w:color="auto"/>
            </w:tcBorders>
            <w:shd w:val="clear" w:color="auto" w:fill="auto"/>
            <w:textDirection w:val="btLr"/>
            <w:vAlign w:val="center"/>
            <w:hideMark/>
          </w:tcPr>
          <w:p w:rsidR="00A15FB7" w:rsidRPr="00A15FB7" w:rsidRDefault="00A15FB7" w:rsidP="00A15FB7">
            <w:pPr>
              <w:spacing w:line="240" w:lineRule="auto"/>
              <w:jc w:val="center"/>
              <w:rPr>
                <w:rFonts w:eastAsia="Times New Roman" w:cs="Arial"/>
                <w:color w:val="000000"/>
                <w:szCs w:val="24"/>
                <w:lang w:eastAsia="cs-CZ"/>
              </w:rPr>
            </w:pPr>
            <w:r w:rsidRPr="00A15FB7">
              <w:rPr>
                <w:rFonts w:eastAsia="Times New Roman" w:cs="Arial"/>
                <w:color w:val="000000"/>
                <w:szCs w:val="24"/>
                <w:lang w:eastAsia="cs-CZ"/>
              </w:rPr>
              <w:t>sledované období</w:t>
            </w:r>
          </w:p>
        </w:tc>
        <w:tc>
          <w:tcPr>
            <w:tcW w:w="13041" w:type="dxa"/>
            <w:gridSpan w:val="18"/>
            <w:tcBorders>
              <w:top w:val="single" w:sz="8" w:space="0" w:color="auto"/>
              <w:left w:val="single" w:sz="8" w:space="0" w:color="auto"/>
              <w:bottom w:val="single" w:sz="8" w:space="0" w:color="auto"/>
              <w:right w:val="single" w:sz="8" w:space="0" w:color="auto"/>
            </w:tcBorders>
            <w:shd w:val="clear" w:color="auto" w:fill="auto"/>
            <w:hideMark/>
          </w:tcPr>
          <w:p w:rsidR="005453C2" w:rsidRDefault="00A15FB7" w:rsidP="005453C2">
            <w:pPr>
              <w:spacing w:before="120" w:after="120" w:line="240" w:lineRule="auto"/>
              <w:rPr>
                <w:rFonts w:eastAsia="Times New Roman" w:cs="Arial"/>
                <w:color w:val="000000"/>
                <w:szCs w:val="24"/>
                <w:lang w:eastAsia="cs-CZ"/>
              </w:rPr>
            </w:pPr>
            <w:r w:rsidRPr="00A15FB7">
              <w:rPr>
                <w:rFonts w:eastAsia="Times New Roman" w:cs="Arial"/>
                <w:color w:val="000000"/>
                <w:szCs w:val="24"/>
                <w:lang w:eastAsia="cs-CZ"/>
              </w:rPr>
              <w:t>Rekvalifikace se svým zaměřením, obdobně jako v uplynulých letech, přizpůsobovaly požadavkům trhu práce a struktuře VPM. Využívaly se nejen pro získání nové nebo rozšíření stávající kvalifikace, ale také k jejímu zvýšení a prohloubení, včetně udržování a obnovování dosavadních kompetencí.</w:t>
            </w:r>
            <w:r w:rsidR="009F1FBB">
              <w:rPr>
                <w:rFonts w:eastAsia="Times New Roman" w:cs="Arial"/>
                <w:color w:val="000000"/>
                <w:szCs w:val="24"/>
                <w:lang w:eastAsia="cs-CZ"/>
              </w:rPr>
              <w:t xml:space="preserve"> </w:t>
            </w:r>
            <w:r w:rsidR="005453C2">
              <w:rPr>
                <w:rFonts w:eastAsia="Times New Roman" w:cs="Arial"/>
                <w:color w:val="000000"/>
                <w:szCs w:val="24"/>
                <w:lang w:eastAsia="cs-CZ"/>
              </w:rPr>
              <w:t>R</w:t>
            </w:r>
            <w:r w:rsidRPr="00A15FB7">
              <w:rPr>
                <w:rFonts w:eastAsia="Times New Roman" w:cs="Arial"/>
                <w:color w:val="000000"/>
                <w:szCs w:val="24"/>
                <w:lang w:eastAsia="cs-CZ"/>
              </w:rPr>
              <w:t>ekvalifikace patří co do počtu účastníků mezi nevyužívanější nástroj</w:t>
            </w:r>
            <w:r w:rsidR="009F1FBB">
              <w:rPr>
                <w:rFonts w:eastAsia="Times New Roman" w:cs="Arial"/>
                <w:color w:val="000000"/>
                <w:szCs w:val="24"/>
                <w:lang w:eastAsia="cs-CZ"/>
              </w:rPr>
              <w:t>e</w:t>
            </w:r>
            <w:r w:rsidRPr="00A15FB7">
              <w:rPr>
                <w:rFonts w:eastAsia="Times New Roman" w:cs="Arial"/>
                <w:color w:val="000000"/>
                <w:szCs w:val="24"/>
                <w:lang w:eastAsia="cs-CZ"/>
              </w:rPr>
              <w:t xml:space="preserve"> APZ. V roce 2016 se rekvalifikace zúčastnilo celkem 22 548 osob, v roce 2015 38 078 osob, v roce 2014 to bylo 46 454 osob.  Meziroční pokles nezaměstnanosti, se odráží i na nižších počtech absolvovaných rekvalifikací.  Vzhledem k počtu evidovaných </w:t>
            </w:r>
            <w:proofErr w:type="spellStart"/>
            <w:r w:rsidRPr="00A15FB7">
              <w:rPr>
                <w:rFonts w:eastAsia="Times New Roman" w:cs="Arial"/>
                <w:color w:val="000000"/>
                <w:szCs w:val="24"/>
                <w:lang w:eastAsia="cs-CZ"/>
              </w:rPr>
              <w:t>UoZ</w:t>
            </w:r>
            <w:proofErr w:type="spellEnd"/>
            <w:r w:rsidRPr="00A15FB7">
              <w:rPr>
                <w:rFonts w:eastAsia="Times New Roman" w:cs="Arial"/>
                <w:color w:val="000000"/>
                <w:szCs w:val="24"/>
                <w:lang w:eastAsia="cs-CZ"/>
              </w:rPr>
              <w:t xml:space="preserve"> na ÚP ČR se ale jedná o srovnatelné počty účastníků, kteří se v uvedených obdobích rekvalifikace zúčastnili.</w:t>
            </w:r>
          </w:p>
          <w:p w:rsidR="005453C2" w:rsidRDefault="00A15FB7" w:rsidP="005453C2">
            <w:pPr>
              <w:spacing w:before="120" w:after="120" w:line="240" w:lineRule="auto"/>
              <w:rPr>
                <w:rFonts w:eastAsia="Times New Roman" w:cs="Arial"/>
                <w:color w:val="000000"/>
                <w:szCs w:val="24"/>
                <w:lang w:eastAsia="cs-CZ"/>
              </w:rPr>
            </w:pPr>
            <w:r w:rsidRPr="00A15FB7">
              <w:rPr>
                <w:rFonts w:eastAsia="Times New Roman" w:cs="Arial"/>
                <w:color w:val="000000"/>
                <w:szCs w:val="24"/>
                <w:lang w:eastAsia="cs-CZ"/>
              </w:rPr>
              <w:t>Rekvalifikace zabezpečované ÚP ČR se v roce 2016 zúčastnilo 12 847 osob a 9 701 osob se zúčastnilo rekvalifikace „zvolené“, tj. rekvalifikace, kdy si klient sám vybírá rekvalifikační kurz a rekvalifikační zařízení a žádá ÚP ČR o schválení a úhradu zvolené rekvalifikace.</w:t>
            </w:r>
            <w:r w:rsidR="005453C2">
              <w:rPr>
                <w:rFonts w:eastAsia="Times New Roman" w:cs="Arial"/>
                <w:color w:val="000000"/>
                <w:szCs w:val="24"/>
                <w:lang w:eastAsia="cs-CZ"/>
              </w:rPr>
              <w:t xml:space="preserve"> Podíl zvolené rekvalifikace </w:t>
            </w:r>
            <w:r w:rsidR="005453C2" w:rsidRPr="00A15FB7">
              <w:rPr>
                <w:rFonts w:eastAsia="Times New Roman" w:cs="Arial"/>
                <w:color w:val="000000"/>
                <w:szCs w:val="24"/>
                <w:lang w:eastAsia="cs-CZ"/>
              </w:rPr>
              <w:t xml:space="preserve">tvořil z celkového počtu účastníků rekvalifikace v uvedeném období 43 % (v roce 2015 tvořil podíl zvolené rekvalifikace 46 %). </w:t>
            </w:r>
            <w:r w:rsidRPr="00A15FB7">
              <w:rPr>
                <w:rFonts w:eastAsia="Times New Roman" w:cs="Arial"/>
                <w:color w:val="000000"/>
                <w:szCs w:val="24"/>
                <w:lang w:eastAsia="cs-CZ"/>
              </w:rPr>
              <w:t>Z celkového počtu klientů, kteří byli v uvedeném období na rekvalifikaci zařazeni, jich více jak 80 % rekvalifikační kurz úspěšně ukončilo. Mezi nejčastěji realizované zabezpečované rekvalifikace patřily kurzy zaměřené na základní počítačové dovednosti, kurzy pro získání řidičských a</w:t>
            </w:r>
            <w:r w:rsidR="009F1FBB">
              <w:rPr>
                <w:rFonts w:eastAsia="Times New Roman" w:cs="Arial"/>
                <w:color w:val="000000"/>
                <w:szCs w:val="24"/>
                <w:lang w:eastAsia="cs-CZ"/>
              </w:rPr>
              <w:t> </w:t>
            </w:r>
            <w:r w:rsidRPr="00A15FB7">
              <w:rPr>
                <w:rFonts w:eastAsia="Times New Roman" w:cs="Arial"/>
                <w:color w:val="000000"/>
                <w:szCs w:val="24"/>
                <w:lang w:eastAsia="cs-CZ"/>
              </w:rPr>
              <w:t>profesních průkazů, svářečské kurzy, kurzy účetnictví. U zvolených rekvalifikací byly rovněž nejčastěji realizovány kurzy pro získání řidičských a profesních průkazů. Následovaly kurzy pro pracovníky v sociálních službách, kurzy svářečské, kurzy pro pracovníky v osobních službách, kurzy účetnictví.</w:t>
            </w:r>
            <w:r w:rsidR="005453C2">
              <w:rPr>
                <w:rFonts w:eastAsia="Times New Roman" w:cs="Arial"/>
                <w:color w:val="000000"/>
                <w:szCs w:val="24"/>
                <w:lang w:eastAsia="cs-CZ"/>
              </w:rPr>
              <w:t xml:space="preserve"> </w:t>
            </w:r>
          </w:p>
          <w:p w:rsidR="00A15FB7" w:rsidRDefault="00A15FB7" w:rsidP="005453C2">
            <w:pPr>
              <w:spacing w:before="120" w:after="120" w:line="240" w:lineRule="auto"/>
              <w:rPr>
                <w:rFonts w:eastAsia="Times New Roman" w:cs="Arial"/>
                <w:color w:val="000000"/>
                <w:szCs w:val="24"/>
                <w:lang w:eastAsia="cs-CZ"/>
              </w:rPr>
            </w:pPr>
            <w:r w:rsidRPr="00A15FB7">
              <w:rPr>
                <w:rFonts w:eastAsia="Times New Roman" w:cs="Arial"/>
                <w:color w:val="000000"/>
                <w:szCs w:val="24"/>
                <w:lang w:eastAsia="cs-CZ"/>
              </w:rPr>
              <w:t>Z hlediska kvalifikace byli mezi účastníky kurzů nejvíce zastoupeni uchazeči o zaměstnání s výučním listem, úplným středním vzděláním s maturitou a základním vzděláním.</w:t>
            </w:r>
            <w:r w:rsidR="005453C2">
              <w:rPr>
                <w:rFonts w:eastAsia="Times New Roman" w:cs="Arial"/>
                <w:color w:val="000000"/>
                <w:szCs w:val="24"/>
                <w:lang w:eastAsia="cs-CZ"/>
              </w:rPr>
              <w:t xml:space="preserve"> </w:t>
            </w:r>
            <w:r w:rsidRPr="00A15FB7">
              <w:rPr>
                <w:rFonts w:eastAsia="Times New Roman" w:cs="Arial"/>
                <w:color w:val="000000"/>
                <w:szCs w:val="24"/>
                <w:lang w:eastAsia="cs-CZ"/>
              </w:rPr>
              <w:t>Vzhledem k požadavkům zaměstnavatelů byly přednostně podporovány rekvalifikace s praktickou částí výuky a rekvalifikace směřující ke konkrétnímu pracovnímu uplatnění. Podstatná je skutečnost, že každá rekvalifikace musí být účelná, tj. že po jejím absolvování existuje reálná šance na pracovní uplatnění.</w:t>
            </w:r>
          </w:p>
          <w:p w:rsidR="005453C2" w:rsidRPr="007B3CC0" w:rsidRDefault="005453C2" w:rsidP="007B3CC0">
            <w:pPr>
              <w:spacing w:before="120" w:after="120" w:line="240" w:lineRule="auto"/>
              <w:rPr>
                <w:rFonts w:eastAsia="Times New Roman" w:cs="Arial"/>
                <w:color w:val="000000"/>
                <w:szCs w:val="24"/>
                <w:lang w:eastAsia="cs-CZ"/>
              </w:rPr>
            </w:pPr>
            <w:r w:rsidRPr="00A15FB7">
              <w:rPr>
                <w:rFonts w:eastAsia="Times New Roman" w:cs="Arial"/>
                <w:color w:val="000000"/>
                <w:szCs w:val="24"/>
                <w:lang w:eastAsia="cs-CZ"/>
              </w:rPr>
              <w:t>Z úrovně MPSV je zároveň připravován projekt „Kvasar“, jehož smyslem je, ve spolupráci se zaměstnavateli a sdruženími zaměstnavatelů, navrhnout revizi systému rekvalifikací, a to mj. tak, aby lépe reagovaly na potřeby trhu práce a uplatnění uchazečů o zaměstnání, např. dostatečným podílem praxe v průběhu rekvalifikací nebo díky prostřednictvím modularizace rekvalifikací tak, aby byly schopny reflektovat již naučené dovednosti a rekvalifikovaná osoba mohla být vzdělávána pouze v těch částech, které skutečně potřebuje. Návrh projektového záměru byl zpracován a odeslán Resortní radě, aby ho mohla projednat na svém lednovém jednání.</w:t>
            </w:r>
            <w:r w:rsidR="000C3CA7">
              <w:rPr>
                <w:rFonts w:eastAsia="Times New Roman" w:cs="Arial"/>
                <w:color w:val="000000"/>
                <w:szCs w:val="24"/>
                <w:lang w:eastAsia="cs-CZ"/>
              </w:rPr>
              <w:t xml:space="preserve"> Projekt je úzce provázaný</w:t>
            </w:r>
            <w:r w:rsidR="007B3CC0">
              <w:rPr>
                <w:rFonts w:eastAsia="Times New Roman" w:cs="Arial"/>
                <w:color w:val="000000"/>
                <w:szCs w:val="24"/>
                <w:lang w:eastAsia="cs-CZ"/>
              </w:rPr>
              <w:t xml:space="preserve"> s projektem</w:t>
            </w:r>
            <w:r w:rsidR="000C3CA7">
              <w:rPr>
                <w:rFonts w:eastAsia="Times New Roman" w:cs="Arial"/>
                <w:color w:val="000000"/>
                <w:szCs w:val="24"/>
                <w:lang w:eastAsia="cs-CZ"/>
              </w:rPr>
              <w:t xml:space="preserve">, </w:t>
            </w:r>
            <w:r w:rsidR="007B3CC0">
              <w:rPr>
                <w:rFonts w:eastAsia="Times New Roman" w:cs="Arial"/>
                <w:color w:val="000000"/>
                <w:szCs w:val="24"/>
                <w:lang w:eastAsia="cs-CZ"/>
              </w:rPr>
              <w:t xml:space="preserve">připravovaným MŠMT </w:t>
            </w:r>
            <w:r w:rsidR="007B3CC0">
              <w:rPr>
                <w:rFonts w:eastAsia="Times New Roman" w:cs="Arial"/>
                <w:i/>
                <w:color w:val="000000"/>
                <w:szCs w:val="24"/>
                <w:lang w:eastAsia="cs-CZ"/>
              </w:rPr>
              <w:t>Kvalita dalšího vzdělávání</w:t>
            </w:r>
            <w:r w:rsidR="007B3CC0">
              <w:rPr>
                <w:rFonts w:eastAsia="Times New Roman" w:cs="Arial"/>
                <w:color w:val="000000"/>
                <w:szCs w:val="24"/>
                <w:lang w:eastAsia="cs-CZ"/>
              </w:rPr>
              <w:t>, přičemž není zcela zřejmé, zda realizace tohoto projektu bude zahájena v průběhu roku 2017.</w:t>
            </w:r>
          </w:p>
        </w:tc>
      </w:tr>
    </w:tbl>
    <w:p w:rsidR="00426516" w:rsidRDefault="00426516">
      <w:pPr>
        <w:spacing w:after="200"/>
        <w:jc w:val="left"/>
      </w:pPr>
      <w:r>
        <w:br w:type="page"/>
      </w:r>
    </w:p>
    <w:tbl>
      <w:tblPr>
        <w:tblW w:w="14176" w:type="dxa"/>
        <w:tblInd w:w="-214" w:type="dxa"/>
        <w:tblLayout w:type="fixed"/>
        <w:tblCellMar>
          <w:left w:w="70" w:type="dxa"/>
          <w:right w:w="70" w:type="dxa"/>
        </w:tblCellMar>
        <w:tblLook w:val="04A0" w:firstRow="1" w:lastRow="0" w:firstColumn="1" w:lastColumn="0" w:noHBand="0" w:noVBand="1"/>
      </w:tblPr>
      <w:tblGrid>
        <w:gridCol w:w="568"/>
        <w:gridCol w:w="567"/>
        <w:gridCol w:w="1843"/>
        <w:gridCol w:w="928"/>
        <w:gridCol w:w="1446"/>
        <w:gridCol w:w="2659"/>
        <w:gridCol w:w="208"/>
        <w:gridCol w:w="1979"/>
        <w:gridCol w:w="9"/>
        <w:gridCol w:w="1701"/>
        <w:gridCol w:w="2268"/>
      </w:tblGrid>
      <w:tr w:rsidR="00A15FB7" w:rsidRPr="00A15FB7" w:rsidTr="00426516">
        <w:trPr>
          <w:trHeight w:val="285"/>
        </w:trPr>
        <w:tc>
          <w:tcPr>
            <w:tcW w:w="568" w:type="dxa"/>
            <w:tcBorders>
              <w:top w:val="single" w:sz="8" w:space="0" w:color="auto"/>
              <w:left w:val="single" w:sz="8" w:space="0" w:color="auto"/>
              <w:bottom w:val="single" w:sz="4" w:space="0" w:color="auto"/>
              <w:right w:val="nil"/>
            </w:tcBorders>
            <w:shd w:val="clear" w:color="000000" w:fill="E4DFEC"/>
            <w:noWrap/>
            <w:vAlign w:val="center"/>
            <w:hideMark/>
          </w:tcPr>
          <w:p w:rsidR="00A15FB7" w:rsidRPr="00A15FB7" w:rsidRDefault="00A15FB7" w:rsidP="00A15FB7">
            <w:pPr>
              <w:spacing w:line="240" w:lineRule="auto"/>
              <w:jc w:val="center"/>
              <w:rPr>
                <w:rFonts w:eastAsia="Times New Roman" w:cs="Arial"/>
                <w:b/>
                <w:bCs/>
                <w:color w:val="000000"/>
                <w:szCs w:val="24"/>
                <w:lang w:eastAsia="cs-CZ"/>
              </w:rPr>
            </w:pPr>
            <w:r w:rsidRPr="00A15FB7">
              <w:rPr>
                <w:rFonts w:eastAsia="Times New Roman" w:cs="Arial"/>
                <w:b/>
                <w:bCs/>
                <w:color w:val="000000"/>
                <w:szCs w:val="24"/>
                <w:lang w:eastAsia="cs-CZ"/>
              </w:rPr>
              <w:t>4.3</w:t>
            </w:r>
          </w:p>
        </w:tc>
        <w:tc>
          <w:tcPr>
            <w:tcW w:w="567" w:type="dxa"/>
            <w:tcBorders>
              <w:top w:val="single" w:sz="8" w:space="0" w:color="auto"/>
              <w:left w:val="single" w:sz="8" w:space="0" w:color="auto"/>
              <w:bottom w:val="single" w:sz="4" w:space="0" w:color="auto"/>
              <w:right w:val="nil"/>
            </w:tcBorders>
            <w:shd w:val="clear" w:color="auto" w:fill="auto"/>
            <w:noWrap/>
            <w:vAlign w:val="center"/>
            <w:hideMark/>
          </w:tcPr>
          <w:p w:rsidR="00A15FB7" w:rsidRPr="00A15FB7" w:rsidRDefault="00A15FB7" w:rsidP="00A15FB7">
            <w:pPr>
              <w:spacing w:line="240" w:lineRule="auto"/>
              <w:jc w:val="right"/>
              <w:rPr>
                <w:rFonts w:eastAsia="Times New Roman" w:cs="Arial"/>
                <w:b/>
                <w:bCs/>
                <w:color w:val="000000"/>
                <w:szCs w:val="24"/>
                <w:lang w:eastAsia="cs-CZ"/>
              </w:rPr>
            </w:pPr>
            <w:r w:rsidRPr="00A15FB7">
              <w:rPr>
                <w:rFonts w:eastAsia="Times New Roman" w:cs="Arial"/>
                <w:b/>
                <w:bCs/>
                <w:color w:val="000000"/>
                <w:szCs w:val="24"/>
                <w:lang w:eastAsia="cs-CZ"/>
              </w:rPr>
              <w:t>T:</w:t>
            </w:r>
          </w:p>
        </w:tc>
        <w:tc>
          <w:tcPr>
            <w:tcW w:w="1843" w:type="dxa"/>
            <w:tcBorders>
              <w:top w:val="single" w:sz="8" w:space="0" w:color="auto"/>
              <w:left w:val="nil"/>
              <w:bottom w:val="single" w:sz="4" w:space="0" w:color="auto"/>
              <w:right w:val="nil"/>
            </w:tcBorders>
            <w:shd w:val="clear" w:color="auto" w:fill="auto"/>
            <w:noWrap/>
            <w:vAlign w:val="center"/>
            <w:hideMark/>
          </w:tcPr>
          <w:p w:rsidR="00A15FB7" w:rsidRPr="00A15FB7" w:rsidRDefault="00A15FB7" w:rsidP="00A15FB7">
            <w:pPr>
              <w:spacing w:line="240" w:lineRule="auto"/>
              <w:jc w:val="center"/>
              <w:rPr>
                <w:rFonts w:eastAsia="Times New Roman" w:cs="Arial"/>
                <w:b/>
                <w:bCs/>
                <w:color w:val="000000"/>
                <w:szCs w:val="24"/>
                <w:lang w:eastAsia="cs-CZ"/>
              </w:rPr>
            </w:pPr>
            <w:r w:rsidRPr="00A15FB7">
              <w:rPr>
                <w:rFonts w:eastAsia="Times New Roman" w:cs="Arial"/>
                <w:b/>
                <w:bCs/>
                <w:color w:val="000000"/>
                <w:szCs w:val="24"/>
                <w:lang w:eastAsia="cs-CZ"/>
              </w:rPr>
              <w:t>2016</w:t>
            </w:r>
          </w:p>
        </w:tc>
        <w:tc>
          <w:tcPr>
            <w:tcW w:w="928" w:type="dxa"/>
            <w:tcBorders>
              <w:top w:val="single" w:sz="12" w:space="0" w:color="auto"/>
              <w:left w:val="single" w:sz="12" w:space="0" w:color="auto"/>
              <w:bottom w:val="single" w:sz="12" w:space="0" w:color="auto"/>
              <w:right w:val="nil"/>
            </w:tcBorders>
            <w:shd w:val="clear" w:color="auto" w:fill="auto"/>
            <w:noWrap/>
            <w:vAlign w:val="center"/>
            <w:hideMark/>
          </w:tcPr>
          <w:p w:rsidR="00A15FB7" w:rsidRPr="00A15FB7" w:rsidRDefault="00A15FB7" w:rsidP="00A15FB7">
            <w:pPr>
              <w:spacing w:line="240" w:lineRule="auto"/>
              <w:jc w:val="right"/>
              <w:rPr>
                <w:rFonts w:eastAsia="Times New Roman" w:cs="Arial"/>
                <w:b/>
                <w:bCs/>
                <w:color w:val="000000"/>
                <w:szCs w:val="24"/>
                <w:lang w:eastAsia="cs-CZ"/>
              </w:rPr>
            </w:pPr>
            <w:r w:rsidRPr="00A15FB7">
              <w:rPr>
                <w:rFonts w:eastAsia="Times New Roman" w:cs="Arial"/>
                <w:b/>
                <w:bCs/>
                <w:color w:val="000000"/>
                <w:szCs w:val="24"/>
                <w:lang w:eastAsia="cs-CZ"/>
              </w:rPr>
              <w:t>gesce:</w:t>
            </w:r>
          </w:p>
        </w:tc>
        <w:tc>
          <w:tcPr>
            <w:tcW w:w="1446" w:type="dxa"/>
            <w:tcBorders>
              <w:top w:val="single" w:sz="12" w:space="0" w:color="auto"/>
              <w:left w:val="nil"/>
              <w:bottom w:val="single" w:sz="8" w:space="0" w:color="auto"/>
              <w:right w:val="single" w:sz="4" w:space="0" w:color="auto"/>
            </w:tcBorders>
            <w:shd w:val="clear" w:color="auto" w:fill="auto"/>
            <w:noWrap/>
            <w:vAlign w:val="center"/>
            <w:hideMark/>
          </w:tcPr>
          <w:p w:rsidR="00A15FB7" w:rsidRPr="00A15FB7" w:rsidRDefault="00A15FB7" w:rsidP="00A15FB7">
            <w:pPr>
              <w:spacing w:line="240" w:lineRule="auto"/>
              <w:jc w:val="left"/>
              <w:rPr>
                <w:rFonts w:eastAsia="Times New Roman" w:cs="Arial"/>
                <w:b/>
                <w:bCs/>
                <w:color w:val="000000"/>
                <w:szCs w:val="24"/>
                <w:lang w:eastAsia="cs-CZ"/>
              </w:rPr>
            </w:pPr>
            <w:r w:rsidRPr="00A15FB7">
              <w:rPr>
                <w:rFonts w:eastAsia="Times New Roman" w:cs="Arial"/>
                <w:b/>
                <w:bCs/>
                <w:color w:val="000000"/>
                <w:szCs w:val="24"/>
                <w:lang w:eastAsia="cs-CZ"/>
              </w:rPr>
              <w:t>MPSV</w:t>
            </w:r>
          </w:p>
        </w:tc>
        <w:tc>
          <w:tcPr>
            <w:tcW w:w="2659" w:type="dxa"/>
            <w:tcBorders>
              <w:left w:val="single" w:sz="4" w:space="0" w:color="auto"/>
              <w:bottom w:val="single" w:sz="8" w:space="0" w:color="auto"/>
            </w:tcBorders>
            <w:shd w:val="clear" w:color="auto" w:fill="auto"/>
            <w:noWrap/>
            <w:vAlign w:val="center"/>
          </w:tcPr>
          <w:p w:rsidR="00A15FB7" w:rsidRPr="00A15FB7" w:rsidRDefault="00A15FB7" w:rsidP="00A15FB7">
            <w:pPr>
              <w:spacing w:line="240" w:lineRule="auto"/>
              <w:jc w:val="right"/>
              <w:rPr>
                <w:rFonts w:eastAsia="Times New Roman" w:cs="Arial"/>
                <w:color w:val="000000"/>
                <w:szCs w:val="24"/>
                <w:lang w:eastAsia="cs-CZ"/>
              </w:rPr>
            </w:pPr>
          </w:p>
        </w:tc>
        <w:tc>
          <w:tcPr>
            <w:tcW w:w="208" w:type="dxa"/>
            <w:tcBorders>
              <w:bottom w:val="single" w:sz="8" w:space="0" w:color="auto"/>
            </w:tcBorders>
            <w:shd w:val="clear" w:color="auto" w:fill="auto"/>
            <w:noWrap/>
            <w:vAlign w:val="center"/>
          </w:tcPr>
          <w:p w:rsidR="00A15FB7" w:rsidRPr="00A15FB7" w:rsidRDefault="00A15FB7" w:rsidP="00A15FB7">
            <w:pPr>
              <w:spacing w:line="240" w:lineRule="auto"/>
              <w:jc w:val="right"/>
              <w:rPr>
                <w:rFonts w:eastAsia="Times New Roman" w:cs="Arial"/>
                <w:color w:val="000000"/>
                <w:szCs w:val="24"/>
                <w:lang w:eastAsia="cs-CZ"/>
              </w:rPr>
            </w:pPr>
          </w:p>
        </w:tc>
        <w:tc>
          <w:tcPr>
            <w:tcW w:w="1979" w:type="dxa"/>
            <w:tcBorders>
              <w:bottom w:val="single" w:sz="8" w:space="0" w:color="auto"/>
            </w:tcBorders>
            <w:shd w:val="clear" w:color="auto" w:fill="auto"/>
            <w:noWrap/>
            <w:vAlign w:val="center"/>
          </w:tcPr>
          <w:p w:rsidR="00A15FB7" w:rsidRPr="00A15FB7" w:rsidRDefault="00A15FB7" w:rsidP="00A15FB7">
            <w:pPr>
              <w:spacing w:line="240" w:lineRule="auto"/>
              <w:jc w:val="right"/>
              <w:rPr>
                <w:rFonts w:eastAsia="Times New Roman" w:cs="Arial"/>
                <w:color w:val="000000"/>
                <w:szCs w:val="24"/>
                <w:lang w:eastAsia="cs-CZ"/>
              </w:rPr>
            </w:pPr>
          </w:p>
        </w:tc>
        <w:tc>
          <w:tcPr>
            <w:tcW w:w="3978" w:type="dxa"/>
            <w:gridSpan w:val="3"/>
            <w:tcBorders>
              <w:bottom w:val="single" w:sz="8" w:space="0" w:color="auto"/>
            </w:tcBorders>
            <w:shd w:val="clear" w:color="auto" w:fill="auto"/>
            <w:noWrap/>
            <w:vAlign w:val="center"/>
          </w:tcPr>
          <w:p w:rsidR="00A15FB7" w:rsidRPr="00A15FB7" w:rsidRDefault="00A15FB7" w:rsidP="00A15FB7">
            <w:pPr>
              <w:spacing w:line="240" w:lineRule="auto"/>
              <w:jc w:val="right"/>
              <w:rPr>
                <w:rFonts w:eastAsia="Times New Roman" w:cs="Arial"/>
                <w:b/>
                <w:bCs/>
                <w:color w:val="000000"/>
                <w:szCs w:val="24"/>
                <w:lang w:eastAsia="cs-CZ"/>
              </w:rPr>
            </w:pPr>
          </w:p>
        </w:tc>
      </w:tr>
      <w:tr w:rsidR="00D152C4" w:rsidRPr="00A15FB7" w:rsidTr="00BE4141">
        <w:trPr>
          <w:trHeight w:val="285"/>
        </w:trPr>
        <w:tc>
          <w:tcPr>
            <w:tcW w:w="568" w:type="dxa"/>
            <w:vMerge w:val="restart"/>
            <w:tcBorders>
              <w:top w:val="nil"/>
              <w:left w:val="single" w:sz="8" w:space="0" w:color="auto"/>
              <w:bottom w:val="single" w:sz="8" w:space="0" w:color="000000"/>
              <w:right w:val="single" w:sz="8" w:space="0" w:color="auto"/>
            </w:tcBorders>
            <w:shd w:val="clear" w:color="000000" w:fill="E4DFEC"/>
            <w:noWrap/>
            <w:textDirection w:val="btLr"/>
            <w:vAlign w:val="center"/>
            <w:hideMark/>
          </w:tcPr>
          <w:p w:rsidR="00D152C4" w:rsidRPr="00A15FB7" w:rsidRDefault="00D152C4" w:rsidP="00A15FB7">
            <w:pPr>
              <w:spacing w:line="240" w:lineRule="auto"/>
              <w:jc w:val="center"/>
              <w:rPr>
                <w:rFonts w:eastAsia="Times New Roman" w:cs="Arial"/>
                <w:b/>
                <w:bCs/>
                <w:color w:val="000000"/>
                <w:szCs w:val="24"/>
                <w:lang w:eastAsia="cs-CZ"/>
              </w:rPr>
            </w:pPr>
            <w:r w:rsidRPr="00A15FB7">
              <w:rPr>
                <w:rFonts w:eastAsia="Times New Roman" w:cs="Arial"/>
                <w:b/>
                <w:bCs/>
                <w:color w:val="000000"/>
                <w:szCs w:val="24"/>
                <w:lang w:eastAsia="cs-CZ"/>
              </w:rPr>
              <w:t>Predikce trhu práce</w:t>
            </w:r>
          </w:p>
        </w:tc>
        <w:tc>
          <w:tcPr>
            <w:tcW w:w="2410" w:type="dxa"/>
            <w:gridSpan w:val="2"/>
            <w:tcBorders>
              <w:top w:val="single" w:sz="4" w:space="0" w:color="auto"/>
              <w:left w:val="nil"/>
              <w:bottom w:val="double" w:sz="6" w:space="0" w:color="auto"/>
              <w:right w:val="nil"/>
            </w:tcBorders>
            <w:shd w:val="clear" w:color="auto" w:fill="auto"/>
            <w:noWrap/>
            <w:vAlign w:val="center"/>
            <w:hideMark/>
          </w:tcPr>
          <w:p w:rsidR="00D152C4" w:rsidRPr="00A15FB7" w:rsidRDefault="00D152C4" w:rsidP="00A15FB7">
            <w:pPr>
              <w:spacing w:line="240" w:lineRule="auto"/>
              <w:jc w:val="right"/>
              <w:rPr>
                <w:rFonts w:eastAsia="Times New Roman" w:cs="Arial"/>
                <w:b/>
                <w:bCs/>
                <w:color w:val="000000"/>
                <w:szCs w:val="24"/>
                <w:lang w:eastAsia="cs-CZ"/>
              </w:rPr>
            </w:pPr>
            <w:r w:rsidRPr="00A15FB7">
              <w:rPr>
                <w:rFonts w:eastAsia="Times New Roman" w:cs="Arial"/>
                <w:b/>
                <w:bCs/>
                <w:color w:val="000000"/>
                <w:szCs w:val="24"/>
                <w:lang w:eastAsia="cs-CZ"/>
              </w:rPr>
              <w:t>povaha:</w:t>
            </w:r>
          </w:p>
        </w:tc>
        <w:tc>
          <w:tcPr>
            <w:tcW w:w="928" w:type="dxa"/>
            <w:tcBorders>
              <w:top w:val="nil"/>
              <w:left w:val="nil"/>
              <w:bottom w:val="double" w:sz="6" w:space="0" w:color="auto"/>
              <w:right w:val="double" w:sz="6" w:space="0" w:color="auto"/>
            </w:tcBorders>
            <w:shd w:val="clear" w:color="auto" w:fill="auto"/>
            <w:noWrap/>
            <w:vAlign w:val="center"/>
            <w:hideMark/>
          </w:tcPr>
          <w:p w:rsidR="00D152C4" w:rsidRPr="00A15FB7" w:rsidRDefault="00D152C4" w:rsidP="00426516">
            <w:pPr>
              <w:spacing w:line="240" w:lineRule="auto"/>
              <w:jc w:val="left"/>
              <w:rPr>
                <w:rFonts w:eastAsia="Times New Roman" w:cs="Arial"/>
                <w:b/>
                <w:bCs/>
                <w:color w:val="000000"/>
                <w:szCs w:val="24"/>
                <w:lang w:eastAsia="cs-CZ"/>
              </w:rPr>
            </w:pPr>
            <w:r w:rsidRPr="00A15FB7">
              <w:rPr>
                <w:rFonts w:eastAsia="Times New Roman" w:cs="Arial"/>
                <w:b/>
                <w:bCs/>
                <w:color w:val="000000"/>
                <w:szCs w:val="24"/>
                <w:lang w:eastAsia="cs-CZ"/>
              </w:rPr>
              <w:t>N</w:t>
            </w:r>
          </w:p>
        </w:tc>
        <w:tc>
          <w:tcPr>
            <w:tcW w:w="6292" w:type="dxa"/>
            <w:gridSpan w:val="4"/>
            <w:tcBorders>
              <w:top w:val="single" w:sz="8" w:space="0" w:color="auto"/>
              <w:left w:val="nil"/>
              <w:right w:val="nil"/>
            </w:tcBorders>
            <w:shd w:val="clear" w:color="auto" w:fill="auto"/>
            <w:noWrap/>
            <w:vAlign w:val="center"/>
            <w:hideMark/>
          </w:tcPr>
          <w:p w:rsidR="00D152C4" w:rsidRPr="00A15FB7" w:rsidRDefault="00D152C4" w:rsidP="00A15FB7">
            <w:pPr>
              <w:spacing w:line="240" w:lineRule="auto"/>
              <w:jc w:val="center"/>
              <w:rPr>
                <w:rFonts w:eastAsia="Times New Roman" w:cs="Arial"/>
                <w:b/>
                <w:bCs/>
                <w:color w:val="000000"/>
                <w:szCs w:val="24"/>
                <w:u w:val="single"/>
                <w:lang w:eastAsia="cs-CZ"/>
              </w:rPr>
            </w:pPr>
            <w:r w:rsidRPr="00A15FB7">
              <w:rPr>
                <w:rFonts w:eastAsia="Times New Roman" w:cs="Arial"/>
                <w:b/>
                <w:bCs/>
                <w:color w:val="000000"/>
                <w:szCs w:val="24"/>
                <w:u w:val="single"/>
                <w:lang w:eastAsia="cs-CZ"/>
              </w:rPr>
              <w:t>Popis</w:t>
            </w:r>
          </w:p>
        </w:tc>
        <w:tc>
          <w:tcPr>
            <w:tcW w:w="3978" w:type="dxa"/>
            <w:gridSpan w:val="3"/>
            <w:tcBorders>
              <w:top w:val="single" w:sz="8" w:space="0" w:color="auto"/>
              <w:left w:val="nil"/>
              <w:right w:val="single" w:sz="8" w:space="0" w:color="auto"/>
            </w:tcBorders>
            <w:shd w:val="clear" w:color="auto" w:fill="auto"/>
            <w:noWrap/>
            <w:vAlign w:val="center"/>
          </w:tcPr>
          <w:p w:rsidR="00D152C4" w:rsidRPr="00A15FB7" w:rsidRDefault="00D152C4" w:rsidP="00A15FB7">
            <w:pPr>
              <w:spacing w:line="240" w:lineRule="auto"/>
              <w:jc w:val="center"/>
              <w:rPr>
                <w:rFonts w:eastAsia="Times New Roman" w:cs="Arial"/>
                <w:b/>
                <w:bCs/>
                <w:color w:val="000000"/>
                <w:szCs w:val="24"/>
                <w:u w:val="single"/>
                <w:lang w:eastAsia="cs-CZ"/>
              </w:rPr>
            </w:pPr>
          </w:p>
        </w:tc>
      </w:tr>
      <w:tr w:rsidR="00A15FB7" w:rsidRPr="00A15FB7" w:rsidTr="00426516">
        <w:trPr>
          <w:trHeight w:val="795"/>
        </w:trPr>
        <w:tc>
          <w:tcPr>
            <w:tcW w:w="568" w:type="dxa"/>
            <w:vMerge/>
            <w:tcBorders>
              <w:top w:val="nil"/>
              <w:left w:val="single" w:sz="8" w:space="0" w:color="auto"/>
              <w:bottom w:val="single" w:sz="8" w:space="0" w:color="000000"/>
              <w:right w:val="single" w:sz="8" w:space="0" w:color="auto"/>
            </w:tcBorders>
            <w:vAlign w:val="center"/>
            <w:hideMark/>
          </w:tcPr>
          <w:p w:rsidR="00A15FB7" w:rsidRPr="00A15FB7" w:rsidRDefault="00A15FB7" w:rsidP="00A15FB7">
            <w:pPr>
              <w:spacing w:line="240" w:lineRule="auto"/>
              <w:jc w:val="left"/>
              <w:rPr>
                <w:rFonts w:eastAsia="Times New Roman" w:cs="Arial"/>
                <w:b/>
                <w:bCs/>
                <w:color w:val="000000"/>
                <w:szCs w:val="24"/>
                <w:lang w:eastAsia="cs-CZ"/>
              </w:rPr>
            </w:pPr>
          </w:p>
        </w:tc>
        <w:tc>
          <w:tcPr>
            <w:tcW w:w="13608" w:type="dxa"/>
            <w:gridSpan w:val="10"/>
            <w:tcBorders>
              <w:top w:val="nil"/>
              <w:left w:val="nil"/>
              <w:bottom w:val="double" w:sz="6" w:space="0" w:color="auto"/>
              <w:right w:val="single" w:sz="8" w:space="0" w:color="000000"/>
            </w:tcBorders>
            <w:shd w:val="clear" w:color="auto" w:fill="auto"/>
            <w:hideMark/>
          </w:tcPr>
          <w:p w:rsidR="00A15FB7" w:rsidRPr="00A15FB7" w:rsidRDefault="00A15FB7" w:rsidP="00D152C4">
            <w:pPr>
              <w:spacing w:before="120" w:after="120" w:line="240" w:lineRule="auto"/>
              <w:rPr>
                <w:rFonts w:eastAsia="Times New Roman" w:cs="Arial"/>
                <w:color w:val="000000"/>
                <w:szCs w:val="24"/>
                <w:lang w:eastAsia="cs-CZ"/>
              </w:rPr>
            </w:pPr>
            <w:r w:rsidRPr="00A15FB7">
              <w:rPr>
                <w:rFonts w:eastAsia="Times New Roman" w:cs="Arial"/>
                <w:color w:val="000000"/>
                <w:szCs w:val="24"/>
                <w:lang w:eastAsia="cs-CZ"/>
              </w:rPr>
              <w:t>MPSV vytvoří systém predikcí vývoje trhu práce, tak aby bylo možné v dostatečném předstihu</w:t>
            </w:r>
            <w:r w:rsidR="00426516">
              <w:rPr>
                <w:rFonts w:eastAsia="Times New Roman" w:cs="Arial"/>
                <w:color w:val="000000"/>
                <w:szCs w:val="24"/>
                <w:lang w:eastAsia="cs-CZ"/>
              </w:rPr>
              <w:t xml:space="preserve"> reagovat na vývoj trhu práce a </w:t>
            </w:r>
            <w:r w:rsidRPr="00A15FB7">
              <w:rPr>
                <w:rFonts w:eastAsia="Times New Roman" w:cs="Arial"/>
                <w:color w:val="000000"/>
                <w:szCs w:val="24"/>
                <w:lang w:eastAsia="cs-CZ"/>
              </w:rPr>
              <w:t>zabezpečit tak dostatek pracovní síly ve vhodné kvalifikační struktuře a její připravenost ke vstupu na trh práce. Využito bude již realizovaných kroků (projekt PŘEKVAP)</w:t>
            </w:r>
          </w:p>
        </w:tc>
      </w:tr>
      <w:tr w:rsidR="00A15FB7" w:rsidRPr="00A15FB7" w:rsidTr="00426516">
        <w:trPr>
          <w:trHeight w:val="285"/>
        </w:trPr>
        <w:tc>
          <w:tcPr>
            <w:tcW w:w="568" w:type="dxa"/>
            <w:vMerge/>
            <w:tcBorders>
              <w:top w:val="nil"/>
              <w:left w:val="single" w:sz="8" w:space="0" w:color="auto"/>
              <w:bottom w:val="single" w:sz="8" w:space="0" w:color="000000"/>
              <w:right w:val="double" w:sz="6" w:space="0" w:color="auto"/>
            </w:tcBorders>
            <w:vAlign w:val="center"/>
            <w:hideMark/>
          </w:tcPr>
          <w:p w:rsidR="00A15FB7" w:rsidRPr="00A15FB7" w:rsidRDefault="00A15FB7" w:rsidP="00A15FB7">
            <w:pPr>
              <w:spacing w:line="240" w:lineRule="auto"/>
              <w:jc w:val="left"/>
              <w:rPr>
                <w:rFonts w:eastAsia="Times New Roman" w:cs="Arial"/>
                <w:b/>
                <w:bCs/>
                <w:color w:val="000000"/>
                <w:szCs w:val="24"/>
                <w:lang w:eastAsia="cs-CZ"/>
              </w:rPr>
            </w:pPr>
          </w:p>
        </w:tc>
        <w:tc>
          <w:tcPr>
            <w:tcW w:w="567" w:type="dxa"/>
            <w:tcBorders>
              <w:top w:val="double" w:sz="6" w:space="0" w:color="auto"/>
              <w:left w:val="double" w:sz="6" w:space="0" w:color="auto"/>
              <w:bottom w:val="double" w:sz="6" w:space="0" w:color="auto"/>
              <w:right w:val="nil"/>
            </w:tcBorders>
            <w:shd w:val="clear" w:color="000000" w:fill="D8E4BC"/>
            <w:noWrap/>
            <w:vAlign w:val="center"/>
            <w:hideMark/>
          </w:tcPr>
          <w:p w:rsidR="00A15FB7" w:rsidRPr="00A15FB7" w:rsidRDefault="00A15FB7" w:rsidP="00A15FB7">
            <w:pPr>
              <w:spacing w:line="240" w:lineRule="auto"/>
              <w:jc w:val="center"/>
              <w:rPr>
                <w:rFonts w:eastAsia="Times New Roman" w:cs="Arial"/>
                <w:color w:val="000000"/>
                <w:szCs w:val="24"/>
                <w:lang w:eastAsia="cs-CZ"/>
              </w:rPr>
            </w:pPr>
          </w:p>
        </w:tc>
        <w:tc>
          <w:tcPr>
            <w:tcW w:w="2771" w:type="dxa"/>
            <w:gridSpan w:val="2"/>
            <w:tcBorders>
              <w:top w:val="double" w:sz="6" w:space="0" w:color="auto"/>
              <w:left w:val="nil"/>
              <w:bottom w:val="double" w:sz="6" w:space="0" w:color="auto"/>
              <w:right w:val="double" w:sz="6" w:space="0" w:color="auto"/>
            </w:tcBorders>
            <w:shd w:val="clear" w:color="000000" w:fill="D8E4BC"/>
            <w:vAlign w:val="center"/>
            <w:hideMark/>
          </w:tcPr>
          <w:p w:rsidR="00A15FB7" w:rsidRPr="00A15FB7" w:rsidRDefault="00A15FB7" w:rsidP="00A15FB7">
            <w:pPr>
              <w:spacing w:line="240" w:lineRule="auto"/>
              <w:jc w:val="left"/>
              <w:rPr>
                <w:rFonts w:eastAsia="Times New Roman" w:cs="Arial"/>
                <w:b/>
                <w:bCs/>
                <w:color w:val="000000"/>
                <w:szCs w:val="24"/>
                <w:lang w:eastAsia="cs-CZ"/>
              </w:rPr>
            </w:pPr>
            <w:r w:rsidRPr="00A15FB7">
              <w:rPr>
                <w:rFonts w:eastAsia="Times New Roman" w:cs="Arial"/>
                <w:b/>
                <w:bCs/>
                <w:color w:val="000000"/>
                <w:szCs w:val="24"/>
                <w:lang w:eastAsia="cs-CZ"/>
              </w:rPr>
              <w:t>Průběžně plněno</w:t>
            </w:r>
          </w:p>
        </w:tc>
        <w:tc>
          <w:tcPr>
            <w:tcW w:w="6301" w:type="dxa"/>
            <w:gridSpan w:val="5"/>
            <w:tcBorders>
              <w:top w:val="double" w:sz="6" w:space="0" w:color="auto"/>
              <w:left w:val="double" w:sz="6" w:space="0" w:color="auto"/>
              <w:bottom w:val="nil"/>
              <w:right w:val="nil"/>
            </w:tcBorders>
            <w:shd w:val="clear" w:color="auto" w:fill="auto"/>
            <w:vAlign w:val="center"/>
            <w:hideMark/>
          </w:tcPr>
          <w:p w:rsidR="00A15FB7" w:rsidRPr="00A15FB7" w:rsidRDefault="00A15FB7" w:rsidP="00A15FB7">
            <w:pPr>
              <w:spacing w:line="240" w:lineRule="auto"/>
              <w:jc w:val="center"/>
              <w:rPr>
                <w:rFonts w:eastAsia="Times New Roman" w:cs="Arial"/>
                <w:b/>
                <w:bCs/>
                <w:color w:val="000000"/>
                <w:szCs w:val="24"/>
                <w:u w:val="single"/>
                <w:lang w:eastAsia="cs-CZ"/>
              </w:rPr>
            </w:pPr>
            <w:r w:rsidRPr="00A15FB7">
              <w:rPr>
                <w:rFonts w:eastAsia="Times New Roman" w:cs="Arial"/>
                <w:b/>
                <w:bCs/>
                <w:color w:val="000000"/>
                <w:szCs w:val="24"/>
                <w:u w:val="single"/>
                <w:lang w:eastAsia="cs-CZ"/>
              </w:rPr>
              <w:t>Plnění</w:t>
            </w:r>
          </w:p>
        </w:tc>
        <w:tc>
          <w:tcPr>
            <w:tcW w:w="1701" w:type="dxa"/>
            <w:tcBorders>
              <w:top w:val="nil"/>
              <w:left w:val="single" w:sz="8" w:space="0" w:color="auto"/>
              <w:bottom w:val="single" w:sz="8" w:space="0" w:color="auto"/>
              <w:right w:val="nil"/>
            </w:tcBorders>
            <w:shd w:val="clear" w:color="auto" w:fill="auto"/>
            <w:vAlign w:val="center"/>
            <w:hideMark/>
          </w:tcPr>
          <w:p w:rsidR="00A15FB7" w:rsidRPr="00A15FB7" w:rsidRDefault="00A15FB7" w:rsidP="00A15FB7">
            <w:pPr>
              <w:spacing w:line="240" w:lineRule="auto"/>
              <w:jc w:val="right"/>
              <w:rPr>
                <w:rFonts w:eastAsia="Times New Roman" w:cs="Arial"/>
                <w:color w:val="000000"/>
                <w:szCs w:val="24"/>
                <w:lang w:eastAsia="cs-CZ"/>
              </w:rPr>
            </w:pPr>
            <w:r w:rsidRPr="00A15FB7">
              <w:rPr>
                <w:rFonts w:eastAsia="Times New Roman" w:cs="Arial"/>
                <w:color w:val="000000"/>
                <w:szCs w:val="24"/>
                <w:lang w:eastAsia="cs-CZ"/>
              </w:rPr>
              <w:t>k datu</w:t>
            </w:r>
          </w:p>
        </w:tc>
        <w:tc>
          <w:tcPr>
            <w:tcW w:w="2268" w:type="dxa"/>
            <w:tcBorders>
              <w:top w:val="nil"/>
              <w:left w:val="nil"/>
              <w:bottom w:val="single" w:sz="8" w:space="0" w:color="auto"/>
              <w:right w:val="single" w:sz="8" w:space="0" w:color="auto"/>
            </w:tcBorders>
            <w:shd w:val="clear" w:color="auto" w:fill="auto"/>
            <w:vAlign w:val="center"/>
            <w:hideMark/>
          </w:tcPr>
          <w:p w:rsidR="00A15FB7" w:rsidRPr="00A15FB7" w:rsidRDefault="00A15FB7" w:rsidP="00A15FB7">
            <w:pPr>
              <w:spacing w:line="240" w:lineRule="auto"/>
              <w:jc w:val="center"/>
              <w:rPr>
                <w:rFonts w:eastAsia="Times New Roman" w:cs="Arial"/>
                <w:b/>
                <w:bCs/>
                <w:color w:val="000000"/>
                <w:szCs w:val="24"/>
                <w:u w:val="single"/>
                <w:lang w:eastAsia="cs-CZ"/>
              </w:rPr>
            </w:pPr>
            <w:r w:rsidRPr="00A15FB7">
              <w:rPr>
                <w:rFonts w:eastAsia="Times New Roman" w:cs="Arial"/>
                <w:b/>
                <w:bCs/>
                <w:color w:val="000000"/>
                <w:szCs w:val="24"/>
                <w:u w:val="single"/>
                <w:lang w:eastAsia="cs-CZ"/>
              </w:rPr>
              <w:t>31.</w:t>
            </w:r>
            <w:r w:rsidR="00426516">
              <w:rPr>
                <w:rFonts w:eastAsia="Times New Roman" w:cs="Arial"/>
                <w:b/>
                <w:bCs/>
                <w:color w:val="000000"/>
                <w:szCs w:val="24"/>
                <w:u w:val="single"/>
                <w:lang w:eastAsia="cs-CZ"/>
              </w:rPr>
              <w:t xml:space="preserve"> </w:t>
            </w:r>
            <w:r w:rsidRPr="00A15FB7">
              <w:rPr>
                <w:rFonts w:eastAsia="Times New Roman" w:cs="Arial"/>
                <w:b/>
                <w:bCs/>
                <w:color w:val="000000"/>
                <w:szCs w:val="24"/>
                <w:u w:val="single"/>
                <w:lang w:eastAsia="cs-CZ"/>
              </w:rPr>
              <w:t>12.</w:t>
            </w:r>
            <w:r w:rsidR="00426516">
              <w:rPr>
                <w:rFonts w:eastAsia="Times New Roman" w:cs="Arial"/>
                <w:b/>
                <w:bCs/>
                <w:color w:val="000000"/>
                <w:szCs w:val="24"/>
                <w:u w:val="single"/>
                <w:lang w:eastAsia="cs-CZ"/>
              </w:rPr>
              <w:t xml:space="preserve"> </w:t>
            </w:r>
            <w:r w:rsidRPr="00A15FB7">
              <w:rPr>
                <w:rFonts w:eastAsia="Times New Roman" w:cs="Arial"/>
                <w:b/>
                <w:bCs/>
                <w:color w:val="000000"/>
                <w:szCs w:val="24"/>
                <w:u w:val="single"/>
                <w:lang w:eastAsia="cs-CZ"/>
              </w:rPr>
              <w:t>2016</w:t>
            </w:r>
          </w:p>
        </w:tc>
      </w:tr>
      <w:tr w:rsidR="00A15FB7" w:rsidRPr="00A15FB7" w:rsidTr="00426516">
        <w:trPr>
          <w:trHeight w:val="2550"/>
        </w:trPr>
        <w:tc>
          <w:tcPr>
            <w:tcW w:w="568" w:type="dxa"/>
            <w:vMerge/>
            <w:tcBorders>
              <w:top w:val="nil"/>
              <w:left w:val="single" w:sz="8" w:space="0" w:color="auto"/>
              <w:bottom w:val="single" w:sz="8" w:space="0" w:color="000000"/>
              <w:right w:val="single" w:sz="8" w:space="0" w:color="auto"/>
            </w:tcBorders>
            <w:vAlign w:val="center"/>
            <w:hideMark/>
          </w:tcPr>
          <w:p w:rsidR="00A15FB7" w:rsidRPr="00A15FB7" w:rsidRDefault="00A15FB7" w:rsidP="00A15FB7">
            <w:pPr>
              <w:spacing w:line="240" w:lineRule="auto"/>
              <w:jc w:val="left"/>
              <w:rPr>
                <w:rFonts w:eastAsia="Times New Roman" w:cs="Arial"/>
                <w:b/>
                <w:bCs/>
                <w:color w:val="000000"/>
                <w:szCs w:val="24"/>
                <w:lang w:eastAsia="cs-CZ"/>
              </w:rPr>
            </w:pPr>
          </w:p>
        </w:tc>
        <w:tc>
          <w:tcPr>
            <w:tcW w:w="567" w:type="dxa"/>
            <w:tcBorders>
              <w:top w:val="nil"/>
              <w:left w:val="nil"/>
              <w:bottom w:val="nil"/>
              <w:right w:val="single" w:sz="4" w:space="0" w:color="auto"/>
            </w:tcBorders>
            <w:shd w:val="clear" w:color="auto" w:fill="auto"/>
            <w:textDirection w:val="btLr"/>
            <w:vAlign w:val="center"/>
            <w:hideMark/>
          </w:tcPr>
          <w:p w:rsidR="00A15FB7" w:rsidRPr="00A15FB7" w:rsidRDefault="00A15FB7" w:rsidP="00A15FB7">
            <w:pPr>
              <w:spacing w:line="240" w:lineRule="auto"/>
              <w:jc w:val="center"/>
              <w:rPr>
                <w:rFonts w:eastAsia="Times New Roman" w:cs="Arial"/>
                <w:color w:val="000000"/>
                <w:szCs w:val="24"/>
                <w:lang w:eastAsia="cs-CZ"/>
              </w:rPr>
            </w:pPr>
            <w:r w:rsidRPr="00A15FB7">
              <w:rPr>
                <w:rFonts w:eastAsia="Times New Roman" w:cs="Arial"/>
                <w:color w:val="000000"/>
                <w:szCs w:val="24"/>
                <w:lang w:eastAsia="cs-CZ"/>
              </w:rPr>
              <w:t xml:space="preserve">předchozí </w:t>
            </w:r>
          </w:p>
        </w:tc>
        <w:tc>
          <w:tcPr>
            <w:tcW w:w="13041" w:type="dxa"/>
            <w:gridSpan w:val="9"/>
            <w:tcBorders>
              <w:top w:val="nil"/>
              <w:left w:val="nil"/>
              <w:bottom w:val="nil"/>
              <w:right w:val="single" w:sz="8" w:space="0" w:color="000000"/>
            </w:tcBorders>
            <w:shd w:val="clear" w:color="auto" w:fill="auto"/>
            <w:hideMark/>
          </w:tcPr>
          <w:p w:rsidR="00A15FB7" w:rsidRPr="00A15FB7" w:rsidRDefault="00A15FB7" w:rsidP="00D152C4">
            <w:pPr>
              <w:spacing w:before="120" w:after="120" w:line="240" w:lineRule="auto"/>
              <w:rPr>
                <w:rFonts w:eastAsia="Times New Roman" w:cs="Arial"/>
                <w:color w:val="000000"/>
                <w:szCs w:val="24"/>
                <w:lang w:eastAsia="cs-CZ"/>
              </w:rPr>
            </w:pPr>
            <w:r w:rsidRPr="00A15FB7">
              <w:rPr>
                <w:rFonts w:eastAsia="Times New Roman" w:cs="Arial"/>
                <w:color w:val="000000"/>
                <w:szCs w:val="24"/>
                <w:lang w:eastAsia="cs-CZ"/>
              </w:rPr>
              <w:t xml:space="preserve">MPSV připravilo projekt </w:t>
            </w:r>
            <w:r w:rsidRPr="00426516">
              <w:rPr>
                <w:rFonts w:eastAsia="Times New Roman" w:cs="Arial"/>
                <w:i/>
                <w:color w:val="000000"/>
                <w:szCs w:val="24"/>
                <w:lang w:eastAsia="cs-CZ"/>
              </w:rPr>
              <w:t>Predikce trhu práce</w:t>
            </w:r>
            <w:r w:rsidRPr="00A15FB7">
              <w:rPr>
                <w:rFonts w:eastAsia="Times New Roman" w:cs="Arial"/>
                <w:color w:val="000000"/>
                <w:szCs w:val="24"/>
                <w:lang w:eastAsia="cs-CZ"/>
              </w:rPr>
              <w:t xml:space="preserve"> (KOMPAS) jehož cílem je vytvoření systému komplexních predikcí vývoje trhu práce a jeho potřeb, včetně potřeb kvalifikačních. Projekt navazuje na projekt Předvídání kvalifikačních potřeb (Překvap). Předmětem projektu je vytvoření udržitelného systému spolehlivých predikcí a monitoringu trhu práce, který bude propojovat národní a regionální úroveň a jehož výsledky budou reflektovat podstatné dopady technologických trendů na trh práce a specifika regionálního vývoje. V rámci projektu bude zdokonalen predikční model předvídání potřeb trhu práce, a to jak pro národní úroveň, tak pro úroveň regionů. Vytvořeno bude v rámci MPSV predikční pracoviště. Do projektu budou významně zapojeni rovněž partneři, zejména na regionální úrovni – kraje či teritoriální pakty zaměstnanosti.</w:t>
            </w:r>
            <w:r w:rsidR="00426516">
              <w:rPr>
                <w:rFonts w:eastAsia="Times New Roman" w:cs="Arial"/>
                <w:color w:val="000000"/>
                <w:szCs w:val="24"/>
                <w:lang w:eastAsia="cs-CZ"/>
              </w:rPr>
              <w:t xml:space="preserve"> </w:t>
            </w:r>
            <w:r w:rsidRPr="00A15FB7">
              <w:rPr>
                <w:rFonts w:eastAsia="Times New Roman" w:cs="Arial"/>
                <w:color w:val="000000"/>
                <w:szCs w:val="24"/>
                <w:lang w:eastAsia="cs-CZ"/>
              </w:rPr>
              <w:t>Projektový záměr byl schválen monitorovacím výborem i příslušným programovým partnerstvím OP Z. Realizace projektu bude zahájena v závěru roku 2016/počátkem 2017</w:t>
            </w:r>
          </w:p>
        </w:tc>
      </w:tr>
      <w:tr w:rsidR="00A15FB7" w:rsidRPr="00A15FB7" w:rsidTr="00426516">
        <w:trPr>
          <w:trHeight w:val="1620"/>
        </w:trPr>
        <w:tc>
          <w:tcPr>
            <w:tcW w:w="568" w:type="dxa"/>
            <w:vMerge/>
            <w:tcBorders>
              <w:top w:val="nil"/>
              <w:left w:val="single" w:sz="8" w:space="0" w:color="auto"/>
              <w:bottom w:val="single" w:sz="8" w:space="0" w:color="000000"/>
              <w:right w:val="single" w:sz="8" w:space="0" w:color="auto"/>
            </w:tcBorders>
            <w:vAlign w:val="center"/>
            <w:hideMark/>
          </w:tcPr>
          <w:p w:rsidR="00A15FB7" w:rsidRPr="00A15FB7" w:rsidRDefault="00A15FB7" w:rsidP="00A15FB7">
            <w:pPr>
              <w:spacing w:line="240" w:lineRule="auto"/>
              <w:jc w:val="left"/>
              <w:rPr>
                <w:rFonts w:eastAsia="Times New Roman" w:cs="Arial"/>
                <w:b/>
                <w:bCs/>
                <w:color w:val="000000"/>
                <w:szCs w:val="24"/>
                <w:lang w:eastAsia="cs-CZ"/>
              </w:rPr>
            </w:pPr>
          </w:p>
        </w:tc>
        <w:tc>
          <w:tcPr>
            <w:tcW w:w="567" w:type="dxa"/>
            <w:tcBorders>
              <w:top w:val="single" w:sz="4" w:space="0" w:color="auto"/>
              <w:left w:val="nil"/>
              <w:bottom w:val="single" w:sz="8" w:space="0" w:color="auto"/>
              <w:right w:val="single" w:sz="4" w:space="0" w:color="auto"/>
            </w:tcBorders>
            <w:shd w:val="clear" w:color="auto" w:fill="auto"/>
            <w:textDirection w:val="btLr"/>
            <w:vAlign w:val="center"/>
            <w:hideMark/>
          </w:tcPr>
          <w:p w:rsidR="00A15FB7" w:rsidRPr="00A15FB7" w:rsidRDefault="00A15FB7" w:rsidP="00A15FB7">
            <w:pPr>
              <w:spacing w:line="240" w:lineRule="auto"/>
              <w:jc w:val="center"/>
              <w:rPr>
                <w:rFonts w:eastAsia="Times New Roman" w:cs="Arial"/>
                <w:color w:val="000000"/>
                <w:szCs w:val="24"/>
                <w:lang w:eastAsia="cs-CZ"/>
              </w:rPr>
            </w:pPr>
            <w:r w:rsidRPr="00A15FB7">
              <w:rPr>
                <w:rFonts w:eastAsia="Times New Roman" w:cs="Arial"/>
                <w:color w:val="000000"/>
                <w:szCs w:val="24"/>
                <w:lang w:eastAsia="cs-CZ"/>
              </w:rPr>
              <w:t>sledované období</w:t>
            </w:r>
          </w:p>
        </w:tc>
        <w:tc>
          <w:tcPr>
            <w:tcW w:w="13041" w:type="dxa"/>
            <w:gridSpan w:val="9"/>
            <w:tcBorders>
              <w:top w:val="single" w:sz="4" w:space="0" w:color="auto"/>
              <w:left w:val="nil"/>
              <w:bottom w:val="single" w:sz="8" w:space="0" w:color="auto"/>
              <w:right w:val="single" w:sz="8" w:space="0" w:color="000000"/>
            </w:tcBorders>
            <w:shd w:val="clear" w:color="auto" w:fill="auto"/>
            <w:vAlign w:val="center"/>
            <w:hideMark/>
          </w:tcPr>
          <w:p w:rsidR="00A15FB7" w:rsidRPr="00A15FB7" w:rsidRDefault="00A15FB7" w:rsidP="00A15FB7">
            <w:pPr>
              <w:spacing w:line="240" w:lineRule="auto"/>
              <w:rPr>
                <w:rFonts w:eastAsia="Times New Roman" w:cs="Arial"/>
                <w:color w:val="000000"/>
                <w:szCs w:val="24"/>
                <w:lang w:eastAsia="cs-CZ"/>
              </w:rPr>
            </w:pPr>
            <w:r w:rsidRPr="00A15FB7">
              <w:rPr>
                <w:rFonts w:eastAsia="Times New Roman" w:cs="Arial"/>
                <w:color w:val="000000"/>
                <w:szCs w:val="24"/>
                <w:lang w:eastAsia="cs-CZ"/>
              </w:rPr>
              <w:t>1. 1. 2017 byla zahájena realizace projektu</w:t>
            </w:r>
          </w:p>
        </w:tc>
      </w:tr>
    </w:tbl>
    <w:p w:rsidR="00426516" w:rsidRDefault="00426516"/>
    <w:p w:rsidR="00426516" w:rsidRDefault="00426516"/>
    <w:p w:rsidR="00426516" w:rsidRDefault="00426516">
      <w:pPr>
        <w:spacing w:after="200"/>
        <w:jc w:val="left"/>
      </w:pPr>
      <w:r>
        <w:br w:type="page"/>
      </w:r>
    </w:p>
    <w:tbl>
      <w:tblPr>
        <w:tblW w:w="14176" w:type="dxa"/>
        <w:tblInd w:w="-214" w:type="dxa"/>
        <w:tblLayout w:type="fixed"/>
        <w:tblCellMar>
          <w:left w:w="70" w:type="dxa"/>
          <w:right w:w="70" w:type="dxa"/>
        </w:tblCellMar>
        <w:tblLook w:val="04A0" w:firstRow="1" w:lastRow="0" w:firstColumn="1" w:lastColumn="0" w:noHBand="0" w:noVBand="1"/>
      </w:tblPr>
      <w:tblGrid>
        <w:gridCol w:w="568"/>
        <w:gridCol w:w="567"/>
        <w:gridCol w:w="1843"/>
        <w:gridCol w:w="928"/>
        <w:gridCol w:w="1446"/>
        <w:gridCol w:w="2659"/>
        <w:gridCol w:w="208"/>
        <w:gridCol w:w="1979"/>
        <w:gridCol w:w="9"/>
        <w:gridCol w:w="1984"/>
        <w:gridCol w:w="1985"/>
      </w:tblGrid>
      <w:tr w:rsidR="00A15FB7" w:rsidRPr="00A15FB7" w:rsidTr="00D152C4">
        <w:trPr>
          <w:trHeight w:val="285"/>
        </w:trPr>
        <w:tc>
          <w:tcPr>
            <w:tcW w:w="568" w:type="dxa"/>
            <w:tcBorders>
              <w:top w:val="single" w:sz="8" w:space="0" w:color="auto"/>
              <w:left w:val="single" w:sz="8" w:space="0" w:color="auto"/>
              <w:bottom w:val="single" w:sz="4" w:space="0" w:color="auto"/>
              <w:right w:val="nil"/>
            </w:tcBorders>
            <w:shd w:val="clear" w:color="000000" w:fill="E4DFEC"/>
            <w:noWrap/>
            <w:vAlign w:val="center"/>
            <w:hideMark/>
          </w:tcPr>
          <w:p w:rsidR="00A15FB7" w:rsidRPr="00A15FB7" w:rsidRDefault="00A15FB7" w:rsidP="00A15FB7">
            <w:pPr>
              <w:spacing w:line="240" w:lineRule="auto"/>
              <w:jc w:val="center"/>
              <w:rPr>
                <w:rFonts w:eastAsia="Times New Roman" w:cs="Arial"/>
                <w:b/>
                <w:bCs/>
                <w:color w:val="000000"/>
                <w:szCs w:val="24"/>
                <w:lang w:eastAsia="cs-CZ"/>
              </w:rPr>
            </w:pPr>
            <w:r w:rsidRPr="00A15FB7">
              <w:rPr>
                <w:rFonts w:eastAsia="Times New Roman" w:cs="Arial"/>
                <w:b/>
                <w:bCs/>
                <w:color w:val="000000"/>
                <w:szCs w:val="24"/>
                <w:lang w:eastAsia="cs-CZ"/>
              </w:rPr>
              <w:t>4.4</w:t>
            </w:r>
          </w:p>
        </w:tc>
        <w:tc>
          <w:tcPr>
            <w:tcW w:w="567" w:type="dxa"/>
            <w:tcBorders>
              <w:top w:val="single" w:sz="8" w:space="0" w:color="auto"/>
              <w:left w:val="single" w:sz="8" w:space="0" w:color="auto"/>
              <w:bottom w:val="single" w:sz="4" w:space="0" w:color="auto"/>
              <w:right w:val="nil"/>
            </w:tcBorders>
            <w:shd w:val="clear" w:color="auto" w:fill="auto"/>
            <w:noWrap/>
            <w:vAlign w:val="center"/>
            <w:hideMark/>
          </w:tcPr>
          <w:p w:rsidR="00A15FB7" w:rsidRPr="00A15FB7" w:rsidRDefault="00A15FB7" w:rsidP="00A15FB7">
            <w:pPr>
              <w:spacing w:line="240" w:lineRule="auto"/>
              <w:jc w:val="right"/>
              <w:rPr>
                <w:rFonts w:eastAsia="Times New Roman" w:cs="Arial"/>
                <w:b/>
                <w:bCs/>
                <w:color w:val="000000"/>
                <w:szCs w:val="24"/>
                <w:lang w:eastAsia="cs-CZ"/>
              </w:rPr>
            </w:pPr>
            <w:r w:rsidRPr="00A15FB7">
              <w:rPr>
                <w:rFonts w:eastAsia="Times New Roman" w:cs="Arial"/>
                <w:b/>
                <w:bCs/>
                <w:color w:val="000000"/>
                <w:szCs w:val="24"/>
                <w:lang w:eastAsia="cs-CZ"/>
              </w:rPr>
              <w:t>T:</w:t>
            </w:r>
          </w:p>
        </w:tc>
        <w:tc>
          <w:tcPr>
            <w:tcW w:w="1843" w:type="dxa"/>
            <w:tcBorders>
              <w:top w:val="single" w:sz="8" w:space="0" w:color="auto"/>
              <w:left w:val="nil"/>
              <w:bottom w:val="single" w:sz="4" w:space="0" w:color="auto"/>
              <w:right w:val="nil"/>
            </w:tcBorders>
            <w:shd w:val="clear" w:color="auto" w:fill="auto"/>
            <w:noWrap/>
            <w:vAlign w:val="center"/>
            <w:hideMark/>
          </w:tcPr>
          <w:p w:rsidR="00A15FB7" w:rsidRPr="00A15FB7" w:rsidRDefault="00A15FB7" w:rsidP="00A15FB7">
            <w:pPr>
              <w:spacing w:line="240" w:lineRule="auto"/>
              <w:jc w:val="center"/>
              <w:rPr>
                <w:rFonts w:eastAsia="Times New Roman" w:cs="Arial"/>
                <w:b/>
                <w:bCs/>
                <w:color w:val="000000"/>
                <w:szCs w:val="24"/>
                <w:lang w:eastAsia="cs-CZ"/>
              </w:rPr>
            </w:pPr>
            <w:r w:rsidRPr="00A15FB7">
              <w:rPr>
                <w:rFonts w:eastAsia="Times New Roman" w:cs="Arial"/>
                <w:b/>
                <w:bCs/>
                <w:color w:val="000000"/>
                <w:szCs w:val="24"/>
                <w:lang w:eastAsia="cs-CZ"/>
              </w:rPr>
              <w:t>průběžně</w:t>
            </w:r>
          </w:p>
        </w:tc>
        <w:tc>
          <w:tcPr>
            <w:tcW w:w="928" w:type="dxa"/>
            <w:tcBorders>
              <w:top w:val="single" w:sz="12" w:space="0" w:color="auto"/>
              <w:left w:val="single" w:sz="12" w:space="0" w:color="auto"/>
              <w:bottom w:val="single" w:sz="12" w:space="0" w:color="auto"/>
              <w:right w:val="nil"/>
            </w:tcBorders>
            <w:shd w:val="clear" w:color="auto" w:fill="auto"/>
            <w:noWrap/>
            <w:vAlign w:val="center"/>
            <w:hideMark/>
          </w:tcPr>
          <w:p w:rsidR="00A15FB7" w:rsidRPr="00A15FB7" w:rsidRDefault="00A15FB7" w:rsidP="00A15FB7">
            <w:pPr>
              <w:spacing w:line="240" w:lineRule="auto"/>
              <w:jc w:val="right"/>
              <w:rPr>
                <w:rFonts w:eastAsia="Times New Roman" w:cs="Arial"/>
                <w:b/>
                <w:bCs/>
                <w:color w:val="000000"/>
                <w:szCs w:val="24"/>
                <w:lang w:eastAsia="cs-CZ"/>
              </w:rPr>
            </w:pPr>
            <w:r w:rsidRPr="00A15FB7">
              <w:rPr>
                <w:rFonts w:eastAsia="Times New Roman" w:cs="Arial"/>
                <w:b/>
                <w:bCs/>
                <w:color w:val="000000"/>
                <w:szCs w:val="24"/>
                <w:lang w:eastAsia="cs-CZ"/>
              </w:rPr>
              <w:t>gesce:</w:t>
            </w:r>
          </w:p>
        </w:tc>
        <w:tc>
          <w:tcPr>
            <w:tcW w:w="1446" w:type="dxa"/>
            <w:tcBorders>
              <w:top w:val="single" w:sz="12" w:space="0" w:color="auto"/>
              <w:left w:val="nil"/>
              <w:bottom w:val="single" w:sz="8" w:space="0" w:color="auto"/>
              <w:right w:val="single" w:sz="4" w:space="0" w:color="auto"/>
            </w:tcBorders>
            <w:shd w:val="clear" w:color="auto" w:fill="auto"/>
            <w:noWrap/>
            <w:vAlign w:val="center"/>
            <w:hideMark/>
          </w:tcPr>
          <w:p w:rsidR="00A15FB7" w:rsidRPr="00A15FB7" w:rsidRDefault="00A15FB7" w:rsidP="00A15FB7">
            <w:pPr>
              <w:spacing w:line="240" w:lineRule="auto"/>
              <w:jc w:val="left"/>
              <w:rPr>
                <w:rFonts w:eastAsia="Times New Roman" w:cs="Arial"/>
                <w:b/>
                <w:bCs/>
                <w:color w:val="000000"/>
                <w:szCs w:val="24"/>
                <w:lang w:eastAsia="cs-CZ"/>
              </w:rPr>
            </w:pPr>
            <w:r w:rsidRPr="00A15FB7">
              <w:rPr>
                <w:rFonts w:eastAsia="Times New Roman" w:cs="Arial"/>
                <w:b/>
                <w:bCs/>
                <w:color w:val="000000"/>
                <w:szCs w:val="24"/>
                <w:lang w:eastAsia="cs-CZ"/>
              </w:rPr>
              <w:t> </w:t>
            </w:r>
            <w:r w:rsidR="00D152C4">
              <w:rPr>
                <w:rFonts w:eastAsia="Times New Roman" w:cs="Arial"/>
                <w:b/>
                <w:bCs/>
                <w:color w:val="000000"/>
                <w:szCs w:val="24"/>
                <w:lang w:eastAsia="cs-CZ"/>
              </w:rPr>
              <w:t>MPSV</w:t>
            </w:r>
          </w:p>
        </w:tc>
        <w:tc>
          <w:tcPr>
            <w:tcW w:w="2659" w:type="dxa"/>
            <w:tcBorders>
              <w:left w:val="single" w:sz="4" w:space="0" w:color="auto"/>
              <w:bottom w:val="single" w:sz="8" w:space="0" w:color="auto"/>
            </w:tcBorders>
            <w:shd w:val="clear" w:color="auto" w:fill="auto"/>
            <w:noWrap/>
            <w:vAlign w:val="center"/>
          </w:tcPr>
          <w:p w:rsidR="00A15FB7" w:rsidRPr="00A15FB7" w:rsidRDefault="00A15FB7" w:rsidP="00A15FB7">
            <w:pPr>
              <w:spacing w:line="240" w:lineRule="auto"/>
              <w:jc w:val="right"/>
              <w:rPr>
                <w:rFonts w:eastAsia="Times New Roman" w:cs="Arial"/>
                <w:color w:val="000000"/>
                <w:szCs w:val="24"/>
                <w:lang w:eastAsia="cs-CZ"/>
              </w:rPr>
            </w:pPr>
          </w:p>
        </w:tc>
        <w:tc>
          <w:tcPr>
            <w:tcW w:w="208" w:type="dxa"/>
            <w:tcBorders>
              <w:bottom w:val="single" w:sz="8" w:space="0" w:color="auto"/>
            </w:tcBorders>
            <w:shd w:val="clear" w:color="auto" w:fill="auto"/>
            <w:noWrap/>
            <w:vAlign w:val="center"/>
          </w:tcPr>
          <w:p w:rsidR="00A15FB7" w:rsidRPr="00A15FB7" w:rsidRDefault="00A15FB7" w:rsidP="00A15FB7">
            <w:pPr>
              <w:spacing w:line="240" w:lineRule="auto"/>
              <w:jc w:val="right"/>
              <w:rPr>
                <w:rFonts w:eastAsia="Times New Roman" w:cs="Arial"/>
                <w:color w:val="000000"/>
                <w:szCs w:val="24"/>
                <w:lang w:eastAsia="cs-CZ"/>
              </w:rPr>
            </w:pPr>
          </w:p>
        </w:tc>
        <w:tc>
          <w:tcPr>
            <w:tcW w:w="1979" w:type="dxa"/>
            <w:tcBorders>
              <w:bottom w:val="single" w:sz="8" w:space="0" w:color="auto"/>
            </w:tcBorders>
            <w:shd w:val="clear" w:color="auto" w:fill="auto"/>
            <w:noWrap/>
            <w:vAlign w:val="center"/>
          </w:tcPr>
          <w:p w:rsidR="00A15FB7" w:rsidRPr="00A15FB7" w:rsidRDefault="00A15FB7" w:rsidP="00A15FB7">
            <w:pPr>
              <w:spacing w:line="240" w:lineRule="auto"/>
              <w:jc w:val="right"/>
              <w:rPr>
                <w:rFonts w:eastAsia="Times New Roman" w:cs="Arial"/>
                <w:color w:val="000000"/>
                <w:szCs w:val="24"/>
                <w:lang w:eastAsia="cs-CZ"/>
              </w:rPr>
            </w:pPr>
          </w:p>
        </w:tc>
        <w:tc>
          <w:tcPr>
            <w:tcW w:w="3978" w:type="dxa"/>
            <w:gridSpan w:val="3"/>
            <w:tcBorders>
              <w:bottom w:val="single" w:sz="8" w:space="0" w:color="auto"/>
            </w:tcBorders>
            <w:shd w:val="clear" w:color="auto" w:fill="auto"/>
            <w:noWrap/>
            <w:vAlign w:val="center"/>
          </w:tcPr>
          <w:p w:rsidR="00A15FB7" w:rsidRPr="00A15FB7" w:rsidRDefault="00A15FB7" w:rsidP="00A15FB7">
            <w:pPr>
              <w:spacing w:line="240" w:lineRule="auto"/>
              <w:jc w:val="right"/>
              <w:rPr>
                <w:rFonts w:eastAsia="Times New Roman" w:cs="Arial"/>
                <w:b/>
                <w:bCs/>
                <w:color w:val="000000"/>
                <w:szCs w:val="24"/>
                <w:lang w:eastAsia="cs-CZ"/>
              </w:rPr>
            </w:pPr>
          </w:p>
        </w:tc>
      </w:tr>
      <w:tr w:rsidR="00D152C4" w:rsidRPr="00A15FB7" w:rsidTr="00D152C4">
        <w:trPr>
          <w:trHeight w:val="285"/>
        </w:trPr>
        <w:tc>
          <w:tcPr>
            <w:tcW w:w="568" w:type="dxa"/>
            <w:vMerge w:val="restart"/>
            <w:tcBorders>
              <w:top w:val="nil"/>
              <w:left w:val="single" w:sz="8" w:space="0" w:color="auto"/>
              <w:bottom w:val="single" w:sz="8" w:space="0" w:color="000000"/>
              <w:right w:val="single" w:sz="8" w:space="0" w:color="auto"/>
            </w:tcBorders>
            <w:shd w:val="clear" w:color="000000" w:fill="E4DFEC"/>
            <w:noWrap/>
            <w:textDirection w:val="btLr"/>
            <w:vAlign w:val="center"/>
            <w:hideMark/>
          </w:tcPr>
          <w:p w:rsidR="00D152C4" w:rsidRPr="00A15FB7" w:rsidRDefault="00D152C4" w:rsidP="00A15FB7">
            <w:pPr>
              <w:spacing w:line="240" w:lineRule="auto"/>
              <w:jc w:val="center"/>
              <w:rPr>
                <w:rFonts w:eastAsia="Times New Roman" w:cs="Arial"/>
                <w:b/>
                <w:bCs/>
                <w:color w:val="000000"/>
                <w:szCs w:val="24"/>
                <w:lang w:eastAsia="cs-CZ"/>
              </w:rPr>
            </w:pPr>
            <w:r w:rsidRPr="00A15FB7">
              <w:rPr>
                <w:rFonts w:eastAsia="Times New Roman" w:cs="Arial"/>
                <w:b/>
                <w:bCs/>
                <w:color w:val="000000"/>
                <w:szCs w:val="24"/>
                <w:lang w:eastAsia="cs-CZ"/>
              </w:rPr>
              <w:t>Spolupráce na trhu práce</w:t>
            </w:r>
          </w:p>
        </w:tc>
        <w:tc>
          <w:tcPr>
            <w:tcW w:w="2410" w:type="dxa"/>
            <w:gridSpan w:val="2"/>
            <w:tcBorders>
              <w:top w:val="single" w:sz="4" w:space="0" w:color="auto"/>
              <w:left w:val="nil"/>
              <w:bottom w:val="double" w:sz="6" w:space="0" w:color="auto"/>
              <w:right w:val="nil"/>
            </w:tcBorders>
            <w:shd w:val="clear" w:color="auto" w:fill="auto"/>
            <w:noWrap/>
            <w:vAlign w:val="center"/>
            <w:hideMark/>
          </w:tcPr>
          <w:p w:rsidR="00D152C4" w:rsidRPr="00A15FB7" w:rsidRDefault="00D152C4" w:rsidP="00A15FB7">
            <w:pPr>
              <w:spacing w:line="240" w:lineRule="auto"/>
              <w:jc w:val="right"/>
              <w:rPr>
                <w:rFonts w:eastAsia="Times New Roman" w:cs="Arial"/>
                <w:b/>
                <w:bCs/>
                <w:color w:val="000000"/>
                <w:szCs w:val="24"/>
                <w:lang w:eastAsia="cs-CZ"/>
              </w:rPr>
            </w:pPr>
            <w:r w:rsidRPr="00A15FB7">
              <w:rPr>
                <w:rFonts w:eastAsia="Times New Roman" w:cs="Arial"/>
                <w:b/>
                <w:bCs/>
                <w:color w:val="000000"/>
                <w:szCs w:val="24"/>
                <w:lang w:eastAsia="cs-CZ"/>
              </w:rPr>
              <w:t>povaha:</w:t>
            </w:r>
          </w:p>
        </w:tc>
        <w:tc>
          <w:tcPr>
            <w:tcW w:w="928" w:type="dxa"/>
            <w:tcBorders>
              <w:top w:val="nil"/>
              <w:left w:val="nil"/>
              <w:bottom w:val="double" w:sz="6" w:space="0" w:color="auto"/>
              <w:right w:val="double" w:sz="6" w:space="0" w:color="auto"/>
            </w:tcBorders>
            <w:shd w:val="clear" w:color="auto" w:fill="auto"/>
            <w:noWrap/>
            <w:vAlign w:val="center"/>
            <w:hideMark/>
          </w:tcPr>
          <w:p w:rsidR="00D152C4" w:rsidRPr="00A15FB7" w:rsidRDefault="00D152C4" w:rsidP="00426516">
            <w:pPr>
              <w:spacing w:line="240" w:lineRule="auto"/>
              <w:jc w:val="left"/>
              <w:rPr>
                <w:rFonts w:eastAsia="Times New Roman" w:cs="Arial"/>
                <w:b/>
                <w:bCs/>
                <w:color w:val="000000"/>
                <w:szCs w:val="24"/>
                <w:lang w:eastAsia="cs-CZ"/>
              </w:rPr>
            </w:pPr>
            <w:r w:rsidRPr="00A15FB7">
              <w:rPr>
                <w:rFonts w:eastAsia="Times New Roman" w:cs="Arial"/>
                <w:b/>
                <w:bCs/>
                <w:color w:val="000000"/>
                <w:szCs w:val="24"/>
                <w:lang w:eastAsia="cs-CZ"/>
              </w:rPr>
              <w:t>N</w:t>
            </w:r>
          </w:p>
        </w:tc>
        <w:tc>
          <w:tcPr>
            <w:tcW w:w="6292" w:type="dxa"/>
            <w:gridSpan w:val="4"/>
            <w:tcBorders>
              <w:top w:val="single" w:sz="8" w:space="0" w:color="auto"/>
              <w:left w:val="nil"/>
              <w:right w:val="nil"/>
            </w:tcBorders>
            <w:shd w:val="clear" w:color="auto" w:fill="auto"/>
            <w:noWrap/>
            <w:vAlign w:val="center"/>
            <w:hideMark/>
          </w:tcPr>
          <w:p w:rsidR="00D152C4" w:rsidRPr="00A15FB7" w:rsidRDefault="00D152C4" w:rsidP="00A15FB7">
            <w:pPr>
              <w:spacing w:line="240" w:lineRule="auto"/>
              <w:jc w:val="center"/>
              <w:rPr>
                <w:rFonts w:eastAsia="Times New Roman" w:cs="Arial"/>
                <w:b/>
                <w:bCs/>
                <w:color w:val="000000"/>
                <w:szCs w:val="24"/>
                <w:u w:val="single"/>
                <w:lang w:eastAsia="cs-CZ"/>
              </w:rPr>
            </w:pPr>
            <w:r w:rsidRPr="00A15FB7">
              <w:rPr>
                <w:rFonts w:eastAsia="Times New Roman" w:cs="Arial"/>
                <w:b/>
                <w:bCs/>
                <w:color w:val="000000"/>
                <w:szCs w:val="24"/>
                <w:u w:val="single"/>
                <w:lang w:eastAsia="cs-CZ"/>
              </w:rPr>
              <w:t>Popis</w:t>
            </w:r>
          </w:p>
        </w:tc>
        <w:tc>
          <w:tcPr>
            <w:tcW w:w="3978" w:type="dxa"/>
            <w:gridSpan w:val="3"/>
            <w:tcBorders>
              <w:top w:val="single" w:sz="8" w:space="0" w:color="auto"/>
              <w:left w:val="nil"/>
              <w:right w:val="single" w:sz="8" w:space="0" w:color="auto"/>
            </w:tcBorders>
            <w:shd w:val="clear" w:color="auto" w:fill="auto"/>
            <w:noWrap/>
            <w:vAlign w:val="center"/>
          </w:tcPr>
          <w:p w:rsidR="00D152C4" w:rsidRPr="00A15FB7" w:rsidRDefault="00D152C4" w:rsidP="00A15FB7">
            <w:pPr>
              <w:spacing w:line="240" w:lineRule="auto"/>
              <w:jc w:val="center"/>
              <w:rPr>
                <w:rFonts w:eastAsia="Times New Roman" w:cs="Arial"/>
                <w:b/>
                <w:bCs/>
                <w:color w:val="000000"/>
                <w:szCs w:val="24"/>
                <w:u w:val="single"/>
                <w:lang w:eastAsia="cs-CZ"/>
              </w:rPr>
            </w:pPr>
          </w:p>
        </w:tc>
      </w:tr>
      <w:tr w:rsidR="00A15FB7" w:rsidRPr="00A15FB7" w:rsidTr="00D152C4">
        <w:trPr>
          <w:trHeight w:val="1745"/>
        </w:trPr>
        <w:tc>
          <w:tcPr>
            <w:tcW w:w="568" w:type="dxa"/>
            <w:vMerge/>
            <w:tcBorders>
              <w:top w:val="nil"/>
              <w:left w:val="single" w:sz="8" w:space="0" w:color="auto"/>
              <w:bottom w:val="single" w:sz="8" w:space="0" w:color="000000"/>
              <w:right w:val="single" w:sz="8" w:space="0" w:color="auto"/>
            </w:tcBorders>
            <w:vAlign w:val="center"/>
            <w:hideMark/>
          </w:tcPr>
          <w:p w:rsidR="00A15FB7" w:rsidRPr="00A15FB7" w:rsidRDefault="00A15FB7" w:rsidP="00A15FB7">
            <w:pPr>
              <w:spacing w:line="240" w:lineRule="auto"/>
              <w:jc w:val="left"/>
              <w:rPr>
                <w:rFonts w:eastAsia="Times New Roman" w:cs="Arial"/>
                <w:b/>
                <w:bCs/>
                <w:color w:val="000000"/>
                <w:szCs w:val="24"/>
                <w:lang w:eastAsia="cs-CZ"/>
              </w:rPr>
            </w:pPr>
          </w:p>
        </w:tc>
        <w:tc>
          <w:tcPr>
            <w:tcW w:w="13608" w:type="dxa"/>
            <w:gridSpan w:val="10"/>
            <w:tcBorders>
              <w:top w:val="nil"/>
              <w:left w:val="nil"/>
              <w:bottom w:val="double" w:sz="6" w:space="0" w:color="auto"/>
              <w:right w:val="single" w:sz="8" w:space="0" w:color="000000"/>
            </w:tcBorders>
            <w:shd w:val="clear" w:color="auto" w:fill="auto"/>
            <w:hideMark/>
          </w:tcPr>
          <w:p w:rsidR="00A15FB7" w:rsidRPr="00A15FB7" w:rsidRDefault="00A15FB7" w:rsidP="00D152C4">
            <w:pPr>
              <w:spacing w:before="120" w:after="120" w:line="240" w:lineRule="auto"/>
              <w:rPr>
                <w:rFonts w:eastAsia="Times New Roman" w:cs="Arial"/>
                <w:color w:val="000000"/>
                <w:szCs w:val="24"/>
                <w:lang w:eastAsia="cs-CZ"/>
              </w:rPr>
            </w:pPr>
            <w:r w:rsidRPr="00A15FB7">
              <w:rPr>
                <w:rFonts w:eastAsia="Times New Roman" w:cs="Arial"/>
                <w:color w:val="000000"/>
                <w:szCs w:val="24"/>
                <w:lang w:eastAsia="cs-CZ"/>
              </w:rPr>
              <w:t>Spolupráce všech zúčastněných aktérů trhu práce (státní správy, zaměstnavatelů, samosprávy, zástupců zaměstnanců, vzdělávacích institucí, nestátních neziskových organizací a dalších aktérů ovlivňujících trh práce) je zcela nezbytným předpokladem k realizaci významné části výše uvedených opatření. Ze strany státní správy bude zaměstnavatelům poskytnuta maximální možná podpora při podpoře zaměstnanosti a kvalifikace pracovní síly, zejména ve prospěch znevýhodněných skupin osob.</w:t>
            </w:r>
            <w:r w:rsidR="00D152C4">
              <w:rPr>
                <w:rFonts w:eastAsia="Times New Roman" w:cs="Arial"/>
                <w:color w:val="000000"/>
                <w:szCs w:val="24"/>
                <w:lang w:eastAsia="cs-CZ"/>
              </w:rPr>
              <w:t xml:space="preserve"> </w:t>
            </w:r>
            <w:r w:rsidRPr="00A15FB7">
              <w:rPr>
                <w:rFonts w:eastAsia="Times New Roman" w:cs="Arial"/>
                <w:color w:val="000000"/>
                <w:szCs w:val="24"/>
                <w:lang w:eastAsia="cs-CZ"/>
              </w:rPr>
              <w:t xml:space="preserve">Primární platformou pro posilování spolupráce na trhu práce, zejména v oblasti realizace politiky zaměstnanosti, jsou poradní sbory zřizované </w:t>
            </w:r>
            <w:r w:rsidR="00D152C4">
              <w:rPr>
                <w:rFonts w:eastAsia="Times New Roman" w:cs="Arial"/>
                <w:color w:val="000000"/>
                <w:szCs w:val="24"/>
                <w:lang w:eastAsia="cs-CZ"/>
              </w:rPr>
              <w:t>ÚP</w:t>
            </w:r>
            <w:r w:rsidRPr="00A15FB7">
              <w:rPr>
                <w:rFonts w:eastAsia="Times New Roman" w:cs="Arial"/>
                <w:color w:val="000000"/>
                <w:szCs w:val="24"/>
                <w:lang w:eastAsia="cs-CZ"/>
              </w:rPr>
              <w:t xml:space="preserve"> ČR podle </w:t>
            </w:r>
            <w:proofErr w:type="spellStart"/>
            <w:r w:rsidR="00D152C4">
              <w:rPr>
                <w:rFonts w:eastAsia="Times New Roman" w:cs="Arial"/>
                <w:color w:val="000000"/>
                <w:szCs w:val="24"/>
                <w:lang w:eastAsia="cs-CZ"/>
              </w:rPr>
              <w:t>ZoZ</w:t>
            </w:r>
            <w:proofErr w:type="spellEnd"/>
          </w:p>
        </w:tc>
      </w:tr>
      <w:tr w:rsidR="00A15FB7" w:rsidRPr="00A15FB7" w:rsidTr="00D152C4">
        <w:trPr>
          <w:trHeight w:val="285"/>
        </w:trPr>
        <w:tc>
          <w:tcPr>
            <w:tcW w:w="568" w:type="dxa"/>
            <w:vMerge/>
            <w:tcBorders>
              <w:top w:val="nil"/>
              <w:left w:val="single" w:sz="8" w:space="0" w:color="auto"/>
              <w:bottom w:val="single" w:sz="8" w:space="0" w:color="000000"/>
              <w:right w:val="double" w:sz="6" w:space="0" w:color="auto"/>
            </w:tcBorders>
            <w:vAlign w:val="center"/>
            <w:hideMark/>
          </w:tcPr>
          <w:p w:rsidR="00A15FB7" w:rsidRPr="00A15FB7" w:rsidRDefault="00A15FB7" w:rsidP="00A15FB7">
            <w:pPr>
              <w:spacing w:line="240" w:lineRule="auto"/>
              <w:jc w:val="left"/>
              <w:rPr>
                <w:rFonts w:eastAsia="Times New Roman" w:cs="Arial"/>
                <w:b/>
                <w:bCs/>
                <w:color w:val="000000"/>
                <w:szCs w:val="24"/>
                <w:lang w:eastAsia="cs-CZ"/>
              </w:rPr>
            </w:pPr>
          </w:p>
        </w:tc>
        <w:tc>
          <w:tcPr>
            <w:tcW w:w="567" w:type="dxa"/>
            <w:tcBorders>
              <w:top w:val="double" w:sz="6" w:space="0" w:color="auto"/>
              <w:left w:val="double" w:sz="6" w:space="0" w:color="auto"/>
              <w:bottom w:val="double" w:sz="6" w:space="0" w:color="auto"/>
              <w:right w:val="nil"/>
            </w:tcBorders>
            <w:shd w:val="clear" w:color="000000" w:fill="D8E4BC"/>
            <w:noWrap/>
            <w:vAlign w:val="center"/>
          </w:tcPr>
          <w:p w:rsidR="00A15FB7" w:rsidRPr="00A15FB7" w:rsidRDefault="00A15FB7" w:rsidP="00A15FB7">
            <w:pPr>
              <w:spacing w:line="240" w:lineRule="auto"/>
              <w:jc w:val="center"/>
              <w:rPr>
                <w:rFonts w:eastAsia="Times New Roman" w:cs="Arial"/>
                <w:color w:val="000000"/>
                <w:szCs w:val="24"/>
                <w:lang w:eastAsia="cs-CZ"/>
              </w:rPr>
            </w:pPr>
          </w:p>
        </w:tc>
        <w:tc>
          <w:tcPr>
            <w:tcW w:w="2771" w:type="dxa"/>
            <w:gridSpan w:val="2"/>
            <w:tcBorders>
              <w:top w:val="double" w:sz="6" w:space="0" w:color="auto"/>
              <w:left w:val="nil"/>
              <w:bottom w:val="double" w:sz="6" w:space="0" w:color="auto"/>
              <w:right w:val="double" w:sz="6" w:space="0" w:color="auto"/>
            </w:tcBorders>
            <w:shd w:val="clear" w:color="000000" w:fill="D8E4BC"/>
            <w:vAlign w:val="center"/>
            <w:hideMark/>
          </w:tcPr>
          <w:p w:rsidR="00A15FB7" w:rsidRPr="00A15FB7" w:rsidRDefault="00A15FB7" w:rsidP="00A15FB7">
            <w:pPr>
              <w:spacing w:line="240" w:lineRule="auto"/>
              <w:jc w:val="left"/>
              <w:rPr>
                <w:rFonts w:eastAsia="Times New Roman" w:cs="Arial"/>
                <w:b/>
                <w:bCs/>
                <w:color w:val="000000"/>
                <w:szCs w:val="24"/>
                <w:lang w:eastAsia="cs-CZ"/>
              </w:rPr>
            </w:pPr>
            <w:r w:rsidRPr="00A15FB7">
              <w:rPr>
                <w:rFonts w:eastAsia="Times New Roman" w:cs="Arial"/>
                <w:b/>
                <w:bCs/>
                <w:color w:val="000000"/>
                <w:szCs w:val="24"/>
                <w:lang w:eastAsia="cs-CZ"/>
              </w:rPr>
              <w:t>Průběžně plněno</w:t>
            </w:r>
          </w:p>
        </w:tc>
        <w:tc>
          <w:tcPr>
            <w:tcW w:w="6301" w:type="dxa"/>
            <w:gridSpan w:val="5"/>
            <w:tcBorders>
              <w:top w:val="double" w:sz="6" w:space="0" w:color="auto"/>
              <w:left w:val="double" w:sz="6" w:space="0" w:color="auto"/>
              <w:bottom w:val="nil"/>
              <w:right w:val="nil"/>
            </w:tcBorders>
            <w:shd w:val="clear" w:color="auto" w:fill="auto"/>
            <w:vAlign w:val="center"/>
            <w:hideMark/>
          </w:tcPr>
          <w:p w:rsidR="00A15FB7" w:rsidRPr="00A15FB7" w:rsidRDefault="00A15FB7" w:rsidP="00A15FB7">
            <w:pPr>
              <w:spacing w:line="240" w:lineRule="auto"/>
              <w:jc w:val="center"/>
              <w:rPr>
                <w:rFonts w:eastAsia="Times New Roman" w:cs="Arial"/>
                <w:b/>
                <w:bCs/>
                <w:color w:val="000000"/>
                <w:szCs w:val="24"/>
                <w:u w:val="single"/>
                <w:lang w:eastAsia="cs-CZ"/>
              </w:rPr>
            </w:pPr>
            <w:r w:rsidRPr="00A15FB7">
              <w:rPr>
                <w:rFonts w:eastAsia="Times New Roman" w:cs="Arial"/>
                <w:b/>
                <w:bCs/>
                <w:color w:val="000000"/>
                <w:szCs w:val="24"/>
                <w:u w:val="single"/>
                <w:lang w:eastAsia="cs-CZ"/>
              </w:rPr>
              <w:t>Plnění</w:t>
            </w:r>
          </w:p>
        </w:tc>
        <w:tc>
          <w:tcPr>
            <w:tcW w:w="1984" w:type="dxa"/>
            <w:tcBorders>
              <w:top w:val="nil"/>
              <w:left w:val="single" w:sz="8" w:space="0" w:color="auto"/>
              <w:bottom w:val="single" w:sz="8" w:space="0" w:color="auto"/>
              <w:right w:val="nil"/>
            </w:tcBorders>
            <w:shd w:val="clear" w:color="auto" w:fill="auto"/>
            <w:vAlign w:val="center"/>
            <w:hideMark/>
          </w:tcPr>
          <w:p w:rsidR="00A15FB7" w:rsidRPr="00A15FB7" w:rsidRDefault="00A15FB7" w:rsidP="00A15FB7">
            <w:pPr>
              <w:spacing w:line="240" w:lineRule="auto"/>
              <w:jc w:val="right"/>
              <w:rPr>
                <w:rFonts w:eastAsia="Times New Roman" w:cs="Arial"/>
                <w:color w:val="000000"/>
                <w:szCs w:val="24"/>
                <w:lang w:eastAsia="cs-CZ"/>
              </w:rPr>
            </w:pPr>
            <w:r w:rsidRPr="00A15FB7">
              <w:rPr>
                <w:rFonts w:eastAsia="Times New Roman" w:cs="Arial"/>
                <w:color w:val="000000"/>
                <w:szCs w:val="24"/>
                <w:lang w:eastAsia="cs-CZ"/>
              </w:rPr>
              <w:t>k datu</w:t>
            </w:r>
          </w:p>
        </w:tc>
        <w:tc>
          <w:tcPr>
            <w:tcW w:w="1985" w:type="dxa"/>
            <w:tcBorders>
              <w:top w:val="nil"/>
              <w:left w:val="nil"/>
              <w:bottom w:val="single" w:sz="8" w:space="0" w:color="auto"/>
              <w:right w:val="single" w:sz="8" w:space="0" w:color="auto"/>
            </w:tcBorders>
            <w:shd w:val="clear" w:color="auto" w:fill="auto"/>
            <w:vAlign w:val="center"/>
            <w:hideMark/>
          </w:tcPr>
          <w:p w:rsidR="00A15FB7" w:rsidRPr="00A15FB7" w:rsidRDefault="00A15FB7" w:rsidP="00A15FB7">
            <w:pPr>
              <w:spacing w:line="240" w:lineRule="auto"/>
              <w:jc w:val="center"/>
              <w:rPr>
                <w:rFonts w:eastAsia="Times New Roman" w:cs="Arial"/>
                <w:b/>
                <w:bCs/>
                <w:color w:val="000000"/>
                <w:szCs w:val="24"/>
                <w:u w:val="single"/>
                <w:lang w:eastAsia="cs-CZ"/>
              </w:rPr>
            </w:pPr>
            <w:r w:rsidRPr="00A15FB7">
              <w:rPr>
                <w:rFonts w:eastAsia="Times New Roman" w:cs="Arial"/>
                <w:b/>
                <w:bCs/>
                <w:color w:val="000000"/>
                <w:szCs w:val="24"/>
                <w:u w:val="single"/>
                <w:lang w:eastAsia="cs-CZ"/>
              </w:rPr>
              <w:t>31.</w:t>
            </w:r>
            <w:r w:rsidR="00D152C4">
              <w:rPr>
                <w:rFonts w:eastAsia="Times New Roman" w:cs="Arial"/>
                <w:b/>
                <w:bCs/>
                <w:color w:val="000000"/>
                <w:szCs w:val="24"/>
                <w:u w:val="single"/>
                <w:lang w:eastAsia="cs-CZ"/>
              </w:rPr>
              <w:t xml:space="preserve"> </w:t>
            </w:r>
            <w:r w:rsidRPr="00A15FB7">
              <w:rPr>
                <w:rFonts w:eastAsia="Times New Roman" w:cs="Arial"/>
                <w:b/>
                <w:bCs/>
                <w:color w:val="000000"/>
                <w:szCs w:val="24"/>
                <w:u w:val="single"/>
                <w:lang w:eastAsia="cs-CZ"/>
              </w:rPr>
              <w:t>12.</w:t>
            </w:r>
            <w:r w:rsidR="00D152C4">
              <w:rPr>
                <w:rFonts w:eastAsia="Times New Roman" w:cs="Arial"/>
                <w:b/>
                <w:bCs/>
                <w:color w:val="000000"/>
                <w:szCs w:val="24"/>
                <w:u w:val="single"/>
                <w:lang w:eastAsia="cs-CZ"/>
              </w:rPr>
              <w:t xml:space="preserve"> </w:t>
            </w:r>
            <w:r w:rsidRPr="00A15FB7">
              <w:rPr>
                <w:rFonts w:eastAsia="Times New Roman" w:cs="Arial"/>
                <w:b/>
                <w:bCs/>
                <w:color w:val="000000"/>
                <w:szCs w:val="24"/>
                <w:u w:val="single"/>
                <w:lang w:eastAsia="cs-CZ"/>
              </w:rPr>
              <w:t>2016</w:t>
            </w:r>
          </w:p>
        </w:tc>
      </w:tr>
      <w:tr w:rsidR="00A15FB7" w:rsidRPr="00A15FB7" w:rsidTr="000D7385">
        <w:trPr>
          <w:trHeight w:val="2159"/>
        </w:trPr>
        <w:tc>
          <w:tcPr>
            <w:tcW w:w="568" w:type="dxa"/>
            <w:vMerge/>
            <w:tcBorders>
              <w:top w:val="nil"/>
              <w:left w:val="single" w:sz="8" w:space="0" w:color="auto"/>
              <w:bottom w:val="single" w:sz="8" w:space="0" w:color="000000"/>
              <w:right w:val="single" w:sz="8" w:space="0" w:color="auto"/>
            </w:tcBorders>
            <w:vAlign w:val="center"/>
            <w:hideMark/>
          </w:tcPr>
          <w:p w:rsidR="00A15FB7" w:rsidRPr="00A15FB7" w:rsidRDefault="00A15FB7" w:rsidP="00A15FB7">
            <w:pPr>
              <w:spacing w:line="240" w:lineRule="auto"/>
              <w:jc w:val="left"/>
              <w:rPr>
                <w:rFonts w:eastAsia="Times New Roman" w:cs="Arial"/>
                <w:b/>
                <w:bCs/>
                <w:color w:val="000000"/>
                <w:szCs w:val="24"/>
                <w:lang w:eastAsia="cs-CZ"/>
              </w:rPr>
            </w:pPr>
          </w:p>
        </w:tc>
        <w:tc>
          <w:tcPr>
            <w:tcW w:w="567" w:type="dxa"/>
            <w:tcBorders>
              <w:top w:val="nil"/>
              <w:left w:val="nil"/>
              <w:bottom w:val="nil"/>
              <w:right w:val="single" w:sz="4" w:space="0" w:color="auto"/>
            </w:tcBorders>
            <w:shd w:val="clear" w:color="auto" w:fill="auto"/>
            <w:textDirection w:val="btLr"/>
            <w:vAlign w:val="center"/>
            <w:hideMark/>
          </w:tcPr>
          <w:p w:rsidR="00A15FB7" w:rsidRPr="00A15FB7" w:rsidRDefault="00A15FB7" w:rsidP="00A15FB7">
            <w:pPr>
              <w:spacing w:line="240" w:lineRule="auto"/>
              <w:jc w:val="center"/>
              <w:rPr>
                <w:rFonts w:eastAsia="Times New Roman" w:cs="Arial"/>
                <w:color w:val="000000"/>
                <w:szCs w:val="24"/>
                <w:lang w:eastAsia="cs-CZ"/>
              </w:rPr>
            </w:pPr>
            <w:r w:rsidRPr="00A15FB7">
              <w:rPr>
                <w:rFonts w:eastAsia="Times New Roman" w:cs="Arial"/>
                <w:color w:val="000000"/>
                <w:szCs w:val="24"/>
                <w:lang w:eastAsia="cs-CZ"/>
              </w:rPr>
              <w:t xml:space="preserve">předchozí </w:t>
            </w:r>
          </w:p>
        </w:tc>
        <w:tc>
          <w:tcPr>
            <w:tcW w:w="13041" w:type="dxa"/>
            <w:gridSpan w:val="9"/>
            <w:tcBorders>
              <w:top w:val="nil"/>
              <w:left w:val="nil"/>
              <w:bottom w:val="nil"/>
              <w:right w:val="single" w:sz="8" w:space="0" w:color="000000"/>
            </w:tcBorders>
            <w:shd w:val="clear" w:color="auto" w:fill="auto"/>
            <w:hideMark/>
          </w:tcPr>
          <w:p w:rsidR="00A15FB7" w:rsidRPr="00A15FB7" w:rsidRDefault="00A15FB7" w:rsidP="00912C16">
            <w:pPr>
              <w:spacing w:before="120" w:after="120" w:line="240" w:lineRule="auto"/>
              <w:rPr>
                <w:rFonts w:eastAsia="Times New Roman" w:cs="Arial"/>
                <w:color w:val="000000"/>
                <w:szCs w:val="24"/>
                <w:lang w:eastAsia="cs-CZ"/>
              </w:rPr>
            </w:pPr>
            <w:r w:rsidRPr="00A15FB7">
              <w:rPr>
                <w:rFonts w:eastAsia="Times New Roman" w:cs="Arial"/>
                <w:color w:val="000000"/>
                <w:szCs w:val="24"/>
                <w:lang w:eastAsia="cs-CZ"/>
              </w:rPr>
              <w:t xml:space="preserve">Základním prvkem spolupráce na trhu práce jsou poradní sbory ÚP ČR zřizované na základě § 7 odst. 2 </w:t>
            </w:r>
            <w:proofErr w:type="spellStart"/>
            <w:r w:rsidR="00D152C4">
              <w:rPr>
                <w:rFonts w:eastAsia="Times New Roman" w:cs="Arial"/>
                <w:color w:val="000000"/>
                <w:szCs w:val="24"/>
                <w:lang w:eastAsia="cs-CZ"/>
              </w:rPr>
              <w:t>ZoZ</w:t>
            </w:r>
            <w:proofErr w:type="spellEnd"/>
            <w:r w:rsidR="00912C16">
              <w:rPr>
                <w:rFonts w:eastAsia="Times New Roman" w:cs="Arial"/>
                <w:color w:val="000000"/>
                <w:szCs w:val="24"/>
                <w:lang w:eastAsia="cs-CZ"/>
              </w:rPr>
              <w:t>.</w:t>
            </w:r>
            <w:r w:rsidRPr="00A15FB7">
              <w:rPr>
                <w:rFonts w:eastAsia="Times New Roman" w:cs="Arial"/>
                <w:color w:val="000000"/>
                <w:szCs w:val="24"/>
                <w:lang w:eastAsia="cs-CZ"/>
              </w:rPr>
              <w:t xml:space="preserve"> </w:t>
            </w:r>
            <w:r w:rsidR="00912C16">
              <w:rPr>
                <w:rFonts w:eastAsia="Times New Roman" w:cs="Arial"/>
                <w:color w:val="000000"/>
                <w:szCs w:val="24"/>
                <w:lang w:eastAsia="cs-CZ"/>
              </w:rPr>
              <w:t>S</w:t>
            </w:r>
            <w:r w:rsidRPr="00A15FB7">
              <w:rPr>
                <w:rFonts w:eastAsia="Times New Roman" w:cs="Arial"/>
                <w:color w:val="000000"/>
                <w:szCs w:val="24"/>
                <w:lang w:eastAsia="cs-CZ"/>
              </w:rPr>
              <w:t xml:space="preserve">vou činností zabezpečují spolupráci na trhu práce mezi ÚP ČR, zaměstnavateli, odborovými organizacemi, družstevními orgány, městskými a obecními úřady, zaměstnavatelskými svazy, hospodářskou komorou a dalšími organizacemi. Koordinují tak uplatňování politiky zaměstnanosti ve svém obvodu, </w:t>
            </w:r>
            <w:r w:rsidR="00D152C4">
              <w:rPr>
                <w:rFonts w:eastAsia="Times New Roman" w:cs="Arial"/>
                <w:color w:val="000000"/>
                <w:szCs w:val="24"/>
                <w:lang w:eastAsia="cs-CZ"/>
              </w:rPr>
              <w:t>včetně APZ,</w:t>
            </w:r>
            <w:r w:rsidR="00D229A2">
              <w:rPr>
                <w:rFonts w:eastAsia="Times New Roman" w:cs="Arial"/>
                <w:color w:val="000000"/>
                <w:szCs w:val="24"/>
                <w:lang w:eastAsia="cs-CZ"/>
              </w:rPr>
              <w:t xml:space="preserve"> k </w:t>
            </w:r>
            <w:r w:rsidRPr="00A15FB7">
              <w:rPr>
                <w:rFonts w:eastAsia="Times New Roman" w:cs="Arial"/>
                <w:color w:val="000000"/>
                <w:szCs w:val="24"/>
                <w:lang w:eastAsia="cs-CZ"/>
              </w:rPr>
              <w:t>programům strukturálních a organizačních změn, k programům rekvalifikace a k organizaci poradenské činnosti.</w:t>
            </w:r>
            <w:r w:rsidR="00D229A2">
              <w:rPr>
                <w:rFonts w:eastAsia="Times New Roman" w:cs="Arial"/>
                <w:color w:val="000000"/>
                <w:szCs w:val="24"/>
                <w:lang w:eastAsia="cs-CZ"/>
              </w:rPr>
              <w:t xml:space="preserve"> V </w:t>
            </w:r>
            <w:r w:rsidR="00D152C4">
              <w:rPr>
                <w:rFonts w:eastAsia="Times New Roman" w:cs="Arial"/>
                <w:color w:val="000000"/>
                <w:szCs w:val="24"/>
                <w:lang w:eastAsia="cs-CZ"/>
              </w:rPr>
              <w:t>rámci OP</w:t>
            </w:r>
            <w:r w:rsidRPr="00A15FB7">
              <w:rPr>
                <w:rFonts w:eastAsia="Times New Roman" w:cs="Arial"/>
                <w:color w:val="000000"/>
                <w:szCs w:val="24"/>
                <w:lang w:eastAsia="cs-CZ"/>
              </w:rPr>
              <w:t>Z byla s cílem podpořit regionální spolupráci na trhu práce při podpoře zaměstnanosti znevýhodněných skupin vyhlášena výzva č. 55 zaměřená na podporu aktivit teritoriálních paktů zaměstnanosti v práci s cílovými skupinami, alokace: 98 mil. Kč.</w:t>
            </w:r>
          </w:p>
        </w:tc>
      </w:tr>
      <w:tr w:rsidR="00A15FB7" w:rsidRPr="00A15FB7" w:rsidTr="00D152C4">
        <w:trPr>
          <w:trHeight w:val="2821"/>
        </w:trPr>
        <w:tc>
          <w:tcPr>
            <w:tcW w:w="568" w:type="dxa"/>
            <w:vMerge/>
            <w:tcBorders>
              <w:top w:val="nil"/>
              <w:left w:val="single" w:sz="8" w:space="0" w:color="auto"/>
              <w:bottom w:val="single" w:sz="8" w:space="0" w:color="000000"/>
              <w:right w:val="single" w:sz="8" w:space="0" w:color="auto"/>
            </w:tcBorders>
            <w:vAlign w:val="center"/>
            <w:hideMark/>
          </w:tcPr>
          <w:p w:rsidR="00A15FB7" w:rsidRPr="00A15FB7" w:rsidRDefault="00A15FB7" w:rsidP="00A15FB7">
            <w:pPr>
              <w:spacing w:line="240" w:lineRule="auto"/>
              <w:jc w:val="left"/>
              <w:rPr>
                <w:rFonts w:eastAsia="Times New Roman" w:cs="Arial"/>
                <w:b/>
                <w:bCs/>
                <w:color w:val="000000"/>
                <w:szCs w:val="24"/>
                <w:lang w:eastAsia="cs-CZ"/>
              </w:rPr>
            </w:pPr>
          </w:p>
        </w:tc>
        <w:tc>
          <w:tcPr>
            <w:tcW w:w="567" w:type="dxa"/>
            <w:tcBorders>
              <w:top w:val="single" w:sz="4" w:space="0" w:color="auto"/>
              <w:left w:val="nil"/>
              <w:bottom w:val="single" w:sz="8" w:space="0" w:color="auto"/>
              <w:right w:val="single" w:sz="4" w:space="0" w:color="auto"/>
            </w:tcBorders>
            <w:shd w:val="clear" w:color="auto" w:fill="auto"/>
            <w:textDirection w:val="btLr"/>
            <w:vAlign w:val="center"/>
            <w:hideMark/>
          </w:tcPr>
          <w:p w:rsidR="00A15FB7" w:rsidRPr="00A15FB7" w:rsidRDefault="00A15FB7" w:rsidP="00A15FB7">
            <w:pPr>
              <w:spacing w:line="240" w:lineRule="auto"/>
              <w:jc w:val="center"/>
              <w:rPr>
                <w:rFonts w:eastAsia="Times New Roman" w:cs="Arial"/>
                <w:color w:val="000000"/>
                <w:szCs w:val="24"/>
                <w:lang w:eastAsia="cs-CZ"/>
              </w:rPr>
            </w:pPr>
            <w:r w:rsidRPr="00A15FB7">
              <w:rPr>
                <w:rFonts w:eastAsia="Times New Roman" w:cs="Arial"/>
                <w:color w:val="000000"/>
                <w:szCs w:val="24"/>
                <w:lang w:eastAsia="cs-CZ"/>
              </w:rPr>
              <w:t>sledované období</w:t>
            </w:r>
          </w:p>
        </w:tc>
        <w:tc>
          <w:tcPr>
            <w:tcW w:w="13041" w:type="dxa"/>
            <w:gridSpan w:val="9"/>
            <w:tcBorders>
              <w:top w:val="single" w:sz="4" w:space="0" w:color="auto"/>
              <w:left w:val="nil"/>
              <w:bottom w:val="single" w:sz="8" w:space="0" w:color="auto"/>
              <w:right w:val="single" w:sz="8" w:space="0" w:color="000000"/>
            </w:tcBorders>
            <w:shd w:val="clear" w:color="auto" w:fill="auto"/>
            <w:hideMark/>
          </w:tcPr>
          <w:p w:rsidR="00A15FB7" w:rsidRDefault="00A15FB7" w:rsidP="00D152C4">
            <w:pPr>
              <w:spacing w:before="120" w:after="120" w:line="240" w:lineRule="auto"/>
              <w:rPr>
                <w:rFonts w:eastAsia="Times New Roman" w:cs="Arial"/>
                <w:color w:val="000000"/>
                <w:szCs w:val="24"/>
                <w:lang w:eastAsia="cs-CZ"/>
              </w:rPr>
            </w:pPr>
            <w:r w:rsidRPr="00A15FB7">
              <w:rPr>
                <w:rFonts w:eastAsia="Times New Roman" w:cs="Arial"/>
                <w:color w:val="000000"/>
                <w:szCs w:val="24"/>
                <w:lang w:eastAsia="cs-CZ"/>
              </w:rPr>
              <w:t xml:space="preserve">ÚP ČR se v roce 2016 zaměřil, stejně jako v předchozím období, na budování lokálních sítí zaměstnanosti, jejichž prostřednictvím dochází k propojení jednotlivých subjektů na trhu práce. Cílem je komplexní a společné řešení problematiky zaměstnanosti, vzájemné předávání zkušeností a know-how. Dílčími úkoly jsou realizace aktivního monitoringu trhu práce, prohlubování spolupráce se zaměstnavateli a iniciativa v oblasti efektivního fungování poradních sborů při ÚP ČR. V roce 2016 bylo realizováno celkem 161 setkání poradních sborů na krajských i lokálních úrovních. </w:t>
            </w:r>
            <w:r w:rsidRPr="00A15FB7">
              <w:rPr>
                <w:rFonts w:eastAsia="Times New Roman" w:cs="Arial"/>
                <w:color w:val="000000"/>
                <w:szCs w:val="24"/>
                <w:lang w:eastAsia="cs-CZ"/>
              </w:rPr>
              <w:br/>
              <w:t>Cílem monitoringu trhu práce je zjišťování skutečných stavů a pohybů zaměstnan</w:t>
            </w:r>
            <w:r w:rsidR="00D229A2">
              <w:rPr>
                <w:rFonts w:eastAsia="Times New Roman" w:cs="Arial"/>
                <w:color w:val="000000"/>
                <w:szCs w:val="24"/>
                <w:lang w:eastAsia="cs-CZ"/>
              </w:rPr>
              <w:t>ců u zaměstnavatelů, navázání a </w:t>
            </w:r>
            <w:r w:rsidRPr="00A15FB7">
              <w:rPr>
                <w:rFonts w:eastAsia="Times New Roman" w:cs="Arial"/>
                <w:color w:val="000000"/>
                <w:szCs w:val="24"/>
                <w:lang w:eastAsia="cs-CZ"/>
              </w:rPr>
              <w:t xml:space="preserve">prohlubování spolupráce mezi ÚP ČR a zaměstnavateli v regionech. Pravidelné získávání relevantních podkladů pro mapování situace na regionálním trhu práce a průběžné zjišťování potřeb zaměstnavatelů v oblasti jejich poptávky po pracovní síle vede k efektivnější realizaci APZ. Aktivní osobní setkávání se zaměstnavateli ve všech regionech ČR slouží mimo jiné také k přímému získávání VPM a přispívá k úspěšnějšímu umísťování </w:t>
            </w:r>
            <w:proofErr w:type="spellStart"/>
            <w:r w:rsidRPr="00A15FB7">
              <w:rPr>
                <w:rFonts w:eastAsia="Times New Roman" w:cs="Arial"/>
                <w:color w:val="000000"/>
                <w:szCs w:val="24"/>
                <w:lang w:eastAsia="cs-CZ"/>
              </w:rPr>
              <w:t>UoZ</w:t>
            </w:r>
            <w:proofErr w:type="spellEnd"/>
            <w:r w:rsidRPr="00A15FB7">
              <w:rPr>
                <w:rFonts w:eastAsia="Times New Roman" w:cs="Arial"/>
                <w:color w:val="000000"/>
                <w:szCs w:val="24"/>
                <w:lang w:eastAsia="cs-CZ"/>
              </w:rPr>
              <w:t xml:space="preserve"> z evidence ÚP ČR.</w:t>
            </w:r>
          </w:p>
          <w:p w:rsidR="00912C16" w:rsidRPr="00A15FB7" w:rsidRDefault="00912C16" w:rsidP="001B6EAC">
            <w:pPr>
              <w:spacing w:before="120" w:after="120" w:line="240" w:lineRule="auto"/>
              <w:rPr>
                <w:rFonts w:eastAsia="Times New Roman" w:cs="Arial"/>
                <w:color w:val="000000"/>
                <w:szCs w:val="24"/>
                <w:lang w:eastAsia="cs-CZ"/>
              </w:rPr>
            </w:pPr>
            <w:r>
              <w:rPr>
                <w:rFonts w:eastAsia="Times New Roman" w:cs="Arial"/>
                <w:color w:val="000000"/>
                <w:szCs w:val="24"/>
                <w:lang w:eastAsia="cs-CZ"/>
              </w:rPr>
              <w:t>Ve výzvě č. 55 OP Z zaměřené na podporu aktivit teritoriálních paktů zaměstnanosti v práci se znevýhodněnými skupinami bylo podpořeno 12 projektů o objemu 107,3 mil. Kč.</w:t>
            </w:r>
          </w:p>
        </w:tc>
      </w:tr>
    </w:tbl>
    <w:p w:rsidR="00B3237D" w:rsidRDefault="00B3237D" w:rsidP="00D152C4">
      <w:pPr>
        <w:spacing w:line="240" w:lineRule="auto"/>
      </w:pPr>
    </w:p>
    <w:sectPr w:rsidR="00B3237D" w:rsidSect="00495EF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3F8" w:rsidRDefault="000D73F8" w:rsidP="00A93F0C">
      <w:pPr>
        <w:spacing w:line="240" w:lineRule="auto"/>
      </w:pPr>
      <w:r>
        <w:separator/>
      </w:r>
    </w:p>
  </w:endnote>
  <w:endnote w:type="continuationSeparator" w:id="0">
    <w:p w:rsidR="000D73F8" w:rsidRDefault="000D73F8" w:rsidP="00A93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79904"/>
      <w:docPartObj>
        <w:docPartGallery w:val="Page Numbers (Bottom of Page)"/>
        <w:docPartUnique/>
      </w:docPartObj>
    </w:sdtPr>
    <w:sdtEndPr/>
    <w:sdtContent>
      <w:p w:rsidR="000D73F8" w:rsidRDefault="000D73F8">
        <w:pPr>
          <w:pStyle w:val="Zpat"/>
          <w:jc w:val="center"/>
        </w:pPr>
        <w:r>
          <w:fldChar w:fldCharType="begin"/>
        </w:r>
        <w:r>
          <w:instrText>PAGE   \* MERGEFORMAT</w:instrText>
        </w:r>
        <w:r>
          <w:fldChar w:fldCharType="separate"/>
        </w:r>
        <w:r w:rsidR="00AB7C96">
          <w:rPr>
            <w:noProof/>
          </w:rPr>
          <w:t>i</w:t>
        </w:r>
        <w:r>
          <w:fldChar w:fldCharType="end"/>
        </w:r>
      </w:p>
    </w:sdtContent>
  </w:sdt>
  <w:p w:rsidR="000D73F8" w:rsidRDefault="000D73F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77139"/>
      <w:docPartObj>
        <w:docPartGallery w:val="Page Numbers (Bottom of Page)"/>
        <w:docPartUnique/>
      </w:docPartObj>
    </w:sdtPr>
    <w:sdtEndPr/>
    <w:sdtContent>
      <w:p w:rsidR="000D73F8" w:rsidRDefault="000D73F8">
        <w:pPr>
          <w:pStyle w:val="Zpat"/>
          <w:jc w:val="center"/>
        </w:pPr>
        <w:r>
          <w:fldChar w:fldCharType="begin"/>
        </w:r>
        <w:r>
          <w:instrText>PAGE   \* MERGEFORMAT</w:instrText>
        </w:r>
        <w:r>
          <w:fldChar w:fldCharType="separate"/>
        </w:r>
        <w:r>
          <w:rPr>
            <w:noProof/>
          </w:rPr>
          <w:t>1</w:t>
        </w:r>
        <w:r>
          <w:fldChar w:fldCharType="end"/>
        </w:r>
      </w:p>
    </w:sdtContent>
  </w:sdt>
  <w:p w:rsidR="000D73F8" w:rsidRDefault="000D73F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409557"/>
      <w:docPartObj>
        <w:docPartGallery w:val="Page Numbers (Bottom of Page)"/>
        <w:docPartUnique/>
      </w:docPartObj>
    </w:sdtPr>
    <w:sdtEndPr/>
    <w:sdtContent>
      <w:p w:rsidR="000D73F8" w:rsidRDefault="000D73F8">
        <w:pPr>
          <w:pStyle w:val="Zpat"/>
          <w:jc w:val="center"/>
        </w:pPr>
        <w:r>
          <w:fldChar w:fldCharType="begin"/>
        </w:r>
        <w:r>
          <w:instrText>PAGE   \* MERGEFORMAT</w:instrText>
        </w:r>
        <w:r>
          <w:fldChar w:fldCharType="separate"/>
        </w:r>
        <w:r w:rsidR="00AB7C96">
          <w:rPr>
            <w:noProof/>
          </w:rPr>
          <w:t>i</w:t>
        </w:r>
        <w:r>
          <w:fldChar w:fldCharType="end"/>
        </w:r>
      </w:p>
    </w:sdtContent>
  </w:sdt>
  <w:p w:rsidR="000D73F8" w:rsidRDefault="000D73F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812998"/>
      <w:docPartObj>
        <w:docPartGallery w:val="Page Numbers (Bottom of Page)"/>
        <w:docPartUnique/>
      </w:docPartObj>
    </w:sdtPr>
    <w:sdtEndPr/>
    <w:sdtContent>
      <w:p w:rsidR="000D73F8" w:rsidRDefault="000D73F8">
        <w:pPr>
          <w:pStyle w:val="Zpat"/>
          <w:jc w:val="center"/>
        </w:pPr>
        <w:r>
          <w:fldChar w:fldCharType="begin"/>
        </w:r>
        <w:r>
          <w:instrText>PAGE   \* MERGEFORMAT</w:instrText>
        </w:r>
        <w:r>
          <w:fldChar w:fldCharType="separate"/>
        </w:r>
        <w:r w:rsidR="00AB7C96">
          <w:rPr>
            <w:noProof/>
          </w:rPr>
          <w:t>10</w:t>
        </w:r>
        <w:r>
          <w:fldChar w:fldCharType="end"/>
        </w:r>
      </w:p>
    </w:sdtContent>
  </w:sdt>
  <w:p w:rsidR="000D73F8" w:rsidRDefault="000D73F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3F8" w:rsidRDefault="000D73F8" w:rsidP="00A93F0C">
      <w:pPr>
        <w:spacing w:line="240" w:lineRule="auto"/>
      </w:pPr>
      <w:r>
        <w:separator/>
      </w:r>
    </w:p>
  </w:footnote>
  <w:footnote w:type="continuationSeparator" w:id="0">
    <w:p w:rsidR="000D73F8" w:rsidRDefault="000D73F8" w:rsidP="00A93F0C">
      <w:pPr>
        <w:spacing w:line="240" w:lineRule="auto"/>
      </w:pPr>
      <w:r>
        <w:continuationSeparator/>
      </w:r>
    </w:p>
  </w:footnote>
  <w:footnote w:id="1">
    <w:p w:rsidR="000D73F8" w:rsidRDefault="000D73F8">
      <w:pPr>
        <w:pStyle w:val="Textpoznpodarou"/>
      </w:pPr>
      <w:r>
        <w:rPr>
          <w:rStyle w:val="Znakapoznpodarou"/>
        </w:rPr>
        <w:footnoteRef/>
      </w:r>
      <w:r>
        <w:t xml:space="preserve"> Není-li v materiálu uvedeno jinak, jsou využita data MPSV dostupná z Integrovaného portálu MPSV, </w:t>
      </w:r>
      <w:hyperlink r:id="rId1" w:history="1">
        <w:r w:rsidRPr="00FB5F94">
          <w:rPr>
            <w:rStyle w:val="Hypertextovodkaz"/>
          </w:rPr>
          <w:t>www.portal.mpsv.cz</w:t>
        </w:r>
      </w:hyperlink>
      <w:r>
        <w:t xml:space="preserve"> </w:t>
      </w:r>
    </w:p>
  </w:footnote>
  <w:footnote w:id="2">
    <w:p w:rsidR="000D73F8" w:rsidRDefault="000D73F8">
      <w:pPr>
        <w:pStyle w:val="Textpoznpodarou"/>
      </w:pPr>
      <w:r>
        <w:rPr>
          <w:rStyle w:val="Znakapoznpodarou"/>
        </w:rPr>
        <w:footnoteRef/>
      </w:r>
      <w:r>
        <w:t xml:space="preserve"> V lednu 2017 vzrostl počet registrovaných </w:t>
      </w:r>
      <w:proofErr w:type="spellStart"/>
      <w:r>
        <w:t>UoZ</w:t>
      </w:r>
      <w:proofErr w:type="spellEnd"/>
      <w:r>
        <w:t xml:space="preserve"> na 389 416 osob. Souběžně stoupl počet VPM na 135 536, na 1 VPM tak připadalo 2,87 </w:t>
      </w:r>
      <w:proofErr w:type="spellStart"/>
      <w:r>
        <w:t>UoZ</w:t>
      </w:r>
      <w:proofErr w:type="spellEnd"/>
      <w:r>
        <w:t>.</w:t>
      </w:r>
    </w:p>
  </w:footnote>
  <w:footnote w:id="3">
    <w:p w:rsidR="000D73F8" w:rsidRDefault="000D73F8">
      <w:pPr>
        <w:pStyle w:val="Textpoznpodarou"/>
      </w:pPr>
      <w:r>
        <w:rPr>
          <w:rStyle w:val="Znakapoznpodarou"/>
        </w:rPr>
        <w:footnoteRef/>
      </w:r>
      <w:r>
        <w:t xml:space="preserve"> Data ISPV za 3Q 2016 nejsou rozlišena dle pohlaví. </w:t>
      </w:r>
    </w:p>
  </w:footnote>
  <w:footnote w:id="4">
    <w:p w:rsidR="000D73F8" w:rsidRDefault="000D73F8">
      <w:pPr>
        <w:pStyle w:val="Textpoznpodarou"/>
      </w:pPr>
      <w:r>
        <w:rPr>
          <w:rStyle w:val="Znakapoznpodarou"/>
        </w:rPr>
        <w:footnoteRef/>
      </w:r>
      <w:r>
        <w:t xml:space="preserve"> Dle VŠPS ve 3Q 2016 podíl VŠ vzdělaných žen na celkové zaměstnanosti žen činil 25,9 %, u mužů jen 22,8 %. Nicméně mezi zaměstnanými ženami je rovněž mírně vyšší zastoupení osob s nejvýše dosaženým základním vzděláním (4,7 %) než mezi muži (3,6 %).</w:t>
      </w:r>
    </w:p>
  </w:footnote>
  <w:footnote w:id="5">
    <w:p w:rsidR="000D73F8" w:rsidRDefault="000D73F8" w:rsidP="00C37A04">
      <w:pPr>
        <w:pStyle w:val="Textpoznpodarou"/>
      </w:pPr>
      <w:r>
        <w:rPr>
          <w:rStyle w:val="Znakapoznpodarou"/>
        </w:rPr>
        <w:footnoteRef/>
      </w:r>
      <w:r>
        <w:t xml:space="preserve"> Vypočteno na základě dat ISPV z údajů za podskupiny CZ-ISCO, odkaz: </w:t>
      </w:r>
      <w:hyperlink r:id="rId2" w:history="1">
        <w:r w:rsidRPr="00495400">
          <w:rPr>
            <w:rStyle w:val="Hypertextovodkaz"/>
          </w:rPr>
          <w:t>http://www.ispv.cz/</w:t>
        </w:r>
      </w:hyperlink>
      <w:r>
        <w:t xml:space="preserve"> </w:t>
      </w:r>
    </w:p>
  </w:footnote>
  <w:footnote w:id="6">
    <w:p w:rsidR="000D73F8" w:rsidRDefault="000D73F8">
      <w:pPr>
        <w:pStyle w:val="Textpoznpodarou"/>
      </w:pPr>
      <w:r>
        <w:rPr>
          <w:rStyle w:val="Znakapoznpodarou"/>
        </w:rPr>
        <w:footnoteRef/>
      </w:r>
      <w:r>
        <w:t xml:space="preserve"> taktéž, s ohledem významnější zastoupení cizích státních příslušníků mezi sezónními profesemi je porovnáván stav mezi 1. pololetími</w:t>
      </w:r>
    </w:p>
  </w:footnote>
  <w:footnote w:id="7">
    <w:p w:rsidR="000D73F8" w:rsidRDefault="000D73F8">
      <w:pPr>
        <w:pStyle w:val="Textpoznpodarou"/>
      </w:pPr>
      <w:r>
        <w:rPr>
          <w:rStyle w:val="Znakapoznpodarou"/>
        </w:rPr>
        <w:footnoteRef/>
      </w:r>
      <w:r>
        <w:t xml:space="preserve"> Na tento jev lze usuzovat z vývoje přirozeného přírůstku/úbytku obyvatelstva dle ČSÚ, resp. na základě zvýšené plodnosti letech 2008-2011 a 2015-16 a zároveň při zohlednění prodlužujícího se věku ženy při narození 1. dítěte (v posledních letech kolem 28 let) a zohlednění doby rodičovské dovolené</w:t>
      </w:r>
    </w:p>
  </w:footnote>
  <w:footnote w:id="8">
    <w:p w:rsidR="000D73F8" w:rsidRDefault="000D73F8">
      <w:pPr>
        <w:pStyle w:val="Textpoznpodarou"/>
      </w:pPr>
      <w:r>
        <w:rPr>
          <w:rStyle w:val="Znakapoznpodarou"/>
        </w:rPr>
        <w:footnoteRef/>
      </w:r>
      <w:r>
        <w:t xml:space="preserve"> sledování počtu </w:t>
      </w:r>
      <w:proofErr w:type="spellStart"/>
      <w:r>
        <w:t>UoZ</w:t>
      </w:r>
      <w:proofErr w:type="spellEnd"/>
      <w:r>
        <w:t xml:space="preserve"> vykonávajícího nekolidující zaměstnání ke konci sledovaného měsíce namísto počtu </w:t>
      </w:r>
      <w:proofErr w:type="spellStart"/>
      <w:r>
        <w:t>UoZ</w:t>
      </w:r>
      <w:proofErr w:type="spellEnd"/>
      <w:r>
        <w:t xml:space="preserve"> vykonávajících nekolidující zaměstnání alespoň jeden den v měsíci lépe vypovídá o dlouhodobější činnosti v mezích § 25 odst. 3 zákona o zaměstnanosti</w:t>
      </w:r>
    </w:p>
  </w:footnote>
  <w:footnote w:id="9">
    <w:p w:rsidR="000D73F8" w:rsidRDefault="000D73F8" w:rsidP="008331D8">
      <w:pPr>
        <w:pStyle w:val="Textpoznpodarou"/>
      </w:pPr>
      <w:r>
        <w:rPr>
          <w:rStyle w:val="Znakapoznpodarou"/>
        </w:rPr>
        <w:footnoteRef/>
      </w:r>
      <w:r>
        <w:t xml:space="preserve"> Počty vztahující se k cizincům v postavení zaměstnanců jsou kvalifikovanými odhady.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96" w:rsidRPr="00AB7C96" w:rsidRDefault="00AB7C96" w:rsidP="00AB7C96">
    <w:pPr>
      <w:pStyle w:val="Zhlav"/>
      <w:jc w:val="right"/>
      <w:rPr>
        <w:b/>
      </w:rPr>
    </w:pPr>
    <w:r w:rsidRPr="00AB7C96">
      <w:rPr>
        <w:b/>
      </w:rPr>
      <w:t>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96" w:rsidRDefault="00AB7C96" w:rsidP="00AB7C96">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5D76"/>
    <w:multiLevelType w:val="hybridMultilevel"/>
    <w:tmpl w:val="96AEF50E"/>
    <w:lvl w:ilvl="0" w:tplc="F8709F2A">
      <w:start w:val="2"/>
      <w:numFmt w:val="bullet"/>
      <w:lvlText w:val="-"/>
      <w:lvlJc w:val="left"/>
      <w:pPr>
        <w:ind w:left="720" w:hanging="360"/>
      </w:pPr>
      <w:rPr>
        <w:rFonts w:ascii="Arial" w:eastAsiaTheme="minorHAns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2A6347"/>
    <w:multiLevelType w:val="hybridMultilevel"/>
    <w:tmpl w:val="C9F42016"/>
    <w:lvl w:ilvl="0" w:tplc="F8709F2A">
      <w:start w:val="2"/>
      <w:numFmt w:val="bullet"/>
      <w:lvlText w:val="-"/>
      <w:lvlJc w:val="left"/>
      <w:pPr>
        <w:ind w:left="360" w:hanging="360"/>
      </w:pPr>
      <w:rPr>
        <w:rFonts w:ascii="Arial" w:eastAsiaTheme="minorHAnsi"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25671C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6A83D56"/>
    <w:multiLevelType w:val="hybridMultilevel"/>
    <w:tmpl w:val="87E26B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74C3B83"/>
    <w:multiLevelType w:val="hybridMultilevel"/>
    <w:tmpl w:val="0A48B868"/>
    <w:lvl w:ilvl="0" w:tplc="7CA6927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00D12D0"/>
    <w:multiLevelType w:val="hybridMultilevel"/>
    <w:tmpl w:val="E800D24A"/>
    <w:lvl w:ilvl="0" w:tplc="F8709F2A">
      <w:start w:val="2"/>
      <w:numFmt w:val="bullet"/>
      <w:lvlText w:val="-"/>
      <w:lvlJc w:val="left"/>
      <w:pPr>
        <w:ind w:left="720" w:hanging="360"/>
      </w:pPr>
      <w:rPr>
        <w:rFonts w:ascii="Arial" w:eastAsiaTheme="minorHAns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224639"/>
    <w:multiLevelType w:val="hybridMultilevel"/>
    <w:tmpl w:val="6BF63586"/>
    <w:lvl w:ilvl="0" w:tplc="233ADC9A">
      <w:start w:val="2"/>
      <w:numFmt w:val="decimal"/>
      <w:lvlText w:val="%1.c"/>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6F4E5327"/>
    <w:multiLevelType w:val="hybridMultilevel"/>
    <w:tmpl w:val="99444698"/>
    <w:lvl w:ilvl="0" w:tplc="A814ACDC">
      <w:start w:val="1"/>
      <w:numFmt w:val="upperLetter"/>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3D44AAC"/>
    <w:multiLevelType w:val="hybridMultilevel"/>
    <w:tmpl w:val="EE385A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7A70D7F"/>
    <w:multiLevelType w:val="multilevel"/>
    <w:tmpl w:val="78303A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80B08A3"/>
    <w:multiLevelType w:val="multilevel"/>
    <w:tmpl w:val="B76C4EDA"/>
    <w:lvl w:ilvl="0">
      <w:start w:val="1"/>
      <w:numFmt w:val="ordinal"/>
      <w:pStyle w:val="Nadpis2"/>
      <w:lvlText w:val="%1"/>
      <w:lvlJc w:val="left"/>
      <w:pPr>
        <w:ind w:left="360" w:hanging="360"/>
      </w:pPr>
      <w:rPr>
        <w:rFonts w:hint="default"/>
      </w:rPr>
    </w:lvl>
    <w:lvl w:ilvl="1">
      <w:start w:val="1"/>
      <w:numFmt w:val="ordinal"/>
      <w:pStyle w:val="Nadpis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BCF1416"/>
    <w:multiLevelType w:val="hybridMultilevel"/>
    <w:tmpl w:val="98EAF1CA"/>
    <w:lvl w:ilvl="0" w:tplc="F8709F2A">
      <w:start w:val="2"/>
      <w:numFmt w:val="bullet"/>
      <w:lvlText w:val="-"/>
      <w:lvlJc w:val="left"/>
      <w:pPr>
        <w:ind w:left="720" w:hanging="360"/>
      </w:pPr>
      <w:rPr>
        <w:rFonts w:ascii="Arial" w:eastAsiaTheme="minorHAns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9"/>
  </w:num>
  <w:num w:numId="5">
    <w:abstractNumId w:val="8"/>
  </w:num>
  <w:num w:numId="6">
    <w:abstractNumId w:val="10"/>
  </w:num>
  <w:num w:numId="7">
    <w:abstractNumId w:val="10"/>
  </w:num>
  <w:num w:numId="8">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2"/>
  </w:num>
  <w:num w:numId="13">
    <w:abstractNumId w:val="5"/>
  </w:num>
  <w:num w:numId="14">
    <w:abstractNumId w:val="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13"/>
    <w:rsid w:val="000011C8"/>
    <w:rsid w:val="00001791"/>
    <w:rsid w:val="000067AD"/>
    <w:rsid w:val="00007C95"/>
    <w:rsid w:val="00011F37"/>
    <w:rsid w:val="00017052"/>
    <w:rsid w:val="000176E9"/>
    <w:rsid w:val="00023AEE"/>
    <w:rsid w:val="00031F57"/>
    <w:rsid w:val="00057D4A"/>
    <w:rsid w:val="00064A77"/>
    <w:rsid w:val="000718F9"/>
    <w:rsid w:val="00071A20"/>
    <w:rsid w:val="00080469"/>
    <w:rsid w:val="000838B5"/>
    <w:rsid w:val="000901EA"/>
    <w:rsid w:val="000909E0"/>
    <w:rsid w:val="00094E17"/>
    <w:rsid w:val="0009627B"/>
    <w:rsid w:val="0009773F"/>
    <w:rsid w:val="000A0CD4"/>
    <w:rsid w:val="000A2CB2"/>
    <w:rsid w:val="000B097A"/>
    <w:rsid w:val="000B2593"/>
    <w:rsid w:val="000B37B2"/>
    <w:rsid w:val="000B4300"/>
    <w:rsid w:val="000C3CA7"/>
    <w:rsid w:val="000D7385"/>
    <w:rsid w:val="000D73F8"/>
    <w:rsid w:val="000D749F"/>
    <w:rsid w:val="000E0C7B"/>
    <w:rsid w:val="000E641D"/>
    <w:rsid w:val="000F473F"/>
    <w:rsid w:val="001126A7"/>
    <w:rsid w:val="001324AF"/>
    <w:rsid w:val="00132DCB"/>
    <w:rsid w:val="00134C4A"/>
    <w:rsid w:val="001376A1"/>
    <w:rsid w:val="00137DAF"/>
    <w:rsid w:val="00142437"/>
    <w:rsid w:val="0014530E"/>
    <w:rsid w:val="00153127"/>
    <w:rsid w:val="00154D38"/>
    <w:rsid w:val="00164959"/>
    <w:rsid w:val="0017309F"/>
    <w:rsid w:val="001805AE"/>
    <w:rsid w:val="00184D13"/>
    <w:rsid w:val="001875F7"/>
    <w:rsid w:val="001879FC"/>
    <w:rsid w:val="00193EA4"/>
    <w:rsid w:val="001A257F"/>
    <w:rsid w:val="001A4515"/>
    <w:rsid w:val="001A4D4E"/>
    <w:rsid w:val="001A60FA"/>
    <w:rsid w:val="001B6EAC"/>
    <w:rsid w:val="001C2CB3"/>
    <w:rsid w:val="001C77E3"/>
    <w:rsid w:val="001C7F7C"/>
    <w:rsid w:val="00205704"/>
    <w:rsid w:val="002277E2"/>
    <w:rsid w:val="00245CB0"/>
    <w:rsid w:val="002503C3"/>
    <w:rsid w:val="002630F2"/>
    <w:rsid w:val="00266571"/>
    <w:rsid w:val="00273A07"/>
    <w:rsid w:val="00277811"/>
    <w:rsid w:val="0028515D"/>
    <w:rsid w:val="00286F14"/>
    <w:rsid w:val="002920E4"/>
    <w:rsid w:val="00293487"/>
    <w:rsid w:val="002B6A5F"/>
    <w:rsid w:val="002C520E"/>
    <w:rsid w:val="002D3AE4"/>
    <w:rsid w:val="002E06B8"/>
    <w:rsid w:val="002E7DE6"/>
    <w:rsid w:val="00300ECD"/>
    <w:rsid w:val="003015EB"/>
    <w:rsid w:val="00301F26"/>
    <w:rsid w:val="0031717A"/>
    <w:rsid w:val="0032573A"/>
    <w:rsid w:val="003406F0"/>
    <w:rsid w:val="00344370"/>
    <w:rsid w:val="0036078A"/>
    <w:rsid w:val="00363831"/>
    <w:rsid w:val="00375AC9"/>
    <w:rsid w:val="00375D0A"/>
    <w:rsid w:val="00397DA4"/>
    <w:rsid w:val="003A1096"/>
    <w:rsid w:val="003A1CC9"/>
    <w:rsid w:val="003D561C"/>
    <w:rsid w:val="003E48B4"/>
    <w:rsid w:val="00420C22"/>
    <w:rsid w:val="00426516"/>
    <w:rsid w:val="00447DE6"/>
    <w:rsid w:val="00451611"/>
    <w:rsid w:val="00451647"/>
    <w:rsid w:val="00451C97"/>
    <w:rsid w:val="004540BE"/>
    <w:rsid w:val="0046284D"/>
    <w:rsid w:val="00473DD2"/>
    <w:rsid w:val="004765F0"/>
    <w:rsid w:val="004765F1"/>
    <w:rsid w:val="00484D3B"/>
    <w:rsid w:val="00490681"/>
    <w:rsid w:val="00495EFE"/>
    <w:rsid w:val="004A5D48"/>
    <w:rsid w:val="004B5C8E"/>
    <w:rsid w:val="004C0803"/>
    <w:rsid w:val="004D24EE"/>
    <w:rsid w:val="004E01C9"/>
    <w:rsid w:val="004F7612"/>
    <w:rsid w:val="00506E2B"/>
    <w:rsid w:val="00513E71"/>
    <w:rsid w:val="00526EEC"/>
    <w:rsid w:val="00534DB8"/>
    <w:rsid w:val="005453C2"/>
    <w:rsid w:val="00560364"/>
    <w:rsid w:val="00575F2F"/>
    <w:rsid w:val="005825B5"/>
    <w:rsid w:val="005A12E0"/>
    <w:rsid w:val="005C27F3"/>
    <w:rsid w:val="005E4A7D"/>
    <w:rsid w:val="005E7C7C"/>
    <w:rsid w:val="005F0059"/>
    <w:rsid w:val="005F2724"/>
    <w:rsid w:val="00627BF9"/>
    <w:rsid w:val="0064576D"/>
    <w:rsid w:val="006518DF"/>
    <w:rsid w:val="0065511E"/>
    <w:rsid w:val="00670437"/>
    <w:rsid w:val="006832D4"/>
    <w:rsid w:val="00695D11"/>
    <w:rsid w:val="006961A0"/>
    <w:rsid w:val="006A294D"/>
    <w:rsid w:val="006A7C69"/>
    <w:rsid w:val="006B50B2"/>
    <w:rsid w:val="006C0D51"/>
    <w:rsid w:val="006C69D7"/>
    <w:rsid w:val="006D5295"/>
    <w:rsid w:val="006D5E41"/>
    <w:rsid w:val="006E5B81"/>
    <w:rsid w:val="006F3F6B"/>
    <w:rsid w:val="006F4362"/>
    <w:rsid w:val="007102CA"/>
    <w:rsid w:val="007128B9"/>
    <w:rsid w:val="00713BAA"/>
    <w:rsid w:val="00741467"/>
    <w:rsid w:val="00741B62"/>
    <w:rsid w:val="00754536"/>
    <w:rsid w:val="007636D8"/>
    <w:rsid w:val="00784C47"/>
    <w:rsid w:val="0078711A"/>
    <w:rsid w:val="007B3CC0"/>
    <w:rsid w:val="007C41BF"/>
    <w:rsid w:val="007D4AF2"/>
    <w:rsid w:val="007F2863"/>
    <w:rsid w:val="007F2CB4"/>
    <w:rsid w:val="00823FAE"/>
    <w:rsid w:val="008331D8"/>
    <w:rsid w:val="00837CDC"/>
    <w:rsid w:val="008523B5"/>
    <w:rsid w:val="00881A0C"/>
    <w:rsid w:val="00881B08"/>
    <w:rsid w:val="008828D3"/>
    <w:rsid w:val="008957A5"/>
    <w:rsid w:val="008A501E"/>
    <w:rsid w:val="008B0509"/>
    <w:rsid w:val="008B6EAE"/>
    <w:rsid w:val="008C0148"/>
    <w:rsid w:val="008C4B0C"/>
    <w:rsid w:val="008D5084"/>
    <w:rsid w:val="00901930"/>
    <w:rsid w:val="00912C16"/>
    <w:rsid w:val="0091421A"/>
    <w:rsid w:val="009153E9"/>
    <w:rsid w:val="00920BB4"/>
    <w:rsid w:val="00943210"/>
    <w:rsid w:val="00943FE9"/>
    <w:rsid w:val="00983B04"/>
    <w:rsid w:val="009949BB"/>
    <w:rsid w:val="009A4989"/>
    <w:rsid w:val="009A4A77"/>
    <w:rsid w:val="009B4C97"/>
    <w:rsid w:val="009B7658"/>
    <w:rsid w:val="009C5170"/>
    <w:rsid w:val="009C6EFB"/>
    <w:rsid w:val="009E44F5"/>
    <w:rsid w:val="009E45E4"/>
    <w:rsid w:val="009F1FBB"/>
    <w:rsid w:val="00A031FB"/>
    <w:rsid w:val="00A04A84"/>
    <w:rsid w:val="00A101FF"/>
    <w:rsid w:val="00A14AD7"/>
    <w:rsid w:val="00A15FB7"/>
    <w:rsid w:val="00A25BDE"/>
    <w:rsid w:val="00A37EA8"/>
    <w:rsid w:val="00A477CF"/>
    <w:rsid w:val="00A629BC"/>
    <w:rsid w:val="00A70D05"/>
    <w:rsid w:val="00A748B6"/>
    <w:rsid w:val="00A93F0C"/>
    <w:rsid w:val="00A94071"/>
    <w:rsid w:val="00AA258A"/>
    <w:rsid w:val="00AA6B8B"/>
    <w:rsid w:val="00AB0A51"/>
    <w:rsid w:val="00AB7468"/>
    <w:rsid w:val="00AB7C96"/>
    <w:rsid w:val="00AC08BA"/>
    <w:rsid w:val="00AD59F6"/>
    <w:rsid w:val="00AE6880"/>
    <w:rsid w:val="00B03E76"/>
    <w:rsid w:val="00B07FDA"/>
    <w:rsid w:val="00B3237D"/>
    <w:rsid w:val="00B338AA"/>
    <w:rsid w:val="00B346DC"/>
    <w:rsid w:val="00B67352"/>
    <w:rsid w:val="00B76143"/>
    <w:rsid w:val="00BE4141"/>
    <w:rsid w:val="00BE641A"/>
    <w:rsid w:val="00BF5B98"/>
    <w:rsid w:val="00C05C41"/>
    <w:rsid w:val="00C178C2"/>
    <w:rsid w:val="00C37A04"/>
    <w:rsid w:val="00C442AF"/>
    <w:rsid w:val="00C44BFF"/>
    <w:rsid w:val="00C635D3"/>
    <w:rsid w:val="00C85206"/>
    <w:rsid w:val="00C8716D"/>
    <w:rsid w:val="00C95F4D"/>
    <w:rsid w:val="00CB271C"/>
    <w:rsid w:val="00CD4E07"/>
    <w:rsid w:val="00D03B61"/>
    <w:rsid w:val="00D05A1E"/>
    <w:rsid w:val="00D152C4"/>
    <w:rsid w:val="00D1791F"/>
    <w:rsid w:val="00D17BC6"/>
    <w:rsid w:val="00D2004C"/>
    <w:rsid w:val="00D229A2"/>
    <w:rsid w:val="00D2661E"/>
    <w:rsid w:val="00D2667F"/>
    <w:rsid w:val="00D304CD"/>
    <w:rsid w:val="00D3288D"/>
    <w:rsid w:val="00D4152A"/>
    <w:rsid w:val="00D4495D"/>
    <w:rsid w:val="00D47A69"/>
    <w:rsid w:val="00D5054B"/>
    <w:rsid w:val="00D540F0"/>
    <w:rsid w:val="00D562F4"/>
    <w:rsid w:val="00D76537"/>
    <w:rsid w:val="00D806DD"/>
    <w:rsid w:val="00D81F51"/>
    <w:rsid w:val="00D97B43"/>
    <w:rsid w:val="00DA2444"/>
    <w:rsid w:val="00DA350A"/>
    <w:rsid w:val="00DA4EE1"/>
    <w:rsid w:val="00DA58DC"/>
    <w:rsid w:val="00DA7EE2"/>
    <w:rsid w:val="00DC39EE"/>
    <w:rsid w:val="00E17241"/>
    <w:rsid w:val="00E17CFD"/>
    <w:rsid w:val="00E20DEF"/>
    <w:rsid w:val="00E263FE"/>
    <w:rsid w:val="00E47A50"/>
    <w:rsid w:val="00E56EA6"/>
    <w:rsid w:val="00EC3D25"/>
    <w:rsid w:val="00EE055B"/>
    <w:rsid w:val="00EF10D5"/>
    <w:rsid w:val="00EF1712"/>
    <w:rsid w:val="00EF66B9"/>
    <w:rsid w:val="00F00F0F"/>
    <w:rsid w:val="00F03D56"/>
    <w:rsid w:val="00F047F0"/>
    <w:rsid w:val="00F07193"/>
    <w:rsid w:val="00F12274"/>
    <w:rsid w:val="00F14D34"/>
    <w:rsid w:val="00F2073F"/>
    <w:rsid w:val="00F31E71"/>
    <w:rsid w:val="00F332CA"/>
    <w:rsid w:val="00F43C8D"/>
    <w:rsid w:val="00F45AA0"/>
    <w:rsid w:val="00F7108B"/>
    <w:rsid w:val="00F74BAF"/>
    <w:rsid w:val="00F81779"/>
    <w:rsid w:val="00F84522"/>
    <w:rsid w:val="00F861DB"/>
    <w:rsid w:val="00F9415B"/>
    <w:rsid w:val="00FA7AD6"/>
    <w:rsid w:val="00FB4D81"/>
    <w:rsid w:val="00FB743A"/>
    <w:rsid w:val="00FC0F0D"/>
    <w:rsid w:val="00FD05DF"/>
    <w:rsid w:val="00FD6F92"/>
    <w:rsid w:val="00FD773D"/>
    <w:rsid w:val="00FE5B58"/>
    <w:rsid w:val="00FE60DE"/>
    <w:rsid w:val="00FF2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4D13"/>
    <w:pPr>
      <w:spacing w:after="0"/>
      <w:jc w:val="both"/>
    </w:pPr>
    <w:rPr>
      <w:rFonts w:ascii="Arial" w:hAnsi="Arial"/>
      <w:sz w:val="24"/>
    </w:rPr>
  </w:style>
  <w:style w:type="paragraph" w:styleId="Nadpis1">
    <w:name w:val="heading 1"/>
    <w:basedOn w:val="Normln"/>
    <w:next w:val="Normln"/>
    <w:link w:val="Nadpis1Char"/>
    <w:uiPriority w:val="9"/>
    <w:qFormat/>
    <w:rsid w:val="007F2863"/>
    <w:pPr>
      <w:keepNext/>
      <w:keepLines/>
      <w:numPr>
        <w:numId w:val="3"/>
      </w:numPr>
      <w:spacing w:before="480"/>
      <w:jc w:val="center"/>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AE6880"/>
    <w:pPr>
      <w:keepNext/>
      <w:keepLines/>
      <w:numPr>
        <w:numId w:val="10"/>
      </w:numPr>
      <w:spacing w:before="200" w:after="120"/>
      <w:jc w:val="left"/>
      <w:outlineLvl w:val="1"/>
    </w:pPr>
    <w:rPr>
      <w:rFonts w:eastAsiaTheme="majorEastAsia" w:cstheme="majorBidi"/>
      <w:b/>
      <w:bCs/>
      <w:szCs w:val="26"/>
      <w:u w:val="single"/>
    </w:rPr>
  </w:style>
  <w:style w:type="paragraph" w:styleId="Nadpis3">
    <w:name w:val="heading 3"/>
    <w:basedOn w:val="Normln"/>
    <w:next w:val="Normln"/>
    <w:link w:val="Nadpis3Char"/>
    <w:uiPriority w:val="9"/>
    <w:unhideWhenUsed/>
    <w:qFormat/>
    <w:rsid w:val="00286F14"/>
    <w:pPr>
      <w:keepNext/>
      <w:keepLines/>
      <w:numPr>
        <w:ilvl w:val="1"/>
        <w:numId w:val="10"/>
      </w:numPr>
      <w:spacing w:before="200" w:after="200" w:line="240" w:lineRule="auto"/>
      <w:outlineLvl w:val="2"/>
    </w:pPr>
    <w:rPr>
      <w:rFonts w:eastAsiaTheme="majorEastAsia" w:cstheme="majorBidi"/>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4D1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4D13"/>
    <w:rPr>
      <w:rFonts w:ascii="Tahoma" w:hAnsi="Tahoma" w:cs="Tahoma"/>
      <w:sz w:val="16"/>
      <w:szCs w:val="16"/>
    </w:rPr>
  </w:style>
  <w:style w:type="paragraph" w:styleId="Odstavecseseznamem">
    <w:name w:val="List Paragraph"/>
    <w:basedOn w:val="Normln"/>
    <w:uiPriority w:val="34"/>
    <w:qFormat/>
    <w:rsid w:val="00184D13"/>
    <w:pPr>
      <w:ind w:left="720"/>
      <w:contextualSpacing/>
    </w:pPr>
  </w:style>
  <w:style w:type="table" w:styleId="Mkatabulky">
    <w:name w:val="Table Grid"/>
    <w:basedOn w:val="Normlntabulka"/>
    <w:uiPriority w:val="59"/>
    <w:rsid w:val="0017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132DCB"/>
    <w:pPr>
      <w:spacing w:after="200" w:line="240" w:lineRule="auto"/>
    </w:pPr>
    <w:rPr>
      <w:b/>
      <w:bCs/>
      <w:color w:val="4F81BD" w:themeColor="accent1"/>
      <w:sz w:val="18"/>
      <w:szCs w:val="18"/>
    </w:rPr>
  </w:style>
  <w:style w:type="paragraph" w:styleId="Zhlav">
    <w:name w:val="header"/>
    <w:basedOn w:val="Normln"/>
    <w:link w:val="ZhlavChar"/>
    <w:uiPriority w:val="99"/>
    <w:unhideWhenUsed/>
    <w:rsid w:val="00A93F0C"/>
    <w:pPr>
      <w:tabs>
        <w:tab w:val="center" w:pos="4536"/>
        <w:tab w:val="right" w:pos="9072"/>
      </w:tabs>
      <w:spacing w:line="240" w:lineRule="auto"/>
    </w:pPr>
  </w:style>
  <w:style w:type="character" w:customStyle="1" w:styleId="ZhlavChar">
    <w:name w:val="Záhlaví Char"/>
    <w:basedOn w:val="Standardnpsmoodstavce"/>
    <w:link w:val="Zhlav"/>
    <w:uiPriority w:val="99"/>
    <w:rsid w:val="00A93F0C"/>
    <w:rPr>
      <w:rFonts w:ascii="Arial" w:hAnsi="Arial"/>
      <w:sz w:val="24"/>
    </w:rPr>
  </w:style>
  <w:style w:type="paragraph" w:styleId="Zpat">
    <w:name w:val="footer"/>
    <w:basedOn w:val="Normln"/>
    <w:link w:val="ZpatChar"/>
    <w:uiPriority w:val="99"/>
    <w:unhideWhenUsed/>
    <w:rsid w:val="00A93F0C"/>
    <w:pPr>
      <w:tabs>
        <w:tab w:val="center" w:pos="4536"/>
        <w:tab w:val="right" w:pos="9072"/>
      </w:tabs>
      <w:spacing w:line="240" w:lineRule="auto"/>
    </w:pPr>
  </w:style>
  <w:style w:type="character" w:customStyle="1" w:styleId="ZpatChar">
    <w:name w:val="Zápatí Char"/>
    <w:basedOn w:val="Standardnpsmoodstavce"/>
    <w:link w:val="Zpat"/>
    <w:uiPriority w:val="99"/>
    <w:rsid w:val="00A93F0C"/>
    <w:rPr>
      <w:rFonts w:ascii="Arial" w:hAnsi="Arial"/>
      <w:sz w:val="24"/>
    </w:rPr>
  </w:style>
  <w:style w:type="paragraph" w:styleId="Textpoznpodarou">
    <w:name w:val="footnote text"/>
    <w:basedOn w:val="Normln"/>
    <w:link w:val="TextpoznpodarouChar"/>
    <w:uiPriority w:val="99"/>
    <w:semiHidden/>
    <w:unhideWhenUsed/>
    <w:rsid w:val="00D97B43"/>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D97B43"/>
    <w:rPr>
      <w:rFonts w:ascii="Arial" w:hAnsi="Arial"/>
      <w:sz w:val="20"/>
      <w:szCs w:val="20"/>
    </w:rPr>
  </w:style>
  <w:style w:type="character" w:styleId="Znakapoznpodarou">
    <w:name w:val="footnote reference"/>
    <w:basedOn w:val="Standardnpsmoodstavce"/>
    <w:uiPriority w:val="99"/>
    <w:semiHidden/>
    <w:unhideWhenUsed/>
    <w:rsid w:val="00D97B43"/>
    <w:rPr>
      <w:vertAlign w:val="superscript"/>
    </w:rPr>
  </w:style>
  <w:style w:type="character" w:styleId="Hypertextovodkaz">
    <w:name w:val="Hyperlink"/>
    <w:basedOn w:val="Standardnpsmoodstavce"/>
    <w:uiPriority w:val="99"/>
    <w:unhideWhenUsed/>
    <w:rsid w:val="006832D4"/>
    <w:rPr>
      <w:color w:val="0000FF" w:themeColor="hyperlink"/>
      <w:u w:val="single"/>
    </w:rPr>
  </w:style>
  <w:style w:type="character" w:customStyle="1" w:styleId="Nadpis1Char">
    <w:name w:val="Nadpis 1 Char"/>
    <w:basedOn w:val="Standardnpsmoodstavce"/>
    <w:link w:val="Nadpis1"/>
    <w:uiPriority w:val="9"/>
    <w:rsid w:val="007F2863"/>
    <w:rPr>
      <w:rFonts w:ascii="Arial" w:eastAsiaTheme="majorEastAsia" w:hAnsi="Arial" w:cstheme="majorBidi"/>
      <w:b/>
      <w:bCs/>
      <w:sz w:val="28"/>
      <w:szCs w:val="28"/>
    </w:rPr>
  </w:style>
  <w:style w:type="character" w:customStyle="1" w:styleId="Nadpis2Char">
    <w:name w:val="Nadpis 2 Char"/>
    <w:basedOn w:val="Standardnpsmoodstavce"/>
    <w:link w:val="Nadpis2"/>
    <w:uiPriority w:val="9"/>
    <w:rsid w:val="00AE6880"/>
    <w:rPr>
      <w:rFonts w:ascii="Arial" w:eastAsiaTheme="majorEastAsia" w:hAnsi="Arial" w:cstheme="majorBidi"/>
      <w:b/>
      <w:bCs/>
      <w:sz w:val="24"/>
      <w:szCs w:val="26"/>
      <w:u w:val="single"/>
    </w:rPr>
  </w:style>
  <w:style w:type="character" w:customStyle="1" w:styleId="Nadpis3Char">
    <w:name w:val="Nadpis 3 Char"/>
    <w:basedOn w:val="Standardnpsmoodstavce"/>
    <w:link w:val="Nadpis3"/>
    <w:uiPriority w:val="9"/>
    <w:rsid w:val="00286F14"/>
    <w:rPr>
      <w:rFonts w:ascii="Arial" w:eastAsiaTheme="majorEastAsia" w:hAnsi="Arial" w:cstheme="majorBidi"/>
      <w:bCs/>
      <w:i/>
      <w:sz w:val="24"/>
    </w:rPr>
  </w:style>
  <w:style w:type="paragraph" w:styleId="Nadpisobsahu">
    <w:name w:val="TOC Heading"/>
    <w:basedOn w:val="Nadpis1"/>
    <w:next w:val="Normln"/>
    <w:uiPriority w:val="39"/>
    <w:semiHidden/>
    <w:unhideWhenUsed/>
    <w:qFormat/>
    <w:rsid w:val="00534DB8"/>
    <w:pPr>
      <w:numPr>
        <w:numId w:val="0"/>
      </w:numPr>
      <w:jc w:val="left"/>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qFormat/>
    <w:rsid w:val="00534DB8"/>
    <w:pPr>
      <w:spacing w:after="100"/>
    </w:pPr>
  </w:style>
  <w:style w:type="paragraph" w:styleId="Obsah2">
    <w:name w:val="toc 2"/>
    <w:basedOn w:val="Normln"/>
    <w:next w:val="Normln"/>
    <w:autoRedefine/>
    <w:uiPriority w:val="39"/>
    <w:unhideWhenUsed/>
    <w:qFormat/>
    <w:rsid w:val="00A629BC"/>
    <w:pPr>
      <w:tabs>
        <w:tab w:val="right" w:leader="dot" w:pos="9062"/>
      </w:tabs>
      <w:spacing w:after="100"/>
      <w:ind w:left="993" w:hanging="851"/>
    </w:pPr>
  </w:style>
  <w:style w:type="paragraph" w:styleId="Obsah3">
    <w:name w:val="toc 3"/>
    <w:basedOn w:val="Normln"/>
    <w:next w:val="Normln"/>
    <w:autoRedefine/>
    <w:uiPriority w:val="39"/>
    <w:unhideWhenUsed/>
    <w:qFormat/>
    <w:rsid w:val="00534DB8"/>
    <w:pPr>
      <w:spacing w:after="100"/>
      <w:ind w:left="480"/>
    </w:pPr>
  </w:style>
  <w:style w:type="paragraph" w:styleId="Seznamobrzk">
    <w:name w:val="table of figures"/>
    <w:basedOn w:val="Normln"/>
    <w:next w:val="Normln"/>
    <w:uiPriority w:val="99"/>
    <w:unhideWhenUsed/>
    <w:rsid w:val="00534DB8"/>
  </w:style>
  <w:style w:type="paragraph" w:styleId="Bezmezer">
    <w:name w:val="No Spacing"/>
    <w:link w:val="BezmezerChar"/>
    <w:uiPriority w:val="1"/>
    <w:qFormat/>
    <w:rsid w:val="00534DB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534DB8"/>
    <w:rPr>
      <w:rFonts w:eastAsiaTheme="minorEastAsia"/>
      <w:lang w:eastAsia="cs-CZ"/>
    </w:rPr>
  </w:style>
  <w:style w:type="character" w:styleId="Odkaznakoment">
    <w:name w:val="annotation reference"/>
    <w:basedOn w:val="Standardnpsmoodstavce"/>
    <w:uiPriority w:val="99"/>
    <w:semiHidden/>
    <w:unhideWhenUsed/>
    <w:rsid w:val="00DA4EE1"/>
    <w:rPr>
      <w:sz w:val="16"/>
      <w:szCs w:val="16"/>
    </w:rPr>
  </w:style>
  <w:style w:type="paragraph" w:styleId="Textkomente">
    <w:name w:val="annotation text"/>
    <w:basedOn w:val="Normln"/>
    <w:link w:val="TextkomenteChar"/>
    <w:uiPriority w:val="99"/>
    <w:semiHidden/>
    <w:unhideWhenUsed/>
    <w:rsid w:val="00DA4EE1"/>
    <w:pPr>
      <w:spacing w:line="240" w:lineRule="auto"/>
    </w:pPr>
    <w:rPr>
      <w:sz w:val="20"/>
      <w:szCs w:val="20"/>
    </w:rPr>
  </w:style>
  <w:style w:type="character" w:customStyle="1" w:styleId="TextkomenteChar">
    <w:name w:val="Text komentáře Char"/>
    <w:basedOn w:val="Standardnpsmoodstavce"/>
    <w:link w:val="Textkomente"/>
    <w:uiPriority w:val="99"/>
    <w:semiHidden/>
    <w:rsid w:val="00DA4EE1"/>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A4EE1"/>
    <w:rPr>
      <w:b/>
      <w:bCs/>
    </w:rPr>
  </w:style>
  <w:style w:type="character" w:customStyle="1" w:styleId="PedmtkomenteChar">
    <w:name w:val="Předmět komentáře Char"/>
    <w:basedOn w:val="TextkomenteChar"/>
    <w:link w:val="Pedmtkomente"/>
    <w:uiPriority w:val="99"/>
    <w:semiHidden/>
    <w:rsid w:val="00DA4EE1"/>
    <w:rPr>
      <w:rFonts w:ascii="Arial" w:hAnsi="Arial"/>
      <w:b/>
      <w:bCs/>
      <w:sz w:val="20"/>
      <w:szCs w:val="20"/>
    </w:rPr>
  </w:style>
  <w:style w:type="paragraph" w:styleId="Revize">
    <w:name w:val="Revision"/>
    <w:hidden/>
    <w:uiPriority w:val="99"/>
    <w:semiHidden/>
    <w:rsid w:val="00DA4EE1"/>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4D13"/>
    <w:pPr>
      <w:spacing w:after="0"/>
      <w:jc w:val="both"/>
    </w:pPr>
    <w:rPr>
      <w:rFonts w:ascii="Arial" w:hAnsi="Arial"/>
      <w:sz w:val="24"/>
    </w:rPr>
  </w:style>
  <w:style w:type="paragraph" w:styleId="Nadpis1">
    <w:name w:val="heading 1"/>
    <w:basedOn w:val="Normln"/>
    <w:next w:val="Normln"/>
    <w:link w:val="Nadpis1Char"/>
    <w:uiPriority w:val="9"/>
    <w:qFormat/>
    <w:rsid w:val="007F2863"/>
    <w:pPr>
      <w:keepNext/>
      <w:keepLines/>
      <w:numPr>
        <w:numId w:val="3"/>
      </w:numPr>
      <w:spacing w:before="480"/>
      <w:jc w:val="center"/>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AE6880"/>
    <w:pPr>
      <w:keepNext/>
      <w:keepLines/>
      <w:numPr>
        <w:numId w:val="10"/>
      </w:numPr>
      <w:spacing w:before="200" w:after="120"/>
      <w:jc w:val="left"/>
      <w:outlineLvl w:val="1"/>
    </w:pPr>
    <w:rPr>
      <w:rFonts w:eastAsiaTheme="majorEastAsia" w:cstheme="majorBidi"/>
      <w:b/>
      <w:bCs/>
      <w:szCs w:val="26"/>
      <w:u w:val="single"/>
    </w:rPr>
  </w:style>
  <w:style w:type="paragraph" w:styleId="Nadpis3">
    <w:name w:val="heading 3"/>
    <w:basedOn w:val="Normln"/>
    <w:next w:val="Normln"/>
    <w:link w:val="Nadpis3Char"/>
    <w:uiPriority w:val="9"/>
    <w:unhideWhenUsed/>
    <w:qFormat/>
    <w:rsid w:val="00286F14"/>
    <w:pPr>
      <w:keepNext/>
      <w:keepLines/>
      <w:numPr>
        <w:ilvl w:val="1"/>
        <w:numId w:val="10"/>
      </w:numPr>
      <w:spacing w:before="200" w:after="200" w:line="240" w:lineRule="auto"/>
      <w:outlineLvl w:val="2"/>
    </w:pPr>
    <w:rPr>
      <w:rFonts w:eastAsiaTheme="majorEastAsia" w:cstheme="majorBidi"/>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4D1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4D13"/>
    <w:rPr>
      <w:rFonts w:ascii="Tahoma" w:hAnsi="Tahoma" w:cs="Tahoma"/>
      <w:sz w:val="16"/>
      <w:szCs w:val="16"/>
    </w:rPr>
  </w:style>
  <w:style w:type="paragraph" w:styleId="Odstavecseseznamem">
    <w:name w:val="List Paragraph"/>
    <w:basedOn w:val="Normln"/>
    <w:uiPriority w:val="34"/>
    <w:qFormat/>
    <w:rsid w:val="00184D13"/>
    <w:pPr>
      <w:ind w:left="720"/>
      <w:contextualSpacing/>
    </w:pPr>
  </w:style>
  <w:style w:type="table" w:styleId="Mkatabulky">
    <w:name w:val="Table Grid"/>
    <w:basedOn w:val="Normlntabulka"/>
    <w:uiPriority w:val="59"/>
    <w:rsid w:val="0017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132DCB"/>
    <w:pPr>
      <w:spacing w:after="200" w:line="240" w:lineRule="auto"/>
    </w:pPr>
    <w:rPr>
      <w:b/>
      <w:bCs/>
      <w:color w:val="4F81BD" w:themeColor="accent1"/>
      <w:sz w:val="18"/>
      <w:szCs w:val="18"/>
    </w:rPr>
  </w:style>
  <w:style w:type="paragraph" w:styleId="Zhlav">
    <w:name w:val="header"/>
    <w:basedOn w:val="Normln"/>
    <w:link w:val="ZhlavChar"/>
    <w:uiPriority w:val="99"/>
    <w:unhideWhenUsed/>
    <w:rsid w:val="00A93F0C"/>
    <w:pPr>
      <w:tabs>
        <w:tab w:val="center" w:pos="4536"/>
        <w:tab w:val="right" w:pos="9072"/>
      </w:tabs>
      <w:spacing w:line="240" w:lineRule="auto"/>
    </w:pPr>
  </w:style>
  <w:style w:type="character" w:customStyle="1" w:styleId="ZhlavChar">
    <w:name w:val="Záhlaví Char"/>
    <w:basedOn w:val="Standardnpsmoodstavce"/>
    <w:link w:val="Zhlav"/>
    <w:uiPriority w:val="99"/>
    <w:rsid w:val="00A93F0C"/>
    <w:rPr>
      <w:rFonts w:ascii="Arial" w:hAnsi="Arial"/>
      <w:sz w:val="24"/>
    </w:rPr>
  </w:style>
  <w:style w:type="paragraph" w:styleId="Zpat">
    <w:name w:val="footer"/>
    <w:basedOn w:val="Normln"/>
    <w:link w:val="ZpatChar"/>
    <w:uiPriority w:val="99"/>
    <w:unhideWhenUsed/>
    <w:rsid w:val="00A93F0C"/>
    <w:pPr>
      <w:tabs>
        <w:tab w:val="center" w:pos="4536"/>
        <w:tab w:val="right" w:pos="9072"/>
      </w:tabs>
      <w:spacing w:line="240" w:lineRule="auto"/>
    </w:pPr>
  </w:style>
  <w:style w:type="character" w:customStyle="1" w:styleId="ZpatChar">
    <w:name w:val="Zápatí Char"/>
    <w:basedOn w:val="Standardnpsmoodstavce"/>
    <w:link w:val="Zpat"/>
    <w:uiPriority w:val="99"/>
    <w:rsid w:val="00A93F0C"/>
    <w:rPr>
      <w:rFonts w:ascii="Arial" w:hAnsi="Arial"/>
      <w:sz w:val="24"/>
    </w:rPr>
  </w:style>
  <w:style w:type="paragraph" w:styleId="Textpoznpodarou">
    <w:name w:val="footnote text"/>
    <w:basedOn w:val="Normln"/>
    <w:link w:val="TextpoznpodarouChar"/>
    <w:uiPriority w:val="99"/>
    <w:semiHidden/>
    <w:unhideWhenUsed/>
    <w:rsid w:val="00D97B43"/>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D97B43"/>
    <w:rPr>
      <w:rFonts w:ascii="Arial" w:hAnsi="Arial"/>
      <w:sz w:val="20"/>
      <w:szCs w:val="20"/>
    </w:rPr>
  </w:style>
  <w:style w:type="character" w:styleId="Znakapoznpodarou">
    <w:name w:val="footnote reference"/>
    <w:basedOn w:val="Standardnpsmoodstavce"/>
    <w:uiPriority w:val="99"/>
    <w:semiHidden/>
    <w:unhideWhenUsed/>
    <w:rsid w:val="00D97B43"/>
    <w:rPr>
      <w:vertAlign w:val="superscript"/>
    </w:rPr>
  </w:style>
  <w:style w:type="character" w:styleId="Hypertextovodkaz">
    <w:name w:val="Hyperlink"/>
    <w:basedOn w:val="Standardnpsmoodstavce"/>
    <w:uiPriority w:val="99"/>
    <w:unhideWhenUsed/>
    <w:rsid w:val="006832D4"/>
    <w:rPr>
      <w:color w:val="0000FF" w:themeColor="hyperlink"/>
      <w:u w:val="single"/>
    </w:rPr>
  </w:style>
  <w:style w:type="character" w:customStyle="1" w:styleId="Nadpis1Char">
    <w:name w:val="Nadpis 1 Char"/>
    <w:basedOn w:val="Standardnpsmoodstavce"/>
    <w:link w:val="Nadpis1"/>
    <w:uiPriority w:val="9"/>
    <w:rsid w:val="007F2863"/>
    <w:rPr>
      <w:rFonts w:ascii="Arial" w:eastAsiaTheme="majorEastAsia" w:hAnsi="Arial" w:cstheme="majorBidi"/>
      <w:b/>
      <w:bCs/>
      <w:sz w:val="28"/>
      <w:szCs w:val="28"/>
    </w:rPr>
  </w:style>
  <w:style w:type="character" w:customStyle="1" w:styleId="Nadpis2Char">
    <w:name w:val="Nadpis 2 Char"/>
    <w:basedOn w:val="Standardnpsmoodstavce"/>
    <w:link w:val="Nadpis2"/>
    <w:uiPriority w:val="9"/>
    <w:rsid w:val="00AE6880"/>
    <w:rPr>
      <w:rFonts w:ascii="Arial" w:eastAsiaTheme="majorEastAsia" w:hAnsi="Arial" w:cstheme="majorBidi"/>
      <w:b/>
      <w:bCs/>
      <w:sz w:val="24"/>
      <w:szCs w:val="26"/>
      <w:u w:val="single"/>
    </w:rPr>
  </w:style>
  <w:style w:type="character" w:customStyle="1" w:styleId="Nadpis3Char">
    <w:name w:val="Nadpis 3 Char"/>
    <w:basedOn w:val="Standardnpsmoodstavce"/>
    <w:link w:val="Nadpis3"/>
    <w:uiPriority w:val="9"/>
    <w:rsid w:val="00286F14"/>
    <w:rPr>
      <w:rFonts w:ascii="Arial" w:eastAsiaTheme="majorEastAsia" w:hAnsi="Arial" w:cstheme="majorBidi"/>
      <w:bCs/>
      <w:i/>
      <w:sz w:val="24"/>
    </w:rPr>
  </w:style>
  <w:style w:type="paragraph" w:styleId="Nadpisobsahu">
    <w:name w:val="TOC Heading"/>
    <w:basedOn w:val="Nadpis1"/>
    <w:next w:val="Normln"/>
    <w:uiPriority w:val="39"/>
    <w:semiHidden/>
    <w:unhideWhenUsed/>
    <w:qFormat/>
    <w:rsid w:val="00534DB8"/>
    <w:pPr>
      <w:numPr>
        <w:numId w:val="0"/>
      </w:numPr>
      <w:jc w:val="left"/>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qFormat/>
    <w:rsid w:val="00534DB8"/>
    <w:pPr>
      <w:spacing w:after="100"/>
    </w:pPr>
  </w:style>
  <w:style w:type="paragraph" w:styleId="Obsah2">
    <w:name w:val="toc 2"/>
    <w:basedOn w:val="Normln"/>
    <w:next w:val="Normln"/>
    <w:autoRedefine/>
    <w:uiPriority w:val="39"/>
    <w:unhideWhenUsed/>
    <w:qFormat/>
    <w:rsid w:val="00A629BC"/>
    <w:pPr>
      <w:tabs>
        <w:tab w:val="right" w:leader="dot" w:pos="9062"/>
      </w:tabs>
      <w:spacing w:after="100"/>
      <w:ind w:left="993" w:hanging="851"/>
    </w:pPr>
  </w:style>
  <w:style w:type="paragraph" w:styleId="Obsah3">
    <w:name w:val="toc 3"/>
    <w:basedOn w:val="Normln"/>
    <w:next w:val="Normln"/>
    <w:autoRedefine/>
    <w:uiPriority w:val="39"/>
    <w:unhideWhenUsed/>
    <w:qFormat/>
    <w:rsid w:val="00534DB8"/>
    <w:pPr>
      <w:spacing w:after="100"/>
      <w:ind w:left="480"/>
    </w:pPr>
  </w:style>
  <w:style w:type="paragraph" w:styleId="Seznamobrzk">
    <w:name w:val="table of figures"/>
    <w:basedOn w:val="Normln"/>
    <w:next w:val="Normln"/>
    <w:uiPriority w:val="99"/>
    <w:unhideWhenUsed/>
    <w:rsid w:val="00534DB8"/>
  </w:style>
  <w:style w:type="paragraph" w:styleId="Bezmezer">
    <w:name w:val="No Spacing"/>
    <w:link w:val="BezmezerChar"/>
    <w:uiPriority w:val="1"/>
    <w:qFormat/>
    <w:rsid w:val="00534DB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534DB8"/>
    <w:rPr>
      <w:rFonts w:eastAsiaTheme="minorEastAsia"/>
      <w:lang w:eastAsia="cs-CZ"/>
    </w:rPr>
  </w:style>
  <w:style w:type="character" w:styleId="Odkaznakoment">
    <w:name w:val="annotation reference"/>
    <w:basedOn w:val="Standardnpsmoodstavce"/>
    <w:uiPriority w:val="99"/>
    <w:semiHidden/>
    <w:unhideWhenUsed/>
    <w:rsid w:val="00DA4EE1"/>
    <w:rPr>
      <w:sz w:val="16"/>
      <w:szCs w:val="16"/>
    </w:rPr>
  </w:style>
  <w:style w:type="paragraph" w:styleId="Textkomente">
    <w:name w:val="annotation text"/>
    <w:basedOn w:val="Normln"/>
    <w:link w:val="TextkomenteChar"/>
    <w:uiPriority w:val="99"/>
    <w:semiHidden/>
    <w:unhideWhenUsed/>
    <w:rsid w:val="00DA4EE1"/>
    <w:pPr>
      <w:spacing w:line="240" w:lineRule="auto"/>
    </w:pPr>
    <w:rPr>
      <w:sz w:val="20"/>
      <w:szCs w:val="20"/>
    </w:rPr>
  </w:style>
  <w:style w:type="character" w:customStyle="1" w:styleId="TextkomenteChar">
    <w:name w:val="Text komentáře Char"/>
    <w:basedOn w:val="Standardnpsmoodstavce"/>
    <w:link w:val="Textkomente"/>
    <w:uiPriority w:val="99"/>
    <w:semiHidden/>
    <w:rsid w:val="00DA4EE1"/>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A4EE1"/>
    <w:rPr>
      <w:b/>
      <w:bCs/>
    </w:rPr>
  </w:style>
  <w:style w:type="character" w:customStyle="1" w:styleId="PedmtkomenteChar">
    <w:name w:val="Předmět komentáře Char"/>
    <w:basedOn w:val="TextkomenteChar"/>
    <w:link w:val="Pedmtkomente"/>
    <w:uiPriority w:val="99"/>
    <w:semiHidden/>
    <w:rsid w:val="00DA4EE1"/>
    <w:rPr>
      <w:rFonts w:ascii="Arial" w:hAnsi="Arial"/>
      <w:b/>
      <w:bCs/>
      <w:sz w:val="20"/>
      <w:szCs w:val="20"/>
    </w:rPr>
  </w:style>
  <w:style w:type="paragraph" w:styleId="Revize">
    <w:name w:val="Revision"/>
    <w:hidden/>
    <w:uiPriority w:val="99"/>
    <w:semiHidden/>
    <w:rsid w:val="00DA4EE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22599">
      <w:bodyDiv w:val="1"/>
      <w:marLeft w:val="0"/>
      <w:marRight w:val="0"/>
      <w:marTop w:val="0"/>
      <w:marBottom w:val="0"/>
      <w:divBdr>
        <w:top w:val="none" w:sz="0" w:space="0" w:color="auto"/>
        <w:left w:val="none" w:sz="0" w:space="0" w:color="auto"/>
        <w:bottom w:val="none" w:sz="0" w:space="0" w:color="auto"/>
        <w:right w:val="none" w:sz="0" w:space="0" w:color="auto"/>
      </w:divBdr>
    </w:div>
    <w:div w:id="227421353">
      <w:bodyDiv w:val="1"/>
      <w:marLeft w:val="0"/>
      <w:marRight w:val="0"/>
      <w:marTop w:val="0"/>
      <w:marBottom w:val="0"/>
      <w:divBdr>
        <w:top w:val="none" w:sz="0" w:space="0" w:color="auto"/>
        <w:left w:val="none" w:sz="0" w:space="0" w:color="auto"/>
        <w:bottom w:val="none" w:sz="0" w:space="0" w:color="auto"/>
        <w:right w:val="none" w:sz="0" w:space="0" w:color="auto"/>
      </w:divBdr>
    </w:div>
    <w:div w:id="433330878">
      <w:bodyDiv w:val="1"/>
      <w:marLeft w:val="0"/>
      <w:marRight w:val="0"/>
      <w:marTop w:val="0"/>
      <w:marBottom w:val="0"/>
      <w:divBdr>
        <w:top w:val="none" w:sz="0" w:space="0" w:color="auto"/>
        <w:left w:val="none" w:sz="0" w:space="0" w:color="auto"/>
        <w:bottom w:val="none" w:sz="0" w:space="0" w:color="auto"/>
        <w:right w:val="none" w:sz="0" w:space="0" w:color="auto"/>
      </w:divBdr>
    </w:div>
    <w:div w:id="479423182">
      <w:bodyDiv w:val="1"/>
      <w:marLeft w:val="0"/>
      <w:marRight w:val="0"/>
      <w:marTop w:val="0"/>
      <w:marBottom w:val="0"/>
      <w:divBdr>
        <w:top w:val="none" w:sz="0" w:space="0" w:color="auto"/>
        <w:left w:val="none" w:sz="0" w:space="0" w:color="auto"/>
        <w:bottom w:val="none" w:sz="0" w:space="0" w:color="auto"/>
        <w:right w:val="none" w:sz="0" w:space="0" w:color="auto"/>
      </w:divBdr>
    </w:div>
    <w:div w:id="484862628">
      <w:bodyDiv w:val="1"/>
      <w:marLeft w:val="0"/>
      <w:marRight w:val="0"/>
      <w:marTop w:val="0"/>
      <w:marBottom w:val="0"/>
      <w:divBdr>
        <w:top w:val="none" w:sz="0" w:space="0" w:color="auto"/>
        <w:left w:val="none" w:sz="0" w:space="0" w:color="auto"/>
        <w:bottom w:val="none" w:sz="0" w:space="0" w:color="auto"/>
        <w:right w:val="none" w:sz="0" w:space="0" w:color="auto"/>
      </w:divBdr>
    </w:div>
    <w:div w:id="546987528">
      <w:bodyDiv w:val="1"/>
      <w:marLeft w:val="0"/>
      <w:marRight w:val="0"/>
      <w:marTop w:val="0"/>
      <w:marBottom w:val="0"/>
      <w:divBdr>
        <w:top w:val="none" w:sz="0" w:space="0" w:color="auto"/>
        <w:left w:val="none" w:sz="0" w:space="0" w:color="auto"/>
        <w:bottom w:val="none" w:sz="0" w:space="0" w:color="auto"/>
        <w:right w:val="none" w:sz="0" w:space="0" w:color="auto"/>
      </w:divBdr>
    </w:div>
    <w:div w:id="699746738">
      <w:bodyDiv w:val="1"/>
      <w:marLeft w:val="0"/>
      <w:marRight w:val="0"/>
      <w:marTop w:val="0"/>
      <w:marBottom w:val="0"/>
      <w:divBdr>
        <w:top w:val="none" w:sz="0" w:space="0" w:color="auto"/>
        <w:left w:val="none" w:sz="0" w:space="0" w:color="auto"/>
        <w:bottom w:val="none" w:sz="0" w:space="0" w:color="auto"/>
        <w:right w:val="none" w:sz="0" w:space="0" w:color="auto"/>
      </w:divBdr>
    </w:div>
    <w:div w:id="752893633">
      <w:bodyDiv w:val="1"/>
      <w:marLeft w:val="0"/>
      <w:marRight w:val="0"/>
      <w:marTop w:val="0"/>
      <w:marBottom w:val="0"/>
      <w:divBdr>
        <w:top w:val="none" w:sz="0" w:space="0" w:color="auto"/>
        <w:left w:val="none" w:sz="0" w:space="0" w:color="auto"/>
        <w:bottom w:val="none" w:sz="0" w:space="0" w:color="auto"/>
        <w:right w:val="none" w:sz="0" w:space="0" w:color="auto"/>
      </w:divBdr>
    </w:div>
    <w:div w:id="860582451">
      <w:bodyDiv w:val="1"/>
      <w:marLeft w:val="0"/>
      <w:marRight w:val="0"/>
      <w:marTop w:val="0"/>
      <w:marBottom w:val="0"/>
      <w:divBdr>
        <w:top w:val="none" w:sz="0" w:space="0" w:color="auto"/>
        <w:left w:val="none" w:sz="0" w:space="0" w:color="auto"/>
        <w:bottom w:val="none" w:sz="0" w:space="0" w:color="auto"/>
        <w:right w:val="none" w:sz="0" w:space="0" w:color="auto"/>
      </w:divBdr>
    </w:div>
    <w:div w:id="889658272">
      <w:bodyDiv w:val="1"/>
      <w:marLeft w:val="0"/>
      <w:marRight w:val="0"/>
      <w:marTop w:val="0"/>
      <w:marBottom w:val="0"/>
      <w:divBdr>
        <w:top w:val="none" w:sz="0" w:space="0" w:color="auto"/>
        <w:left w:val="none" w:sz="0" w:space="0" w:color="auto"/>
        <w:bottom w:val="none" w:sz="0" w:space="0" w:color="auto"/>
        <w:right w:val="none" w:sz="0" w:space="0" w:color="auto"/>
      </w:divBdr>
    </w:div>
    <w:div w:id="929972913">
      <w:bodyDiv w:val="1"/>
      <w:marLeft w:val="0"/>
      <w:marRight w:val="0"/>
      <w:marTop w:val="0"/>
      <w:marBottom w:val="0"/>
      <w:divBdr>
        <w:top w:val="none" w:sz="0" w:space="0" w:color="auto"/>
        <w:left w:val="none" w:sz="0" w:space="0" w:color="auto"/>
        <w:bottom w:val="none" w:sz="0" w:space="0" w:color="auto"/>
        <w:right w:val="none" w:sz="0" w:space="0" w:color="auto"/>
      </w:divBdr>
    </w:div>
    <w:div w:id="952706544">
      <w:bodyDiv w:val="1"/>
      <w:marLeft w:val="0"/>
      <w:marRight w:val="0"/>
      <w:marTop w:val="0"/>
      <w:marBottom w:val="0"/>
      <w:divBdr>
        <w:top w:val="none" w:sz="0" w:space="0" w:color="auto"/>
        <w:left w:val="none" w:sz="0" w:space="0" w:color="auto"/>
        <w:bottom w:val="none" w:sz="0" w:space="0" w:color="auto"/>
        <w:right w:val="none" w:sz="0" w:space="0" w:color="auto"/>
      </w:divBdr>
    </w:div>
    <w:div w:id="1024672719">
      <w:bodyDiv w:val="1"/>
      <w:marLeft w:val="0"/>
      <w:marRight w:val="0"/>
      <w:marTop w:val="0"/>
      <w:marBottom w:val="0"/>
      <w:divBdr>
        <w:top w:val="none" w:sz="0" w:space="0" w:color="auto"/>
        <w:left w:val="none" w:sz="0" w:space="0" w:color="auto"/>
        <w:bottom w:val="none" w:sz="0" w:space="0" w:color="auto"/>
        <w:right w:val="none" w:sz="0" w:space="0" w:color="auto"/>
      </w:divBdr>
    </w:div>
    <w:div w:id="1070232976">
      <w:bodyDiv w:val="1"/>
      <w:marLeft w:val="0"/>
      <w:marRight w:val="0"/>
      <w:marTop w:val="0"/>
      <w:marBottom w:val="0"/>
      <w:divBdr>
        <w:top w:val="none" w:sz="0" w:space="0" w:color="auto"/>
        <w:left w:val="none" w:sz="0" w:space="0" w:color="auto"/>
        <w:bottom w:val="none" w:sz="0" w:space="0" w:color="auto"/>
        <w:right w:val="none" w:sz="0" w:space="0" w:color="auto"/>
      </w:divBdr>
    </w:div>
    <w:div w:id="1141192886">
      <w:bodyDiv w:val="1"/>
      <w:marLeft w:val="0"/>
      <w:marRight w:val="0"/>
      <w:marTop w:val="0"/>
      <w:marBottom w:val="0"/>
      <w:divBdr>
        <w:top w:val="none" w:sz="0" w:space="0" w:color="auto"/>
        <w:left w:val="none" w:sz="0" w:space="0" w:color="auto"/>
        <w:bottom w:val="none" w:sz="0" w:space="0" w:color="auto"/>
        <w:right w:val="none" w:sz="0" w:space="0" w:color="auto"/>
      </w:divBdr>
    </w:div>
    <w:div w:id="1182671993">
      <w:bodyDiv w:val="1"/>
      <w:marLeft w:val="0"/>
      <w:marRight w:val="0"/>
      <w:marTop w:val="0"/>
      <w:marBottom w:val="0"/>
      <w:divBdr>
        <w:top w:val="none" w:sz="0" w:space="0" w:color="auto"/>
        <w:left w:val="none" w:sz="0" w:space="0" w:color="auto"/>
        <w:bottom w:val="none" w:sz="0" w:space="0" w:color="auto"/>
        <w:right w:val="none" w:sz="0" w:space="0" w:color="auto"/>
      </w:divBdr>
    </w:div>
    <w:div w:id="1209032252">
      <w:bodyDiv w:val="1"/>
      <w:marLeft w:val="0"/>
      <w:marRight w:val="0"/>
      <w:marTop w:val="0"/>
      <w:marBottom w:val="0"/>
      <w:divBdr>
        <w:top w:val="none" w:sz="0" w:space="0" w:color="auto"/>
        <w:left w:val="none" w:sz="0" w:space="0" w:color="auto"/>
        <w:bottom w:val="none" w:sz="0" w:space="0" w:color="auto"/>
        <w:right w:val="none" w:sz="0" w:space="0" w:color="auto"/>
      </w:divBdr>
    </w:div>
    <w:div w:id="1347487464">
      <w:bodyDiv w:val="1"/>
      <w:marLeft w:val="0"/>
      <w:marRight w:val="0"/>
      <w:marTop w:val="0"/>
      <w:marBottom w:val="0"/>
      <w:divBdr>
        <w:top w:val="none" w:sz="0" w:space="0" w:color="auto"/>
        <w:left w:val="none" w:sz="0" w:space="0" w:color="auto"/>
        <w:bottom w:val="none" w:sz="0" w:space="0" w:color="auto"/>
        <w:right w:val="none" w:sz="0" w:space="0" w:color="auto"/>
      </w:divBdr>
    </w:div>
    <w:div w:id="1512255638">
      <w:bodyDiv w:val="1"/>
      <w:marLeft w:val="0"/>
      <w:marRight w:val="0"/>
      <w:marTop w:val="0"/>
      <w:marBottom w:val="0"/>
      <w:divBdr>
        <w:top w:val="none" w:sz="0" w:space="0" w:color="auto"/>
        <w:left w:val="none" w:sz="0" w:space="0" w:color="auto"/>
        <w:bottom w:val="none" w:sz="0" w:space="0" w:color="auto"/>
        <w:right w:val="none" w:sz="0" w:space="0" w:color="auto"/>
      </w:divBdr>
    </w:div>
    <w:div w:id="1537308623">
      <w:bodyDiv w:val="1"/>
      <w:marLeft w:val="0"/>
      <w:marRight w:val="0"/>
      <w:marTop w:val="0"/>
      <w:marBottom w:val="0"/>
      <w:divBdr>
        <w:top w:val="none" w:sz="0" w:space="0" w:color="auto"/>
        <w:left w:val="none" w:sz="0" w:space="0" w:color="auto"/>
        <w:bottom w:val="none" w:sz="0" w:space="0" w:color="auto"/>
        <w:right w:val="none" w:sz="0" w:space="0" w:color="auto"/>
      </w:divBdr>
    </w:div>
    <w:div w:id="1777286470">
      <w:bodyDiv w:val="1"/>
      <w:marLeft w:val="0"/>
      <w:marRight w:val="0"/>
      <w:marTop w:val="0"/>
      <w:marBottom w:val="0"/>
      <w:divBdr>
        <w:top w:val="none" w:sz="0" w:space="0" w:color="auto"/>
        <w:left w:val="none" w:sz="0" w:space="0" w:color="auto"/>
        <w:bottom w:val="none" w:sz="0" w:space="0" w:color="auto"/>
        <w:right w:val="none" w:sz="0" w:space="0" w:color="auto"/>
      </w:divBdr>
    </w:div>
    <w:div w:id="1802570298">
      <w:bodyDiv w:val="1"/>
      <w:marLeft w:val="0"/>
      <w:marRight w:val="0"/>
      <w:marTop w:val="0"/>
      <w:marBottom w:val="0"/>
      <w:divBdr>
        <w:top w:val="none" w:sz="0" w:space="0" w:color="auto"/>
        <w:left w:val="none" w:sz="0" w:space="0" w:color="auto"/>
        <w:bottom w:val="none" w:sz="0" w:space="0" w:color="auto"/>
        <w:right w:val="none" w:sz="0" w:space="0" w:color="auto"/>
      </w:divBdr>
    </w:div>
    <w:div w:id="1855028071">
      <w:bodyDiv w:val="1"/>
      <w:marLeft w:val="0"/>
      <w:marRight w:val="0"/>
      <w:marTop w:val="0"/>
      <w:marBottom w:val="0"/>
      <w:divBdr>
        <w:top w:val="none" w:sz="0" w:space="0" w:color="auto"/>
        <w:left w:val="none" w:sz="0" w:space="0" w:color="auto"/>
        <w:bottom w:val="none" w:sz="0" w:space="0" w:color="auto"/>
        <w:right w:val="none" w:sz="0" w:space="0" w:color="auto"/>
      </w:divBdr>
    </w:div>
    <w:div w:id="1879051612">
      <w:bodyDiv w:val="1"/>
      <w:marLeft w:val="0"/>
      <w:marRight w:val="0"/>
      <w:marTop w:val="0"/>
      <w:marBottom w:val="0"/>
      <w:divBdr>
        <w:top w:val="none" w:sz="0" w:space="0" w:color="auto"/>
        <w:left w:val="none" w:sz="0" w:space="0" w:color="auto"/>
        <w:bottom w:val="none" w:sz="0" w:space="0" w:color="auto"/>
        <w:right w:val="none" w:sz="0" w:space="0" w:color="auto"/>
      </w:divBdr>
    </w:div>
    <w:div w:id="1881164608">
      <w:bodyDiv w:val="1"/>
      <w:marLeft w:val="0"/>
      <w:marRight w:val="0"/>
      <w:marTop w:val="0"/>
      <w:marBottom w:val="0"/>
      <w:divBdr>
        <w:top w:val="none" w:sz="0" w:space="0" w:color="auto"/>
        <w:left w:val="none" w:sz="0" w:space="0" w:color="auto"/>
        <w:bottom w:val="none" w:sz="0" w:space="0" w:color="auto"/>
        <w:right w:val="none" w:sz="0" w:space="0" w:color="auto"/>
      </w:divBdr>
    </w:div>
    <w:div w:id="21050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chart" Target="charts/chart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9.xm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chart" Target="charts/chart1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V:\o401\Dudek%20Pavel\=Strategie=\=MPSV=\Anal&#253;za%20nab&#237;dky%20a%20popt&#225;vky%20na%20TP%20(2016)\=Zpr&#225;vy=\1Q2017\po%20VP&#344;\revize\3_II_ANTP_Zpr&#225;va_1Q2017%20REV%20VPR.docx"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ispv.cz/" TargetMode="External"/><Relationship Id="rId1" Type="http://schemas.openxmlformats.org/officeDocument/2006/relationships/hyperlink" Target="http://www.portal.mpsv.c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cizinci.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cizinc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oleObject" Target="file:///\\s-mpa-cls3-spo1.mpsvnet.mpsv.cz\spoldisk\SD_o410\o401\Dudek%20Pavel\=Strategie=\=MPSV=\Anal&#253;za%20nab&#237;dky%20a%20popt&#225;vky%20na%20TP%20(2016)\=Zpr&#225;vy=\data%20sledov&#225;n&#237;\struktura%20UoZ.xlsx" TargetMode="External"/><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685994203756123E-2"/>
          <c:y val="0.13008579712090679"/>
          <c:w val="0.90569487684662819"/>
          <c:h val="0.68860512808487706"/>
        </c:manualLayout>
      </c:layout>
      <c:barChart>
        <c:barDir val="col"/>
        <c:grouping val="stacked"/>
        <c:varyColors val="0"/>
        <c:ser>
          <c:idx val="0"/>
          <c:order val="0"/>
          <c:tx>
            <c:strRef>
              <c:f>'Neobsazenost podle profesí'!$V$76</c:f>
              <c:strCache>
                <c:ptCount val="1"/>
                <c:pt idx="0">
                  <c:v>nad 12</c:v>
                </c:pt>
              </c:strCache>
            </c:strRef>
          </c:tx>
          <c:spPr>
            <a:solidFill>
              <a:schemeClr val="accent2">
                <a:lumMod val="75000"/>
              </a:schemeClr>
            </a:solidFill>
          </c:spPr>
          <c:invertIfNegative val="0"/>
          <c:cat>
            <c:strRef>
              <c:f>'Neobsazenost podle profesí'!$B$77:$B$86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profesí'!$V$77:$V$86</c:f>
              <c:numCache>
                <c:formatCode>General</c:formatCode>
                <c:ptCount val="10"/>
                <c:pt idx="0">
                  <c:v>356</c:v>
                </c:pt>
                <c:pt idx="1">
                  <c:v>311</c:v>
                </c:pt>
                <c:pt idx="2" formatCode="#,##0">
                  <c:v>2260</c:v>
                </c:pt>
                <c:pt idx="3" formatCode="#,##0">
                  <c:v>1801</c:v>
                </c:pt>
                <c:pt idx="4" formatCode="#,##0">
                  <c:v>834</c:v>
                </c:pt>
                <c:pt idx="5" formatCode="#,##0">
                  <c:v>3114</c:v>
                </c:pt>
                <c:pt idx="6">
                  <c:v>130</c:v>
                </c:pt>
                <c:pt idx="7" formatCode="#,##0">
                  <c:v>5853</c:v>
                </c:pt>
                <c:pt idx="8" formatCode="#,##0">
                  <c:v>6042</c:v>
                </c:pt>
                <c:pt idx="9" formatCode="#,##0">
                  <c:v>5340</c:v>
                </c:pt>
              </c:numCache>
            </c:numRef>
          </c:val>
        </c:ser>
        <c:ser>
          <c:idx val="1"/>
          <c:order val="1"/>
          <c:tx>
            <c:strRef>
              <c:f>'Neobsazenost podle profesí'!$U$76</c:f>
              <c:strCache>
                <c:ptCount val="1"/>
                <c:pt idx="0">
                  <c:v>6-12M</c:v>
                </c:pt>
              </c:strCache>
            </c:strRef>
          </c:tx>
          <c:spPr>
            <a:solidFill>
              <a:schemeClr val="accent2">
                <a:lumMod val="60000"/>
                <a:lumOff val="40000"/>
              </a:schemeClr>
            </a:solidFill>
          </c:spPr>
          <c:invertIfNegative val="0"/>
          <c:cat>
            <c:strRef>
              <c:f>'Neobsazenost podle profesí'!$B$77:$B$86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profesí'!$U$77:$U$86</c:f>
              <c:numCache>
                <c:formatCode>General</c:formatCode>
                <c:ptCount val="10"/>
                <c:pt idx="0">
                  <c:v>10</c:v>
                </c:pt>
                <c:pt idx="1">
                  <c:v>280</c:v>
                </c:pt>
                <c:pt idx="2" formatCode="#,##0">
                  <c:v>2853</c:v>
                </c:pt>
                <c:pt idx="3" formatCode="#,##0">
                  <c:v>2376</c:v>
                </c:pt>
                <c:pt idx="4">
                  <c:v>920</c:v>
                </c:pt>
                <c:pt idx="5" formatCode="#,##0">
                  <c:v>4128</c:v>
                </c:pt>
                <c:pt idx="6">
                  <c:v>171</c:v>
                </c:pt>
                <c:pt idx="7" formatCode="#,##0">
                  <c:v>6655</c:v>
                </c:pt>
                <c:pt idx="8" formatCode="#,##0">
                  <c:v>7367</c:v>
                </c:pt>
                <c:pt idx="9" formatCode="#,##0">
                  <c:v>4661</c:v>
                </c:pt>
              </c:numCache>
            </c:numRef>
          </c:val>
        </c:ser>
        <c:ser>
          <c:idx val="2"/>
          <c:order val="2"/>
          <c:tx>
            <c:strRef>
              <c:f>'Neobsazenost podle profesí'!$T$76</c:f>
              <c:strCache>
                <c:ptCount val="1"/>
                <c:pt idx="0">
                  <c:v>3-6M</c:v>
                </c:pt>
              </c:strCache>
            </c:strRef>
          </c:tx>
          <c:spPr>
            <a:solidFill>
              <a:schemeClr val="tx2">
                <a:lumMod val="40000"/>
                <a:lumOff val="60000"/>
              </a:schemeClr>
            </a:solidFill>
          </c:spPr>
          <c:invertIfNegative val="0"/>
          <c:cat>
            <c:strRef>
              <c:f>'Neobsazenost podle profesí'!$B$77:$B$86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profesí'!$T$77:$T$86</c:f>
              <c:numCache>
                <c:formatCode>General</c:formatCode>
                <c:ptCount val="10"/>
                <c:pt idx="0">
                  <c:v>73</c:v>
                </c:pt>
                <c:pt idx="1">
                  <c:v>219</c:v>
                </c:pt>
                <c:pt idx="2" formatCode="#,##0">
                  <c:v>1532</c:v>
                </c:pt>
                <c:pt idx="3" formatCode="#,##0">
                  <c:v>1891</c:v>
                </c:pt>
                <c:pt idx="4" formatCode="#,##0">
                  <c:v>711</c:v>
                </c:pt>
                <c:pt idx="5" formatCode="#,##0">
                  <c:v>3517</c:v>
                </c:pt>
                <c:pt idx="6">
                  <c:v>215</c:v>
                </c:pt>
                <c:pt idx="7" formatCode="#,##0">
                  <c:v>5501</c:v>
                </c:pt>
                <c:pt idx="8" formatCode="#,##0">
                  <c:v>6061</c:v>
                </c:pt>
                <c:pt idx="9" formatCode="#,##0">
                  <c:v>3373</c:v>
                </c:pt>
              </c:numCache>
            </c:numRef>
          </c:val>
        </c:ser>
        <c:ser>
          <c:idx val="3"/>
          <c:order val="3"/>
          <c:tx>
            <c:strRef>
              <c:f>'Neobsazenost podle profesí'!$S$76</c:f>
              <c:strCache>
                <c:ptCount val="1"/>
                <c:pt idx="0">
                  <c:v>0-3M</c:v>
                </c:pt>
              </c:strCache>
            </c:strRef>
          </c:tx>
          <c:spPr>
            <a:solidFill>
              <a:schemeClr val="accent3">
                <a:lumMod val="40000"/>
                <a:lumOff val="60000"/>
              </a:schemeClr>
            </a:solidFill>
          </c:spPr>
          <c:invertIfNegative val="0"/>
          <c:cat>
            <c:strRef>
              <c:f>'Neobsazenost podle profesí'!$B$77:$B$86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profesí'!$S$77:$S$86</c:f>
              <c:numCache>
                <c:formatCode>General</c:formatCode>
                <c:ptCount val="10"/>
                <c:pt idx="0">
                  <c:v>0</c:v>
                </c:pt>
                <c:pt idx="1">
                  <c:v>546</c:v>
                </c:pt>
                <c:pt idx="2" formatCode="#,##0">
                  <c:v>3223</c:v>
                </c:pt>
                <c:pt idx="3" formatCode="#,##0">
                  <c:v>4875</c:v>
                </c:pt>
                <c:pt idx="4" formatCode="#,##0">
                  <c:v>2239</c:v>
                </c:pt>
                <c:pt idx="5" formatCode="#,##0">
                  <c:v>8729</c:v>
                </c:pt>
                <c:pt idx="6">
                  <c:v>448</c:v>
                </c:pt>
                <c:pt idx="7" formatCode="#,##0">
                  <c:v>10538</c:v>
                </c:pt>
                <c:pt idx="8" formatCode="#,##0">
                  <c:v>10493</c:v>
                </c:pt>
                <c:pt idx="9" formatCode="#,##0">
                  <c:v>12849</c:v>
                </c:pt>
              </c:numCache>
            </c:numRef>
          </c:val>
        </c:ser>
        <c:dLbls>
          <c:showLegendKey val="0"/>
          <c:showVal val="0"/>
          <c:showCatName val="0"/>
          <c:showSerName val="0"/>
          <c:showPercent val="0"/>
          <c:showBubbleSize val="0"/>
        </c:dLbls>
        <c:gapWidth val="150"/>
        <c:overlap val="100"/>
        <c:axId val="78193024"/>
        <c:axId val="79783424"/>
      </c:barChart>
      <c:catAx>
        <c:axId val="78193024"/>
        <c:scaling>
          <c:orientation val="minMax"/>
        </c:scaling>
        <c:delete val="0"/>
        <c:axPos val="b"/>
        <c:numFmt formatCode="General" sourceLinked="1"/>
        <c:majorTickMark val="out"/>
        <c:minorTickMark val="none"/>
        <c:tickLblPos val="nextTo"/>
        <c:txPr>
          <a:bodyPr rot="0" vert="horz"/>
          <a:lstStyle/>
          <a:p>
            <a:pPr>
              <a:defRPr sz="800">
                <a:latin typeface="+mn-lt"/>
                <a:cs typeface="Arial" panose="020B0604020202020204" pitchFamily="34" charset="0"/>
              </a:defRPr>
            </a:pPr>
            <a:endParaRPr lang="cs-CZ"/>
          </a:p>
        </c:txPr>
        <c:crossAx val="79783424"/>
        <c:crosses val="autoZero"/>
        <c:auto val="1"/>
        <c:lblAlgn val="ctr"/>
        <c:lblOffset val="100"/>
        <c:noMultiLvlLbl val="0"/>
      </c:catAx>
      <c:valAx>
        <c:axId val="79783424"/>
        <c:scaling>
          <c:orientation val="minMax"/>
          <c:max val="32000"/>
          <c:min val="0"/>
        </c:scaling>
        <c:delete val="0"/>
        <c:axPos val="l"/>
        <c:majorGridlines/>
        <c:numFmt formatCode="General" sourceLinked="1"/>
        <c:majorTickMark val="out"/>
        <c:minorTickMark val="in"/>
        <c:tickLblPos val="nextTo"/>
        <c:txPr>
          <a:bodyPr rot="-5400000" vert="horz"/>
          <a:lstStyle/>
          <a:p>
            <a:pPr>
              <a:defRPr sz="800"/>
            </a:pPr>
            <a:endParaRPr lang="cs-CZ"/>
          </a:p>
        </c:txPr>
        <c:crossAx val="78193024"/>
        <c:crosses val="autoZero"/>
        <c:crossBetween val="between"/>
        <c:dispUnits>
          <c:builtInUnit val="thousands"/>
          <c:dispUnitsLbl>
            <c:txPr>
              <a:bodyPr/>
              <a:lstStyle/>
              <a:p>
                <a:pPr>
                  <a:defRPr sz="800" b="0"/>
                </a:pPr>
                <a:endParaRPr lang="cs-CZ"/>
              </a:p>
            </c:txPr>
          </c:dispUnitsLbl>
        </c:dispUnits>
      </c:valAx>
    </c:plotArea>
    <c:legend>
      <c:legendPos val="t"/>
      <c:layout>
        <c:manualLayout>
          <c:xMode val="edge"/>
          <c:yMode val="edge"/>
          <c:x val="0.14524735341917153"/>
          <c:y val="2.0184398283979475E-2"/>
          <c:w val="0.74620637698065517"/>
          <c:h val="5.8394778636715231E-2"/>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924947398104168E-2"/>
          <c:y val="4.4852191641182468E-2"/>
          <c:w val="0.8751438797423049"/>
          <c:h val="0.86812749323765726"/>
        </c:manualLayout>
      </c:layout>
      <c:barChart>
        <c:barDir val="bar"/>
        <c:grouping val="percentStacked"/>
        <c:varyColors val="0"/>
        <c:ser>
          <c:idx val="0"/>
          <c:order val="0"/>
          <c:tx>
            <c:strRef>
              <c:f>'Doba nezaměstnanosti'!$V$2</c:f>
              <c:strCache>
                <c:ptCount val="1"/>
                <c:pt idx="0">
                  <c:v>do 3M</c:v>
                </c:pt>
              </c:strCache>
            </c:strRef>
          </c:tx>
          <c:spPr>
            <a:solidFill>
              <a:srgbClr val="7ABC32"/>
            </a:solidFill>
          </c:spPr>
          <c:invertIfNegative val="0"/>
          <c:cat>
            <c:strRef>
              <c:f>'Doba nezaměstnanosti'!$U$3:$U$16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nezaměstnanosti'!$V$3:$V$16</c:f>
              <c:numCache>
                <c:formatCode>General</c:formatCode>
                <c:ptCount val="14"/>
                <c:pt idx="0">
                  <c:v>7993</c:v>
                </c:pt>
                <c:pt idx="1">
                  <c:v>12594</c:v>
                </c:pt>
                <c:pt idx="2">
                  <c:v>8345</c:v>
                </c:pt>
                <c:pt idx="3">
                  <c:v>5533</c:v>
                </c:pt>
                <c:pt idx="4">
                  <c:v>3644</c:v>
                </c:pt>
                <c:pt idx="5">
                  <c:v>10997</c:v>
                </c:pt>
                <c:pt idx="6">
                  <c:v>5214</c:v>
                </c:pt>
                <c:pt idx="7">
                  <c:v>5315</c:v>
                </c:pt>
                <c:pt idx="8">
                  <c:v>5974</c:v>
                </c:pt>
                <c:pt idx="9">
                  <c:v>6498</c:v>
                </c:pt>
                <c:pt idx="10">
                  <c:v>14379</c:v>
                </c:pt>
                <c:pt idx="11">
                  <c:v>8662</c:v>
                </c:pt>
                <c:pt idx="12">
                  <c:v>7013</c:v>
                </c:pt>
                <c:pt idx="13">
                  <c:v>15800</c:v>
                </c:pt>
              </c:numCache>
            </c:numRef>
          </c:val>
        </c:ser>
        <c:ser>
          <c:idx val="1"/>
          <c:order val="1"/>
          <c:tx>
            <c:strRef>
              <c:f>'Doba nezaměstnanosti'!$W$2</c:f>
              <c:strCache>
                <c:ptCount val="1"/>
                <c:pt idx="0">
                  <c:v>3-6M</c:v>
                </c:pt>
              </c:strCache>
            </c:strRef>
          </c:tx>
          <c:spPr>
            <a:solidFill>
              <a:schemeClr val="accent5">
                <a:lumMod val="40000"/>
                <a:lumOff val="60000"/>
              </a:schemeClr>
            </a:solidFill>
          </c:spPr>
          <c:invertIfNegative val="0"/>
          <c:cat>
            <c:strRef>
              <c:f>'Doba nezaměstnanosti'!$U$3:$U$16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nezaměstnanosti'!$W$3:$W$16</c:f>
              <c:numCache>
                <c:formatCode>General</c:formatCode>
                <c:ptCount val="14"/>
                <c:pt idx="0">
                  <c:v>5830</c:v>
                </c:pt>
                <c:pt idx="1">
                  <c:v>6876</c:v>
                </c:pt>
                <c:pt idx="2">
                  <c:v>3240</c:v>
                </c:pt>
                <c:pt idx="3">
                  <c:v>2405</c:v>
                </c:pt>
                <c:pt idx="4">
                  <c:v>1699</c:v>
                </c:pt>
                <c:pt idx="5">
                  <c:v>6597</c:v>
                </c:pt>
                <c:pt idx="6">
                  <c:v>2823</c:v>
                </c:pt>
                <c:pt idx="7">
                  <c:v>2348</c:v>
                </c:pt>
                <c:pt idx="8">
                  <c:v>2677</c:v>
                </c:pt>
                <c:pt idx="9">
                  <c:v>2786</c:v>
                </c:pt>
                <c:pt idx="10">
                  <c:v>7756</c:v>
                </c:pt>
                <c:pt idx="11">
                  <c:v>4036</c:v>
                </c:pt>
                <c:pt idx="12">
                  <c:v>3366</c:v>
                </c:pt>
                <c:pt idx="13">
                  <c:v>9251</c:v>
                </c:pt>
              </c:numCache>
            </c:numRef>
          </c:val>
        </c:ser>
        <c:ser>
          <c:idx val="2"/>
          <c:order val="2"/>
          <c:tx>
            <c:strRef>
              <c:f>'Doba nezaměstnanosti'!$X$2</c:f>
              <c:strCache>
                <c:ptCount val="1"/>
                <c:pt idx="0">
                  <c:v>6-9M</c:v>
                </c:pt>
              </c:strCache>
            </c:strRef>
          </c:tx>
          <c:spPr>
            <a:solidFill>
              <a:schemeClr val="accent5">
                <a:lumMod val="60000"/>
                <a:lumOff val="40000"/>
              </a:schemeClr>
            </a:solidFill>
          </c:spPr>
          <c:invertIfNegative val="0"/>
          <c:cat>
            <c:strRef>
              <c:f>'Doba nezaměstnanosti'!$U$3:$U$16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nezaměstnanosti'!$X$3:$X$16</c:f>
              <c:numCache>
                <c:formatCode>General</c:formatCode>
                <c:ptCount val="14"/>
                <c:pt idx="0">
                  <c:v>3202</c:v>
                </c:pt>
                <c:pt idx="1">
                  <c:v>3481</c:v>
                </c:pt>
                <c:pt idx="2">
                  <c:v>1695</c:v>
                </c:pt>
                <c:pt idx="3">
                  <c:v>1152</c:v>
                </c:pt>
                <c:pt idx="4">
                  <c:v>838</c:v>
                </c:pt>
                <c:pt idx="5">
                  <c:v>3896</c:v>
                </c:pt>
                <c:pt idx="6">
                  <c:v>1469</c:v>
                </c:pt>
                <c:pt idx="7">
                  <c:v>1360</c:v>
                </c:pt>
                <c:pt idx="8">
                  <c:v>1225</c:v>
                </c:pt>
                <c:pt idx="9">
                  <c:v>1428</c:v>
                </c:pt>
                <c:pt idx="10">
                  <c:v>4419</c:v>
                </c:pt>
                <c:pt idx="11">
                  <c:v>2550</c:v>
                </c:pt>
                <c:pt idx="12">
                  <c:v>1865</c:v>
                </c:pt>
                <c:pt idx="13">
                  <c:v>5718</c:v>
                </c:pt>
              </c:numCache>
            </c:numRef>
          </c:val>
        </c:ser>
        <c:ser>
          <c:idx val="3"/>
          <c:order val="3"/>
          <c:tx>
            <c:strRef>
              <c:f>'Doba nezaměstnanosti'!$Y$2</c:f>
              <c:strCache>
                <c:ptCount val="1"/>
                <c:pt idx="0">
                  <c:v>9-12M</c:v>
                </c:pt>
              </c:strCache>
            </c:strRef>
          </c:tx>
          <c:spPr>
            <a:solidFill>
              <a:schemeClr val="accent4">
                <a:lumMod val="60000"/>
                <a:lumOff val="40000"/>
              </a:schemeClr>
            </a:solidFill>
          </c:spPr>
          <c:invertIfNegative val="0"/>
          <c:cat>
            <c:strRef>
              <c:f>'Doba nezaměstnanosti'!$U$3:$U$16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nezaměstnanosti'!$Y$3:$Y$16</c:f>
              <c:numCache>
                <c:formatCode>General</c:formatCode>
                <c:ptCount val="14"/>
                <c:pt idx="0">
                  <c:v>2314</c:v>
                </c:pt>
                <c:pt idx="1">
                  <c:v>2408</c:v>
                </c:pt>
                <c:pt idx="2">
                  <c:v>1182</c:v>
                </c:pt>
                <c:pt idx="3">
                  <c:v>817</c:v>
                </c:pt>
                <c:pt idx="4">
                  <c:v>671</c:v>
                </c:pt>
                <c:pt idx="5">
                  <c:v>2949</c:v>
                </c:pt>
                <c:pt idx="6">
                  <c:v>997</c:v>
                </c:pt>
                <c:pt idx="7">
                  <c:v>841</c:v>
                </c:pt>
                <c:pt idx="8">
                  <c:v>740</c:v>
                </c:pt>
                <c:pt idx="9">
                  <c:v>911</c:v>
                </c:pt>
                <c:pt idx="10">
                  <c:v>3090</c:v>
                </c:pt>
                <c:pt idx="11">
                  <c:v>1536</c:v>
                </c:pt>
                <c:pt idx="12">
                  <c:v>1177</c:v>
                </c:pt>
                <c:pt idx="13">
                  <c:v>3628</c:v>
                </c:pt>
              </c:numCache>
            </c:numRef>
          </c:val>
        </c:ser>
        <c:ser>
          <c:idx val="4"/>
          <c:order val="4"/>
          <c:tx>
            <c:strRef>
              <c:f>'Doba nezaměstnanosti'!$Z$2</c:f>
              <c:strCache>
                <c:ptCount val="1"/>
                <c:pt idx="0">
                  <c:v>12-24M</c:v>
                </c:pt>
              </c:strCache>
            </c:strRef>
          </c:tx>
          <c:spPr>
            <a:solidFill>
              <a:srgbClr val="FF9999"/>
            </a:solidFill>
          </c:spPr>
          <c:invertIfNegative val="0"/>
          <c:cat>
            <c:strRef>
              <c:f>'Doba nezaměstnanosti'!$U$3:$U$16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nezaměstnanosti'!$Z$3:$Z$16</c:f>
              <c:numCache>
                <c:formatCode>General</c:formatCode>
                <c:ptCount val="14"/>
                <c:pt idx="0">
                  <c:v>4432</c:v>
                </c:pt>
                <c:pt idx="1">
                  <c:v>4426</c:v>
                </c:pt>
                <c:pt idx="2">
                  <c:v>1795</c:v>
                </c:pt>
                <c:pt idx="3">
                  <c:v>1494</c:v>
                </c:pt>
                <c:pt idx="4">
                  <c:v>1411</c:v>
                </c:pt>
                <c:pt idx="5">
                  <c:v>5840</c:v>
                </c:pt>
                <c:pt idx="6">
                  <c:v>1843</c:v>
                </c:pt>
                <c:pt idx="7">
                  <c:v>1625</c:v>
                </c:pt>
                <c:pt idx="8">
                  <c:v>1291</c:v>
                </c:pt>
                <c:pt idx="9">
                  <c:v>1755</c:v>
                </c:pt>
                <c:pt idx="10">
                  <c:v>6156</c:v>
                </c:pt>
                <c:pt idx="11">
                  <c:v>2825</c:v>
                </c:pt>
                <c:pt idx="12">
                  <c:v>2201</c:v>
                </c:pt>
                <c:pt idx="13">
                  <c:v>8159</c:v>
                </c:pt>
              </c:numCache>
            </c:numRef>
          </c:val>
        </c:ser>
        <c:ser>
          <c:idx val="5"/>
          <c:order val="5"/>
          <c:tx>
            <c:strRef>
              <c:f>'Doba nezaměstnanosti'!$AA$2</c:f>
              <c:strCache>
                <c:ptCount val="1"/>
                <c:pt idx="0">
                  <c:v>nad 24M</c:v>
                </c:pt>
              </c:strCache>
            </c:strRef>
          </c:tx>
          <c:spPr>
            <a:solidFill>
              <a:srgbClr val="FF6969"/>
            </a:solidFill>
          </c:spPr>
          <c:invertIfNegative val="0"/>
          <c:cat>
            <c:strRef>
              <c:f>'Doba nezaměstnanosti'!$U$3:$U$16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nezaměstnanosti'!$AA$3:$AA$16</c:f>
              <c:numCache>
                <c:formatCode>General</c:formatCode>
                <c:ptCount val="14"/>
                <c:pt idx="0">
                  <c:v>6408</c:v>
                </c:pt>
                <c:pt idx="1">
                  <c:v>9181</c:v>
                </c:pt>
                <c:pt idx="2">
                  <c:v>3128</c:v>
                </c:pt>
                <c:pt idx="3">
                  <c:v>3254</c:v>
                </c:pt>
                <c:pt idx="4">
                  <c:v>3533</c:v>
                </c:pt>
                <c:pt idx="5">
                  <c:v>14249</c:v>
                </c:pt>
                <c:pt idx="6">
                  <c:v>3758</c:v>
                </c:pt>
                <c:pt idx="7">
                  <c:v>2781</c:v>
                </c:pt>
                <c:pt idx="8">
                  <c:v>2500</c:v>
                </c:pt>
                <c:pt idx="9">
                  <c:v>4294</c:v>
                </c:pt>
                <c:pt idx="10">
                  <c:v>13232</c:v>
                </c:pt>
                <c:pt idx="11">
                  <c:v>6886</c:v>
                </c:pt>
                <c:pt idx="12">
                  <c:v>4226</c:v>
                </c:pt>
                <c:pt idx="13">
                  <c:v>21480</c:v>
                </c:pt>
              </c:numCache>
            </c:numRef>
          </c:val>
        </c:ser>
        <c:dLbls>
          <c:showLegendKey val="0"/>
          <c:showVal val="0"/>
          <c:showCatName val="0"/>
          <c:showSerName val="0"/>
          <c:showPercent val="0"/>
          <c:showBubbleSize val="0"/>
        </c:dLbls>
        <c:gapWidth val="150"/>
        <c:overlap val="100"/>
        <c:axId val="81230848"/>
        <c:axId val="81240832"/>
      </c:barChart>
      <c:catAx>
        <c:axId val="81230848"/>
        <c:scaling>
          <c:orientation val="maxMin"/>
        </c:scaling>
        <c:delete val="0"/>
        <c:axPos val="l"/>
        <c:majorTickMark val="out"/>
        <c:minorTickMark val="none"/>
        <c:tickLblPos val="nextTo"/>
        <c:txPr>
          <a:bodyPr/>
          <a:lstStyle/>
          <a:p>
            <a:pPr>
              <a:defRPr sz="800"/>
            </a:pPr>
            <a:endParaRPr lang="cs-CZ"/>
          </a:p>
        </c:txPr>
        <c:crossAx val="81240832"/>
        <c:crosses val="autoZero"/>
        <c:auto val="1"/>
        <c:lblAlgn val="ctr"/>
        <c:lblOffset val="100"/>
        <c:noMultiLvlLbl val="0"/>
      </c:catAx>
      <c:valAx>
        <c:axId val="81240832"/>
        <c:scaling>
          <c:orientation val="minMax"/>
        </c:scaling>
        <c:delete val="0"/>
        <c:axPos val="b"/>
        <c:majorGridlines/>
        <c:numFmt formatCode="0%" sourceLinked="1"/>
        <c:majorTickMark val="out"/>
        <c:minorTickMark val="none"/>
        <c:tickLblPos val="nextTo"/>
        <c:txPr>
          <a:bodyPr anchor="b" anchorCtr="0"/>
          <a:lstStyle/>
          <a:p>
            <a:pPr>
              <a:defRPr sz="800"/>
            </a:pPr>
            <a:endParaRPr lang="cs-CZ"/>
          </a:p>
        </c:txPr>
        <c:crossAx val="81230848"/>
        <c:crosses val="max"/>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321742852027022E-2"/>
          <c:y val="4.520355190778369E-2"/>
          <c:w val="0.89764530681584931"/>
          <c:h val="0.79991102799114888"/>
        </c:manualLayout>
      </c:layout>
      <c:barChart>
        <c:barDir val="bar"/>
        <c:grouping val="percentStacked"/>
        <c:varyColors val="0"/>
        <c:ser>
          <c:idx val="0"/>
          <c:order val="0"/>
          <c:tx>
            <c:strRef>
              <c:f>Vzdělání!$Q$5:$Q$6</c:f>
              <c:strCache>
                <c:ptCount val="1"/>
                <c:pt idx="0">
                  <c:v>bez a neúplné ZŠ</c:v>
                </c:pt>
              </c:strCache>
            </c:strRef>
          </c:tx>
          <c:spPr>
            <a:solidFill>
              <a:srgbClr val="FF7C80"/>
            </a:solidFill>
          </c:spPr>
          <c:invertIfNegative val="0"/>
          <c:cat>
            <c:strRef>
              <c:f>Vzdělání!$P$7:$P$21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Vzdělání!$Q$7:$Q$21</c:f>
              <c:numCache>
                <c:formatCode>#,##0</c:formatCode>
                <c:ptCount val="15"/>
                <c:pt idx="0">
                  <c:v>111</c:v>
                </c:pt>
                <c:pt idx="1">
                  <c:v>324</c:v>
                </c:pt>
                <c:pt idx="2">
                  <c:v>147</c:v>
                </c:pt>
                <c:pt idx="3">
                  <c:v>83</c:v>
                </c:pt>
                <c:pt idx="4">
                  <c:v>3770</c:v>
                </c:pt>
                <c:pt idx="5">
                  <c:v>2649</c:v>
                </c:pt>
                <c:pt idx="6">
                  <c:v>1019</c:v>
                </c:pt>
                <c:pt idx="7">
                  <c:v>48</c:v>
                </c:pt>
                <c:pt idx="8">
                  <c:v>163</c:v>
                </c:pt>
                <c:pt idx="9">
                  <c:v>15</c:v>
                </c:pt>
                <c:pt idx="10">
                  <c:v>30</c:v>
                </c:pt>
                <c:pt idx="11">
                  <c:v>58</c:v>
                </c:pt>
                <c:pt idx="12">
                  <c:v>20</c:v>
                </c:pt>
                <c:pt idx="13">
                  <c:v>1167</c:v>
                </c:pt>
                <c:pt idx="14">
                  <c:v>9604</c:v>
                </c:pt>
              </c:numCache>
            </c:numRef>
          </c:val>
        </c:ser>
        <c:ser>
          <c:idx val="1"/>
          <c:order val="1"/>
          <c:tx>
            <c:strRef>
              <c:f>Vzdělání!$R$5:$R$6</c:f>
              <c:strCache>
                <c:ptCount val="1"/>
                <c:pt idx="0">
                  <c:v>ZŠ</c:v>
                </c:pt>
              </c:strCache>
            </c:strRef>
          </c:tx>
          <c:spPr>
            <a:solidFill>
              <a:schemeClr val="accent2">
                <a:lumMod val="40000"/>
                <a:lumOff val="60000"/>
              </a:schemeClr>
            </a:solidFill>
          </c:spPr>
          <c:invertIfNegative val="0"/>
          <c:cat>
            <c:strRef>
              <c:f>Vzdělání!$P$7:$P$21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Vzdělání!$R$7:$R$21</c:f>
              <c:numCache>
                <c:formatCode>#,##0</c:formatCode>
                <c:ptCount val="15"/>
                <c:pt idx="0">
                  <c:v>6192</c:v>
                </c:pt>
                <c:pt idx="1">
                  <c:v>10751</c:v>
                </c:pt>
                <c:pt idx="2">
                  <c:v>4857</c:v>
                </c:pt>
                <c:pt idx="3">
                  <c:v>4337</c:v>
                </c:pt>
                <c:pt idx="4">
                  <c:v>2133</c:v>
                </c:pt>
                <c:pt idx="5">
                  <c:v>17733</c:v>
                </c:pt>
                <c:pt idx="6">
                  <c:v>4341</c:v>
                </c:pt>
                <c:pt idx="7">
                  <c:v>4299</c:v>
                </c:pt>
                <c:pt idx="8">
                  <c:v>3719</c:v>
                </c:pt>
                <c:pt idx="9">
                  <c:v>3215</c:v>
                </c:pt>
                <c:pt idx="10">
                  <c:v>12213</c:v>
                </c:pt>
                <c:pt idx="11">
                  <c:v>7285</c:v>
                </c:pt>
                <c:pt idx="12">
                  <c:v>3677</c:v>
                </c:pt>
                <c:pt idx="13">
                  <c:v>19990</c:v>
                </c:pt>
                <c:pt idx="14">
                  <c:v>104742</c:v>
                </c:pt>
              </c:numCache>
            </c:numRef>
          </c:val>
        </c:ser>
        <c:ser>
          <c:idx val="2"/>
          <c:order val="2"/>
          <c:tx>
            <c:strRef>
              <c:f>Vzdělání!$S$5:$S$6</c:f>
              <c:strCache>
                <c:ptCount val="1"/>
                <c:pt idx="0">
                  <c:v>nižší střední</c:v>
                </c:pt>
              </c:strCache>
            </c:strRef>
          </c:tx>
          <c:spPr>
            <a:solidFill>
              <a:srgbClr val="00CCFF"/>
            </a:solidFill>
          </c:spPr>
          <c:invertIfNegative val="0"/>
          <c:cat>
            <c:strRef>
              <c:f>Vzdělání!$P$7:$P$21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Vzdělání!$S$7:$S$21</c:f>
              <c:numCache>
                <c:formatCode>#,##0</c:formatCode>
                <c:ptCount val="15"/>
                <c:pt idx="0">
                  <c:v>37</c:v>
                </c:pt>
                <c:pt idx="1">
                  <c:v>25</c:v>
                </c:pt>
                <c:pt idx="2">
                  <c:v>10</c:v>
                </c:pt>
                <c:pt idx="3">
                  <c:v>13</c:v>
                </c:pt>
                <c:pt idx="4">
                  <c:v>8</c:v>
                </c:pt>
                <c:pt idx="5">
                  <c:v>33</c:v>
                </c:pt>
                <c:pt idx="6">
                  <c:v>9</c:v>
                </c:pt>
                <c:pt idx="7">
                  <c:v>7</c:v>
                </c:pt>
                <c:pt idx="8">
                  <c:v>10</c:v>
                </c:pt>
                <c:pt idx="9">
                  <c:v>1</c:v>
                </c:pt>
                <c:pt idx="10">
                  <c:v>24</c:v>
                </c:pt>
                <c:pt idx="11">
                  <c:v>16</c:v>
                </c:pt>
                <c:pt idx="12">
                  <c:v>14</c:v>
                </c:pt>
                <c:pt idx="13">
                  <c:v>33</c:v>
                </c:pt>
                <c:pt idx="14">
                  <c:v>240</c:v>
                </c:pt>
              </c:numCache>
            </c:numRef>
          </c:val>
        </c:ser>
        <c:ser>
          <c:idx val="3"/>
          <c:order val="3"/>
          <c:tx>
            <c:strRef>
              <c:f>Vzdělání!$T$5:$T$6</c:f>
              <c:strCache>
                <c:ptCount val="1"/>
                <c:pt idx="0">
                  <c:v>nižší střední odborné</c:v>
                </c:pt>
              </c:strCache>
            </c:strRef>
          </c:tx>
          <c:spPr>
            <a:solidFill>
              <a:srgbClr val="99CCFF"/>
            </a:solidFill>
          </c:spPr>
          <c:invertIfNegative val="0"/>
          <c:cat>
            <c:strRef>
              <c:f>Vzdělání!$P$7:$P$21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Vzdělání!$T$7:$T$21</c:f>
              <c:numCache>
                <c:formatCode>#,##0</c:formatCode>
                <c:ptCount val="15"/>
                <c:pt idx="0">
                  <c:v>282</c:v>
                </c:pt>
                <c:pt idx="1">
                  <c:v>849</c:v>
                </c:pt>
                <c:pt idx="2">
                  <c:v>425</c:v>
                </c:pt>
                <c:pt idx="3">
                  <c:v>324</c:v>
                </c:pt>
                <c:pt idx="4">
                  <c:v>378</c:v>
                </c:pt>
                <c:pt idx="5">
                  <c:v>1544</c:v>
                </c:pt>
                <c:pt idx="6">
                  <c:v>451</c:v>
                </c:pt>
                <c:pt idx="7">
                  <c:v>392</c:v>
                </c:pt>
                <c:pt idx="8">
                  <c:v>463</c:v>
                </c:pt>
                <c:pt idx="9">
                  <c:v>364</c:v>
                </c:pt>
                <c:pt idx="10">
                  <c:v>960</c:v>
                </c:pt>
                <c:pt idx="11">
                  <c:v>862</c:v>
                </c:pt>
                <c:pt idx="12">
                  <c:v>452</c:v>
                </c:pt>
                <c:pt idx="13">
                  <c:v>2054</c:v>
                </c:pt>
                <c:pt idx="14">
                  <c:v>9800</c:v>
                </c:pt>
              </c:numCache>
            </c:numRef>
          </c:val>
        </c:ser>
        <c:ser>
          <c:idx val="4"/>
          <c:order val="4"/>
          <c:tx>
            <c:strRef>
              <c:f>Vzdělání!$U$5:$U$6</c:f>
              <c:strCache>
                <c:ptCount val="1"/>
                <c:pt idx="0">
                  <c:v>Střední odb. (vyučen)</c:v>
                </c:pt>
              </c:strCache>
            </c:strRef>
          </c:tx>
          <c:spPr>
            <a:solidFill>
              <a:schemeClr val="accent1">
                <a:lumMod val="60000"/>
                <a:lumOff val="40000"/>
              </a:schemeClr>
            </a:solidFill>
          </c:spPr>
          <c:invertIfNegative val="0"/>
          <c:cat>
            <c:strRef>
              <c:f>Vzdělání!$P$7:$P$21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Vzdělání!$U$7:$U$21</c:f>
              <c:numCache>
                <c:formatCode>#,##0</c:formatCode>
                <c:ptCount val="15"/>
                <c:pt idx="0">
                  <c:v>7839</c:v>
                </c:pt>
                <c:pt idx="1">
                  <c:v>14094</c:v>
                </c:pt>
                <c:pt idx="2">
                  <c:v>7967</c:v>
                </c:pt>
                <c:pt idx="3">
                  <c:v>5593</c:v>
                </c:pt>
                <c:pt idx="4">
                  <c:v>3404</c:v>
                </c:pt>
                <c:pt idx="5">
                  <c:v>13925</c:v>
                </c:pt>
                <c:pt idx="6">
                  <c:v>5841</c:v>
                </c:pt>
                <c:pt idx="7">
                  <c:v>5238</c:v>
                </c:pt>
                <c:pt idx="8">
                  <c:v>5756</c:v>
                </c:pt>
                <c:pt idx="9">
                  <c:v>8169</c:v>
                </c:pt>
                <c:pt idx="10">
                  <c:v>19030</c:v>
                </c:pt>
                <c:pt idx="11">
                  <c:v>10357</c:v>
                </c:pt>
                <c:pt idx="12">
                  <c:v>8553</c:v>
                </c:pt>
                <c:pt idx="13">
                  <c:v>24735</c:v>
                </c:pt>
                <c:pt idx="14">
                  <c:v>140501</c:v>
                </c:pt>
              </c:numCache>
            </c:numRef>
          </c:val>
        </c:ser>
        <c:ser>
          <c:idx val="5"/>
          <c:order val="5"/>
          <c:tx>
            <c:strRef>
              <c:f>Vzdělání!$V$5:$V$6</c:f>
              <c:strCache>
                <c:ptCount val="1"/>
                <c:pt idx="0">
                  <c:v>Střední odb. bez mat. a vyuč.</c:v>
                </c:pt>
              </c:strCache>
            </c:strRef>
          </c:tx>
          <c:spPr>
            <a:solidFill>
              <a:schemeClr val="tx2">
                <a:lumMod val="60000"/>
                <a:lumOff val="40000"/>
              </a:schemeClr>
            </a:solidFill>
          </c:spPr>
          <c:invertIfNegative val="0"/>
          <c:cat>
            <c:strRef>
              <c:f>Vzdělání!$P$7:$P$21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Vzdělání!$V$7:$V$21</c:f>
              <c:numCache>
                <c:formatCode>#,##0</c:formatCode>
                <c:ptCount val="15"/>
                <c:pt idx="0">
                  <c:v>296</c:v>
                </c:pt>
                <c:pt idx="1">
                  <c:v>258</c:v>
                </c:pt>
                <c:pt idx="2">
                  <c:v>110</c:v>
                </c:pt>
                <c:pt idx="3">
                  <c:v>93</c:v>
                </c:pt>
                <c:pt idx="4">
                  <c:v>47</c:v>
                </c:pt>
                <c:pt idx="5">
                  <c:v>209</c:v>
                </c:pt>
                <c:pt idx="6">
                  <c:v>102</c:v>
                </c:pt>
                <c:pt idx="7">
                  <c:v>77</c:v>
                </c:pt>
                <c:pt idx="8">
                  <c:v>88</c:v>
                </c:pt>
                <c:pt idx="9">
                  <c:v>105</c:v>
                </c:pt>
                <c:pt idx="10">
                  <c:v>236</c:v>
                </c:pt>
                <c:pt idx="11">
                  <c:v>147</c:v>
                </c:pt>
                <c:pt idx="12">
                  <c:v>123</c:v>
                </c:pt>
                <c:pt idx="13">
                  <c:v>324</c:v>
                </c:pt>
                <c:pt idx="14">
                  <c:v>2215</c:v>
                </c:pt>
              </c:numCache>
            </c:numRef>
          </c:val>
        </c:ser>
        <c:ser>
          <c:idx val="6"/>
          <c:order val="6"/>
          <c:tx>
            <c:strRef>
              <c:f>Vzdělání!$W$5:$W$6</c:f>
              <c:strCache>
                <c:ptCount val="1"/>
                <c:pt idx="0">
                  <c:v> ÚSV</c:v>
                </c:pt>
              </c:strCache>
            </c:strRef>
          </c:tx>
          <c:spPr>
            <a:solidFill>
              <a:srgbClr val="CCECFF"/>
            </a:solidFill>
          </c:spPr>
          <c:invertIfNegative val="0"/>
          <c:cat>
            <c:strRef>
              <c:f>Vzdělání!$P$7:$P$21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Vzdělání!$W$7:$W$21</c:f>
              <c:numCache>
                <c:formatCode>#,##0</c:formatCode>
                <c:ptCount val="15"/>
                <c:pt idx="0">
                  <c:v>1178</c:v>
                </c:pt>
                <c:pt idx="1">
                  <c:v>1181</c:v>
                </c:pt>
                <c:pt idx="2">
                  <c:v>461</c:v>
                </c:pt>
                <c:pt idx="3">
                  <c:v>330</c:v>
                </c:pt>
                <c:pt idx="4">
                  <c:v>177</c:v>
                </c:pt>
                <c:pt idx="5">
                  <c:v>862</c:v>
                </c:pt>
                <c:pt idx="6">
                  <c:v>370</c:v>
                </c:pt>
                <c:pt idx="7">
                  <c:v>364</c:v>
                </c:pt>
                <c:pt idx="8">
                  <c:v>379</c:v>
                </c:pt>
                <c:pt idx="9">
                  <c:v>438</c:v>
                </c:pt>
                <c:pt idx="10">
                  <c:v>1556</c:v>
                </c:pt>
                <c:pt idx="11">
                  <c:v>789</c:v>
                </c:pt>
                <c:pt idx="12">
                  <c:v>659</c:v>
                </c:pt>
                <c:pt idx="13">
                  <c:v>1675</c:v>
                </c:pt>
                <c:pt idx="14">
                  <c:v>10419</c:v>
                </c:pt>
              </c:numCache>
            </c:numRef>
          </c:val>
        </c:ser>
        <c:ser>
          <c:idx val="7"/>
          <c:order val="7"/>
          <c:tx>
            <c:strRef>
              <c:f>Vzdělání!$X$5:$X$6</c:f>
              <c:strCache>
                <c:ptCount val="1"/>
                <c:pt idx="0">
                  <c:v>ÚSO (vyuč.+ mat.)</c:v>
                </c:pt>
              </c:strCache>
            </c:strRef>
          </c:tx>
          <c:spPr>
            <a:solidFill>
              <a:schemeClr val="accent1">
                <a:lumMod val="40000"/>
                <a:lumOff val="60000"/>
              </a:schemeClr>
            </a:solidFill>
          </c:spPr>
          <c:invertIfNegative val="0"/>
          <c:cat>
            <c:strRef>
              <c:f>Vzdělání!$P$7:$P$21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Vzdělání!$X$7:$X$21</c:f>
              <c:numCache>
                <c:formatCode>#,##0</c:formatCode>
                <c:ptCount val="15"/>
                <c:pt idx="0">
                  <c:v>1385</c:v>
                </c:pt>
                <c:pt idx="1">
                  <c:v>1720</c:v>
                </c:pt>
                <c:pt idx="2">
                  <c:v>899</c:v>
                </c:pt>
                <c:pt idx="3">
                  <c:v>576</c:v>
                </c:pt>
                <c:pt idx="4">
                  <c:v>249</c:v>
                </c:pt>
                <c:pt idx="5">
                  <c:v>1318</c:v>
                </c:pt>
                <c:pt idx="6">
                  <c:v>541</c:v>
                </c:pt>
                <c:pt idx="7">
                  <c:v>530</c:v>
                </c:pt>
                <c:pt idx="8">
                  <c:v>606</c:v>
                </c:pt>
                <c:pt idx="9">
                  <c:v>881</c:v>
                </c:pt>
                <c:pt idx="10">
                  <c:v>2342</c:v>
                </c:pt>
                <c:pt idx="11">
                  <c:v>1183</c:v>
                </c:pt>
                <c:pt idx="12">
                  <c:v>1203</c:v>
                </c:pt>
                <c:pt idx="13">
                  <c:v>2904</c:v>
                </c:pt>
                <c:pt idx="14">
                  <c:v>16337</c:v>
                </c:pt>
              </c:numCache>
            </c:numRef>
          </c:val>
        </c:ser>
        <c:ser>
          <c:idx val="8"/>
          <c:order val="8"/>
          <c:tx>
            <c:strRef>
              <c:f>Vzdělání!$Y$5:$Y$6</c:f>
              <c:strCache>
                <c:ptCount val="1"/>
                <c:pt idx="0">
                  <c:v>ÚSO s maturitou (bez vyučení)</c:v>
                </c:pt>
              </c:strCache>
            </c:strRef>
          </c:tx>
          <c:spPr>
            <a:solidFill>
              <a:schemeClr val="accent5">
                <a:lumMod val="40000"/>
                <a:lumOff val="60000"/>
              </a:schemeClr>
            </a:solidFill>
          </c:spPr>
          <c:invertIfNegative val="0"/>
          <c:cat>
            <c:strRef>
              <c:f>Vzdělání!$P$7:$P$21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Vzdělání!$Y$7:$Y$21</c:f>
              <c:numCache>
                <c:formatCode>#,##0</c:formatCode>
                <c:ptCount val="15"/>
                <c:pt idx="0">
                  <c:v>7051</c:v>
                </c:pt>
                <c:pt idx="1">
                  <c:v>6701</c:v>
                </c:pt>
                <c:pt idx="2">
                  <c:v>3029</c:v>
                </c:pt>
                <c:pt idx="3">
                  <c:v>2287</c:v>
                </c:pt>
                <c:pt idx="4">
                  <c:v>1264</c:v>
                </c:pt>
                <c:pt idx="5">
                  <c:v>4773</c:v>
                </c:pt>
                <c:pt idx="6">
                  <c:v>2462</c:v>
                </c:pt>
                <c:pt idx="7">
                  <c:v>2254</c:v>
                </c:pt>
                <c:pt idx="8">
                  <c:v>2243</c:v>
                </c:pt>
                <c:pt idx="9">
                  <c:v>3103</c:v>
                </c:pt>
                <c:pt idx="10">
                  <c:v>8107</c:v>
                </c:pt>
                <c:pt idx="11">
                  <c:v>3852</c:v>
                </c:pt>
                <c:pt idx="12">
                  <c:v>3391</c:v>
                </c:pt>
                <c:pt idx="13">
                  <c:v>7423</c:v>
                </c:pt>
                <c:pt idx="14">
                  <c:v>57940</c:v>
                </c:pt>
              </c:numCache>
            </c:numRef>
          </c:val>
        </c:ser>
        <c:ser>
          <c:idx val="9"/>
          <c:order val="9"/>
          <c:tx>
            <c:strRef>
              <c:f>Vzdělání!$Z$5:$Z$6</c:f>
              <c:strCache>
                <c:ptCount val="1"/>
                <c:pt idx="0">
                  <c:v>VOŠ</c:v>
                </c:pt>
              </c:strCache>
            </c:strRef>
          </c:tx>
          <c:spPr>
            <a:solidFill>
              <a:schemeClr val="accent3">
                <a:lumMod val="40000"/>
                <a:lumOff val="60000"/>
              </a:schemeClr>
            </a:solidFill>
          </c:spPr>
          <c:invertIfNegative val="0"/>
          <c:cat>
            <c:strRef>
              <c:f>Vzdělání!$P$7:$P$21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Vzdělání!$Z$7:$Z$21</c:f>
              <c:numCache>
                <c:formatCode>#,##0</c:formatCode>
                <c:ptCount val="15"/>
                <c:pt idx="0">
                  <c:v>528</c:v>
                </c:pt>
                <c:pt idx="1">
                  <c:v>413</c:v>
                </c:pt>
                <c:pt idx="2">
                  <c:v>195</c:v>
                </c:pt>
                <c:pt idx="3">
                  <c:v>117</c:v>
                </c:pt>
                <c:pt idx="4">
                  <c:v>46</c:v>
                </c:pt>
                <c:pt idx="5">
                  <c:v>187</c:v>
                </c:pt>
                <c:pt idx="6">
                  <c:v>115</c:v>
                </c:pt>
                <c:pt idx="7">
                  <c:v>122</c:v>
                </c:pt>
                <c:pt idx="8">
                  <c:v>132</c:v>
                </c:pt>
                <c:pt idx="9">
                  <c:v>191</c:v>
                </c:pt>
                <c:pt idx="10">
                  <c:v>434</c:v>
                </c:pt>
                <c:pt idx="11">
                  <c:v>200</c:v>
                </c:pt>
                <c:pt idx="12">
                  <c:v>174</c:v>
                </c:pt>
                <c:pt idx="13">
                  <c:v>326</c:v>
                </c:pt>
                <c:pt idx="14">
                  <c:v>3180</c:v>
                </c:pt>
              </c:numCache>
            </c:numRef>
          </c:val>
        </c:ser>
        <c:ser>
          <c:idx val="10"/>
          <c:order val="10"/>
          <c:tx>
            <c:strRef>
              <c:f>Vzdělání!$AA$5:$AA$6</c:f>
              <c:strCache>
                <c:ptCount val="1"/>
                <c:pt idx="0">
                  <c:v>bakalář.</c:v>
                </c:pt>
              </c:strCache>
            </c:strRef>
          </c:tx>
          <c:spPr>
            <a:solidFill>
              <a:schemeClr val="accent3">
                <a:lumMod val="60000"/>
                <a:lumOff val="40000"/>
              </a:schemeClr>
            </a:solidFill>
          </c:spPr>
          <c:invertIfNegative val="0"/>
          <c:cat>
            <c:strRef>
              <c:f>Vzdělání!$P$7:$P$21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Vzdělání!$AA$7:$AA$21</c:f>
              <c:numCache>
                <c:formatCode>#,##0</c:formatCode>
                <c:ptCount val="15"/>
                <c:pt idx="0">
                  <c:v>948</c:v>
                </c:pt>
                <c:pt idx="1">
                  <c:v>577</c:v>
                </c:pt>
                <c:pt idx="2">
                  <c:v>350</c:v>
                </c:pt>
                <c:pt idx="3">
                  <c:v>246</c:v>
                </c:pt>
                <c:pt idx="4">
                  <c:v>106</c:v>
                </c:pt>
                <c:pt idx="5">
                  <c:v>398</c:v>
                </c:pt>
                <c:pt idx="6">
                  <c:v>250</c:v>
                </c:pt>
                <c:pt idx="7">
                  <c:v>270</c:v>
                </c:pt>
                <c:pt idx="8">
                  <c:v>241</c:v>
                </c:pt>
                <c:pt idx="9">
                  <c:v>396</c:v>
                </c:pt>
                <c:pt idx="10">
                  <c:v>994</c:v>
                </c:pt>
                <c:pt idx="11">
                  <c:v>462</c:v>
                </c:pt>
                <c:pt idx="12">
                  <c:v>462</c:v>
                </c:pt>
                <c:pt idx="13">
                  <c:v>913</c:v>
                </c:pt>
                <c:pt idx="14">
                  <c:v>6613</c:v>
                </c:pt>
              </c:numCache>
            </c:numRef>
          </c:val>
        </c:ser>
        <c:ser>
          <c:idx val="11"/>
          <c:order val="11"/>
          <c:tx>
            <c:strRef>
              <c:f>Vzdělání!$AB$5:$AB$6</c:f>
              <c:strCache>
                <c:ptCount val="1"/>
                <c:pt idx="0">
                  <c:v>VŠ (vč. doktor.)</c:v>
                </c:pt>
              </c:strCache>
            </c:strRef>
          </c:tx>
          <c:spPr>
            <a:solidFill>
              <a:srgbClr val="92D050"/>
            </a:solidFill>
          </c:spPr>
          <c:invertIfNegative val="0"/>
          <c:cat>
            <c:strRef>
              <c:f>Vzdělání!$P$7:$P$21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Vzdělání!$AB$7:$AB$21</c:f>
              <c:numCache>
                <c:formatCode>#,##0</c:formatCode>
                <c:ptCount val="15"/>
                <c:pt idx="0">
                  <c:v>4332</c:v>
                </c:pt>
                <c:pt idx="1">
                  <c:v>2073</c:v>
                </c:pt>
                <c:pt idx="2">
                  <c:v>935</c:v>
                </c:pt>
                <c:pt idx="3">
                  <c:v>656</c:v>
                </c:pt>
                <c:pt idx="4">
                  <c:v>214</c:v>
                </c:pt>
                <c:pt idx="5">
                  <c:v>897</c:v>
                </c:pt>
                <c:pt idx="6">
                  <c:v>603</c:v>
                </c:pt>
                <c:pt idx="7">
                  <c:v>669</c:v>
                </c:pt>
                <c:pt idx="8">
                  <c:v>607</c:v>
                </c:pt>
                <c:pt idx="9">
                  <c:v>794</c:v>
                </c:pt>
                <c:pt idx="10">
                  <c:v>3106</c:v>
                </c:pt>
                <c:pt idx="11">
                  <c:v>1284</c:v>
                </c:pt>
                <c:pt idx="12">
                  <c:v>1120</c:v>
                </c:pt>
                <c:pt idx="13">
                  <c:v>2492</c:v>
                </c:pt>
                <c:pt idx="14">
                  <c:v>19782</c:v>
                </c:pt>
              </c:numCache>
            </c:numRef>
          </c:val>
        </c:ser>
        <c:dLbls>
          <c:showLegendKey val="0"/>
          <c:showVal val="0"/>
          <c:showCatName val="0"/>
          <c:showSerName val="0"/>
          <c:showPercent val="0"/>
          <c:showBubbleSize val="0"/>
        </c:dLbls>
        <c:gapWidth val="150"/>
        <c:overlap val="100"/>
        <c:axId val="81286272"/>
        <c:axId val="81287808"/>
      </c:barChart>
      <c:catAx>
        <c:axId val="81286272"/>
        <c:scaling>
          <c:orientation val="maxMin"/>
        </c:scaling>
        <c:delete val="0"/>
        <c:axPos val="l"/>
        <c:majorTickMark val="out"/>
        <c:minorTickMark val="none"/>
        <c:tickLblPos val="nextTo"/>
        <c:txPr>
          <a:bodyPr/>
          <a:lstStyle/>
          <a:p>
            <a:pPr>
              <a:defRPr sz="800"/>
            </a:pPr>
            <a:endParaRPr lang="cs-CZ"/>
          </a:p>
        </c:txPr>
        <c:crossAx val="81287808"/>
        <c:crosses val="autoZero"/>
        <c:auto val="1"/>
        <c:lblAlgn val="ctr"/>
        <c:lblOffset val="100"/>
        <c:noMultiLvlLbl val="0"/>
      </c:catAx>
      <c:valAx>
        <c:axId val="81287808"/>
        <c:scaling>
          <c:orientation val="minMax"/>
        </c:scaling>
        <c:delete val="0"/>
        <c:axPos val="t"/>
        <c:majorGridlines/>
        <c:numFmt formatCode="0%" sourceLinked="1"/>
        <c:majorTickMark val="out"/>
        <c:minorTickMark val="none"/>
        <c:tickLblPos val="nextTo"/>
        <c:txPr>
          <a:bodyPr/>
          <a:lstStyle/>
          <a:p>
            <a:pPr>
              <a:defRPr sz="800"/>
            </a:pPr>
            <a:endParaRPr lang="cs-CZ"/>
          </a:p>
        </c:txPr>
        <c:crossAx val="81286272"/>
        <c:crosses val="autoZero"/>
        <c:crossBetween val="between"/>
      </c:valAx>
    </c:plotArea>
    <c:legend>
      <c:legendPos val="b"/>
      <c:layout>
        <c:manualLayout>
          <c:xMode val="edge"/>
          <c:yMode val="edge"/>
          <c:x val="2.4404503156113755E-2"/>
          <c:y val="0.87579724850356078"/>
          <c:w val="0.95339057240284186"/>
          <c:h val="0.11070087793453173"/>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PvN!$B$2</c:f>
              <c:strCache>
                <c:ptCount val="1"/>
                <c:pt idx="0">
                  <c:v>UoZ</c:v>
                </c:pt>
              </c:strCache>
            </c:strRef>
          </c:tx>
          <c:marker>
            <c:symbol val="none"/>
          </c:marker>
          <c:cat>
            <c:strRef>
              <c:f>PvN!$A$3:$A$146</c:f>
              <c:strCache>
                <c:ptCount val="144"/>
                <c:pt idx="0">
                  <c:v>I. (05)</c:v>
                </c:pt>
                <c:pt idx="1">
                  <c:v>II.</c:v>
                </c:pt>
                <c:pt idx="2">
                  <c:v>III.</c:v>
                </c:pt>
                <c:pt idx="3">
                  <c:v>IV.</c:v>
                </c:pt>
                <c:pt idx="4">
                  <c:v>V.</c:v>
                </c:pt>
                <c:pt idx="5">
                  <c:v>VI.</c:v>
                </c:pt>
                <c:pt idx="6">
                  <c:v>VII.</c:v>
                </c:pt>
                <c:pt idx="7">
                  <c:v>VIII.</c:v>
                </c:pt>
                <c:pt idx="8">
                  <c:v>IX.</c:v>
                </c:pt>
                <c:pt idx="9">
                  <c:v>X.</c:v>
                </c:pt>
                <c:pt idx="10">
                  <c:v>XI.</c:v>
                </c:pt>
                <c:pt idx="11">
                  <c:v>XII.</c:v>
                </c:pt>
                <c:pt idx="12">
                  <c:v>I. (06)</c:v>
                </c:pt>
                <c:pt idx="13">
                  <c:v>II.</c:v>
                </c:pt>
                <c:pt idx="14">
                  <c:v>III.</c:v>
                </c:pt>
                <c:pt idx="15">
                  <c:v>IV.</c:v>
                </c:pt>
                <c:pt idx="16">
                  <c:v>V.</c:v>
                </c:pt>
                <c:pt idx="17">
                  <c:v>VI.</c:v>
                </c:pt>
                <c:pt idx="18">
                  <c:v>VII.</c:v>
                </c:pt>
                <c:pt idx="19">
                  <c:v>VIII.</c:v>
                </c:pt>
                <c:pt idx="20">
                  <c:v>IX.</c:v>
                </c:pt>
                <c:pt idx="21">
                  <c:v>X.</c:v>
                </c:pt>
                <c:pt idx="22">
                  <c:v>XI.</c:v>
                </c:pt>
                <c:pt idx="23">
                  <c:v>XII.</c:v>
                </c:pt>
                <c:pt idx="24">
                  <c:v>I. (07)</c:v>
                </c:pt>
                <c:pt idx="25">
                  <c:v>II.</c:v>
                </c:pt>
                <c:pt idx="26">
                  <c:v>III.</c:v>
                </c:pt>
                <c:pt idx="27">
                  <c:v>IV.</c:v>
                </c:pt>
                <c:pt idx="28">
                  <c:v>V.</c:v>
                </c:pt>
                <c:pt idx="29">
                  <c:v>VI.</c:v>
                </c:pt>
                <c:pt idx="30">
                  <c:v>VII.</c:v>
                </c:pt>
                <c:pt idx="31">
                  <c:v>VIII.</c:v>
                </c:pt>
                <c:pt idx="32">
                  <c:v>IX.</c:v>
                </c:pt>
                <c:pt idx="33">
                  <c:v>X.</c:v>
                </c:pt>
                <c:pt idx="34">
                  <c:v>XI.</c:v>
                </c:pt>
                <c:pt idx="35">
                  <c:v>XII.</c:v>
                </c:pt>
                <c:pt idx="36">
                  <c:v>I. (08)</c:v>
                </c:pt>
                <c:pt idx="37">
                  <c:v>II.</c:v>
                </c:pt>
                <c:pt idx="38">
                  <c:v>III.</c:v>
                </c:pt>
                <c:pt idx="39">
                  <c:v>IV.</c:v>
                </c:pt>
                <c:pt idx="40">
                  <c:v>V.</c:v>
                </c:pt>
                <c:pt idx="41">
                  <c:v>VI.</c:v>
                </c:pt>
                <c:pt idx="42">
                  <c:v>VII.</c:v>
                </c:pt>
                <c:pt idx="43">
                  <c:v>VIII.</c:v>
                </c:pt>
                <c:pt idx="44">
                  <c:v>IX.</c:v>
                </c:pt>
                <c:pt idx="45">
                  <c:v>X.</c:v>
                </c:pt>
                <c:pt idx="46">
                  <c:v>XI.</c:v>
                </c:pt>
                <c:pt idx="47">
                  <c:v>XII.</c:v>
                </c:pt>
                <c:pt idx="48">
                  <c:v>I. (09)</c:v>
                </c:pt>
                <c:pt idx="49">
                  <c:v>II.</c:v>
                </c:pt>
                <c:pt idx="50">
                  <c:v>III.</c:v>
                </c:pt>
                <c:pt idx="51">
                  <c:v>IV.</c:v>
                </c:pt>
                <c:pt idx="52">
                  <c:v>V.</c:v>
                </c:pt>
                <c:pt idx="53">
                  <c:v>VI.</c:v>
                </c:pt>
                <c:pt idx="54">
                  <c:v>VII.</c:v>
                </c:pt>
                <c:pt idx="55">
                  <c:v>VIII.</c:v>
                </c:pt>
                <c:pt idx="56">
                  <c:v>IX.</c:v>
                </c:pt>
                <c:pt idx="57">
                  <c:v>X.</c:v>
                </c:pt>
                <c:pt idx="58">
                  <c:v>XI.</c:v>
                </c:pt>
                <c:pt idx="59">
                  <c:v>XII.</c:v>
                </c:pt>
                <c:pt idx="60">
                  <c:v>I. (10)</c:v>
                </c:pt>
                <c:pt idx="61">
                  <c:v>II.</c:v>
                </c:pt>
                <c:pt idx="62">
                  <c:v>III.</c:v>
                </c:pt>
                <c:pt idx="63">
                  <c:v>IV.</c:v>
                </c:pt>
                <c:pt idx="64">
                  <c:v>V.</c:v>
                </c:pt>
                <c:pt idx="65">
                  <c:v>VI.</c:v>
                </c:pt>
                <c:pt idx="66">
                  <c:v>VII.</c:v>
                </c:pt>
                <c:pt idx="67">
                  <c:v>VIII.</c:v>
                </c:pt>
                <c:pt idx="68">
                  <c:v>IX.</c:v>
                </c:pt>
                <c:pt idx="69">
                  <c:v>X.</c:v>
                </c:pt>
                <c:pt idx="70">
                  <c:v>XI.</c:v>
                </c:pt>
                <c:pt idx="71">
                  <c:v>XII.</c:v>
                </c:pt>
                <c:pt idx="72">
                  <c:v>I. (11)</c:v>
                </c:pt>
                <c:pt idx="73">
                  <c:v>II.</c:v>
                </c:pt>
                <c:pt idx="74">
                  <c:v>III.</c:v>
                </c:pt>
                <c:pt idx="75">
                  <c:v>IV.</c:v>
                </c:pt>
                <c:pt idx="76">
                  <c:v>V.</c:v>
                </c:pt>
                <c:pt idx="77">
                  <c:v>VI.</c:v>
                </c:pt>
                <c:pt idx="78">
                  <c:v>VII.</c:v>
                </c:pt>
                <c:pt idx="79">
                  <c:v>VIII.</c:v>
                </c:pt>
                <c:pt idx="80">
                  <c:v>IX.</c:v>
                </c:pt>
                <c:pt idx="81">
                  <c:v>X.</c:v>
                </c:pt>
                <c:pt idx="82">
                  <c:v>XI.</c:v>
                </c:pt>
                <c:pt idx="83">
                  <c:v>XII.</c:v>
                </c:pt>
                <c:pt idx="84">
                  <c:v>I. (12)</c:v>
                </c:pt>
                <c:pt idx="85">
                  <c:v>II.</c:v>
                </c:pt>
                <c:pt idx="86">
                  <c:v>III.</c:v>
                </c:pt>
                <c:pt idx="87">
                  <c:v>IV.</c:v>
                </c:pt>
                <c:pt idx="88">
                  <c:v>V.</c:v>
                </c:pt>
                <c:pt idx="89">
                  <c:v>VI.</c:v>
                </c:pt>
                <c:pt idx="90">
                  <c:v>VII.</c:v>
                </c:pt>
                <c:pt idx="91">
                  <c:v>VIII.</c:v>
                </c:pt>
                <c:pt idx="92">
                  <c:v>IX.</c:v>
                </c:pt>
                <c:pt idx="93">
                  <c:v>X.</c:v>
                </c:pt>
                <c:pt idx="94">
                  <c:v>XI.</c:v>
                </c:pt>
                <c:pt idx="95">
                  <c:v>XII.</c:v>
                </c:pt>
                <c:pt idx="96">
                  <c:v>I. (13)</c:v>
                </c:pt>
                <c:pt idx="97">
                  <c:v>II.</c:v>
                </c:pt>
                <c:pt idx="98">
                  <c:v>III.</c:v>
                </c:pt>
                <c:pt idx="99">
                  <c:v>IV.</c:v>
                </c:pt>
                <c:pt idx="100">
                  <c:v>V.</c:v>
                </c:pt>
                <c:pt idx="101">
                  <c:v>VI.</c:v>
                </c:pt>
                <c:pt idx="102">
                  <c:v>VII.</c:v>
                </c:pt>
                <c:pt idx="103">
                  <c:v>VIII.</c:v>
                </c:pt>
                <c:pt idx="104">
                  <c:v>IX.</c:v>
                </c:pt>
                <c:pt idx="105">
                  <c:v>X.</c:v>
                </c:pt>
                <c:pt idx="106">
                  <c:v>XI.</c:v>
                </c:pt>
                <c:pt idx="107">
                  <c:v>XII.</c:v>
                </c:pt>
                <c:pt idx="108">
                  <c:v>I. (14)</c:v>
                </c:pt>
                <c:pt idx="109">
                  <c:v>II.</c:v>
                </c:pt>
                <c:pt idx="110">
                  <c:v>III.</c:v>
                </c:pt>
                <c:pt idx="111">
                  <c:v>IV.</c:v>
                </c:pt>
                <c:pt idx="112">
                  <c:v>V.</c:v>
                </c:pt>
                <c:pt idx="113">
                  <c:v>VI.</c:v>
                </c:pt>
                <c:pt idx="114">
                  <c:v>VII.</c:v>
                </c:pt>
                <c:pt idx="115">
                  <c:v>VIII.</c:v>
                </c:pt>
                <c:pt idx="116">
                  <c:v>IX.</c:v>
                </c:pt>
                <c:pt idx="117">
                  <c:v>X.</c:v>
                </c:pt>
                <c:pt idx="118">
                  <c:v>XI.</c:v>
                </c:pt>
                <c:pt idx="119">
                  <c:v>XII.</c:v>
                </c:pt>
                <c:pt idx="120">
                  <c:v>I. (15)</c:v>
                </c:pt>
                <c:pt idx="121">
                  <c:v>II.</c:v>
                </c:pt>
                <c:pt idx="122">
                  <c:v>III.</c:v>
                </c:pt>
                <c:pt idx="123">
                  <c:v>IV.</c:v>
                </c:pt>
                <c:pt idx="124">
                  <c:v>V.</c:v>
                </c:pt>
                <c:pt idx="125">
                  <c:v>VI.</c:v>
                </c:pt>
                <c:pt idx="126">
                  <c:v>VII.</c:v>
                </c:pt>
                <c:pt idx="127">
                  <c:v>VIII.</c:v>
                </c:pt>
                <c:pt idx="128">
                  <c:v>IX.</c:v>
                </c:pt>
                <c:pt idx="129">
                  <c:v>X.</c:v>
                </c:pt>
                <c:pt idx="130">
                  <c:v>XI.</c:v>
                </c:pt>
                <c:pt idx="131">
                  <c:v>XII.</c:v>
                </c:pt>
                <c:pt idx="132">
                  <c:v>I. (16)</c:v>
                </c:pt>
                <c:pt idx="133">
                  <c:v>II.</c:v>
                </c:pt>
                <c:pt idx="134">
                  <c:v>III.</c:v>
                </c:pt>
                <c:pt idx="135">
                  <c:v>IV.</c:v>
                </c:pt>
                <c:pt idx="136">
                  <c:v>V.</c:v>
                </c:pt>
                <c:pt idx="137">
                  <c:v>VI.</c:v>
                </c:pt>
                <c:pt idx="138">
                  <c:v>VII.</c:v>
                </c:pt>
                <c:pt idx="139">
                  <c:v>VIII.</c:v>
                </c:pt>
                <c:pt idx="140">
                  <c:v>IX.</c:v>
                </c:pt>
                <c:pt idx="141">
                  <c:v>X.</c:v>
                </c:pt>
                <c:pt idx="142">
                  <c:v>XI.</c:v>
                </c:pt>
                <c:pt idx="143">
                  <c:v>XII.</c:v>
                </c:pt>
              </c:strCache>
            </c:strRef>
          </c:cat>
          <c:val>
            <c:numRef>
              <c:f>PvN!$B$3:$B$146</c:f>
              <c:numCache>
                <c:formatCode>#,##0</c:formatCode>
                <c:ptCount val="144"/>
                <c:pt idx="0">
                  <c:v>561662</c:v>
                </c:pt>
                <c:pt idx="1">
                  <c:v>555046</c:v>
                </c:pt>
                <c:pt idx="2">
                  <c:v>540456</c:v>
                </c:pt>
                <c:pt idx="3">
                  <c:v>512557</c:v>
                </c:pt>
                <c:pt idx="4">
                  <c:v>494576</c:v>
                </c:pt>
                <c:pt idx="5">
                  <c:v>489744</c:v>
                </c:pt>
                <c:pt idx="6">
                  <c:v>500325</c:v>
                </c:pt>
                <c:pt idx="7">
                  <c:v>505254</c:v>
                </c:pt>
                <c:pt idx="8">
                  <c:v>503396</c:v>
                </c:pt>
                <c:pt idx="9">
                  <c:v>491878</c:v>
                </c:pt>
                <c:pt idx="10">
                  <c:v>490779</c:v>
                </c:pt>
                <c:pt idx="11">
                  <c:v>510416</c:v>
                </c:pt>
                <c:pt idx="12">
                  <c:v>531235</c:v>
                </c:pt>
                <c:pt idx="13">
                  <c:v>528154</c:v>
                </c:pt>
                <c:pt idx="14">
                  <c:v>514759</c:v>
                </c:pt>
                <c:pt idx="15">
                  <c:v>486163</c:v>
                </c:pt>
                <c:pt idx="16">
                  <c:v>463042</c:v>
                </c:pt>
                <c:pt idx="17">
                  <c:v>451106</c:v>
                </c:pt>
                <c:pt idx="18">
                  <c:v>458270</c:v>
                </c:pt>
                <c:pt idx="19">
                  <c:v>458729</c:v>
                </c:pt>
                <c:pt idx="20">
                  <c:v>454180</c:v>
                </c:pt>
                <c:pt idx="21">
                  <c:v>439788</c:v>
                </c:pt>
                <c:pt idx="22">
                  <c:v>432573</c:v>
                </c:pt>
                <c:pt idx="23">
                  <c:v>448454</c:v>
                </c:pt>
                <c:pt idx="24">
                  <c:v>465458</c:v>
                </c:pt>
                <c:pt idx="25">
                  <c:v>454737</c:v>
                </c:pt>
                <c:pt idx="26">
                  <c:v>430474</c:v>
                </c:pt>
                <c:pt idx="27">
                  <c:v>402932</c:v>
                </c:pt>
                <c:pt idx="28">
                  <c:v>382599</c:v>
                </c:pt>
                <c:pt idx="29">
                  <c:v>370791</c:v>
                </c:pt>
                <c:pt idx="30">
                  <c:v>376608</c:v>
                </c:pt>
                <c:pt idx="31">
                  <c:v>372759</c:v>
                </c:pt>
                <c:pt idx="32">
                  <c:v>364978</c:v>
                </c:pt>
                <c:pt idx="33">
                  <c:v>348842</c:v>
                </c:pt>
                <c:pt idx="34">
                  <c:v>341438</c:v>
                </c:pt>
                <c:pt idx="35">
                  <c:v>354878</c:v>
                </c:pt>
                <c:pt idx="36">
                  <c:v>364544</c:v>
                </c:pt>
                <c:pt idx="37">
                  <c:v>355033</c:v>
                </c:pt>
                <c:pt idx="38">
                  <c:v>336297</c:v>
                </c:pt>
                <c:pt idx="39">
                  <c:v>316118</c:v>
                </c:pt>
                <c:pt idx="40">
                  <c:v>302507</c:v>
                </c:pt>
                <c:pt idx="41">
                  <c:v>297880</c:v>
                </c:pt>
                <c:pt idx="42">
                  <c:v>310058</c:v>
                </c:pt>
                <c:pt idx="43">
                  <c:v>312333</c:v>
                </c:pt>
                <c:pt idx="44">
                  <c:v>314558</c:v>
                </c:pt>
                <c:pt idx="45">
                  <c:v>311705</c:v>
                </c:pt>
                <c:pt idx="46">
                  <c:v>320299</c:v>
                </c:pt>
                <c:pt idx="47">
                  <c:v>352250</c:v>
                </c:pt>
                <c:pt idx="48">
                  <c:v>398061</c:v>
                </c:pt>
                <c:pt idx="49">
                  <c:v>428848</c:v>
                </c:pt>
                <c:pt idx="50">
                  <c:v>448912</c:v>
                </c:pt>
                <c:pt idx="51">
                  <c:v>456726</c:v>
                </c:pt>
                <c:pt idx="52">
                  <c:v>457561</c:v>
                </c:pt>
                <c:pt idx="53">
                  <c:v>463555</c:v>
                </c:pt>
                <c:pt idx="54">
                  <c:v>485319</c:v>
                </c:pt>
                <c:pt idx="55">
                  <c:v>493751</c:v>
                </c:pt>
                <c:pt idx="56">
                  <c:v>500812</c:v>
                </c:pt>
                <c:pt idx="57">
                  <c:v>498760</c:v>
                </c:pt>
                <c:pt idx="58">
                  <c:v>508909</c:v>
                </c:pt>
                <c:pt idx="59">
                  <c:v>539136</c:v>
                </c:pt>
                <c:pt idx="60">
                  <c:v>574226</c:v>
                </c:pt>
                <c:pt idx="61">
                  <c:v>583135</c:v>
                </c:pt>
                <c:pt idx="62">
                  <c:v>572824</c:v>
                </c:pt>
                <c:pt idx="63">
                  <c:v>500128</c:v>
                </c:pt>
                <c:pt idx="64">
                  <c:v>514779</c:v>
                </c:pt>
                <c:pt idx="65">
                  <c:v>500500</c:v>
                </c:pt>
                <c:pt idx="66">
                  <c:v>505284</c:v>
                </c:pt>
                <c:pt idx="67">
                  <c:v>501494</c:v>
                </c:pt>
                <c:pt idx="68">
                  <c:v>500481</c:v>
                </c:pt>
                <c:pt idx="69">
                  <c:v>495161</c:v>
                </c:pt>
                <c:pt idx="70">
                  <c:v>506640</c:v>
                </c:pt>
                <c:pt idx="71">
                  <c:v>561551</c:v>
                </c:pt>
                <c:pt idx="72">
                  <c:v>571863</c:v>
                </c:pt>
                <c:pt idx="73">
                  <c:v>566896</c:v>
                </c:pt>
                <c:pt idx="74">
                  <c:v>547762</c:v>
                </c:pt>
                <c:pt idx="75">
                  <c:v>513842</c:v>
                </c:pt>
                <c:pt idx="76">
                  <c:v>489956</c:v>
                </c:pt>
                <c:pt idx="77">
                  <c:v>478775</c:v>
                </c:pt>
                <c:pt idx="78">
                  <c:v>485584</c:v>
                </c:pt>
                <c:pt idx="79">
                  <c:v>481535</c:v>
                </c:pt>
                <c:pt idx="80">
                  <c:v>475115</c:v>
                </c:pt>
                <c:pt idx="81">
                  <c:v>470618</c:v>
                </c:pt>
                <c:pt idx="82">
                  <c:v>476404</c:v>
                </c:pt>
                <c:pt idx="83">
                  <c:v>508451</c:v>
                </c:pt>
                <c:pt idx="84">
                  <c:v>534089</c:v>
                </c:pt>
                <c:pt idx="85">
                  <c:v>541685</c:v>
                </c:pt>
                <c:pt idx="86">
                  <c:v>525180</c:v>
                </c:pt>
                <c:pt idx="87">
                  <c:v>497322</c:v>
                </c:pt>
                <c:pt idx="88">
                  <c:v>482099</c:v>
                </c:pt>
                <c:pt idx="89">
                  <c:v>474586</c:v>
                </c:pt>
                <c:pt idx="90">
                  <c:v>485597</c:v>
                </c:pt>
                <c:pt idx="91">
                  <c:v>486693</c:v>
                </c:pt>
                <c:pt idx="92">
                  <c:v>493185</c:v>
                </c:pt>
                <c:pt idx="93">
                  <c:v>496762</c:v>
                </c:pt>
                <c:pt idx="94">
                  <c:v>508498</c:v>
                </c:pt>
                <c:pt idx="95">
                  <c:v>545311</c:v>
                </c:pt>
                <c:pt idx="96">
                  <c:v>585809</c:v>
                </c:pt>
                <c:pt idx="97">
                  <c:v>593683</c:v>
                </c:pt>
                <c:pt idx="98">
                  <c:v>587768</c:v>
                </c:pt>
                <c:pt idx="99">
                  <c:v>565228</c:v>
                </c:pt>
                <c:pt idx="100">
                  <c:v>547463</c:v>
                </c:pt>
                <c:pt idx="101">
                  <c:v>540473</c:v>
                </c:pt>
                <c:pt idx="102">
                  <c:v>551096</c:v>
                </c:pt>
                <c:pt idx="103">
                  <c:v>551731</c:v>
                </c:pt>
                <c:pt idx="104">
                  <c:v>557058</c:v>
                </c:pt>
                <c:pt idx="105">
                  <c:v>556681</c:v>
                </c:pt>
                <c:pt idx="106">
                  <c:v>565313</c:v>
                </c:pt>
                <c:pt idx="107">
                  <c:v>596833</c:v>
                </c:pt>
                <c:pt idx="108">
                  <c:v>629274</c:v>
                </c:pt>
                <c:pt idx="109">
                  <c:v>625390</c:v>
                </c:pt>
                <c:pt idx="110">
                  <c:v>608315</c:v>
                </c:pt>
                <c:pt idx="111">
                  <c:v>574908</c:v>
                </c:pt>
                <c:pt idx="112">
                  <c:v>549973</c:v>
                </c:pt>
                <c:pt idx="113">
                  <c:v>537179</c:v>
                </c:pt>
                <c:pt idx="114">
                  <c:v>541364</c:v>
                </c:pt>
                <c:pt idx="115">
                  <c:v>535225</c:v>
                </c:pt>
                <c:pt idx="116">
                  <c:v>529098</c:v>
                </c:pt>
                <c:pt idx="117">
                  <c:v>519638</c:v>
                </c:pt>
                <c:pt idx="118">
                  <c:v>517508</c:v>
                </c:pt>
                <c:pt idx="119">
                  <c:v>541914</c:v>
                </c:pt>
                <c:pt idx="120">
                  <c:v>556191</c:v>
                </c:pt>
                <c:pt idx="121">
                  <c:v>548117</c:v>
                </c:pt>
                <c:pt idx="122">
                  <c:v>525315</c:v>
                </c:pt>
                <c:pt idx="123">
                  <c:v>491585</c:v>
                </c:pt>
                <c:pt idx="124">
                  <c:v>465689</c:v>
                </c:pt>
                <c:pt idx="125">
                  <c:v>451395</c:v>
                </c:pt>
                <c:pt idx="126">
                  <c:v>456341</c:v>
                </c:pt>
                <c:pt idx="127">
                  <c:v>450666</c:v>
                </c:pt>
                <c:pt idx="128">
                  <c:v>441892</c:v>
                </c:pt>
                <c:pt idx="129">
                  <c:v>430432</c:v>
                </c:pt>
                <c:pt idx="130">
                  <c:v>431364</c:v>
                </c:pt>
                <c:pt idx="131">
                  <c:v>453118</c:v>
                </c:pt>
                <c:pt idx="132">
                  <c:v>467403</c:v>
                </c:pt>
                <c:pt idx="133">
                  <c:v>461254</c:v>
                </c:pt>
                <c:pt idx="134">
                  <c:v>443109</c:v>
                </c:pt>
                <c:pt idx="135">
                  <c:v>414960</c:v>
                </c:pt>
                <c:pt idx="136">
                  <c:v>394789</c:v>
                </c:pt>
                <c:pt idx="137">
                  <c:v>384328</c:v>
                </c:pt>
                <c:pt idx="138">
                  <c:v>392667</c:v>
                </c:pt>
                <c:pt idx="139">
                  <c:v>388474</c:v>
                </c:pt>
                <c:pt idx="140">
                  <c:v>378258</c:v>
                </c:pt>
                <c:pt idx="141">
                  <c:v>366244</c:v>
                </c:pt>
                <c:pt idx="142">
                  <c:v>362755</c:v>
                </c:pt>
                <c:pt idx="143">
                  <c:v>381373</c:v>
                </c:pt>
              </c:numCache>
            </c:numRef>
          </c:val>
          <c:smooth val="0"/>
        </c:ser>
        <c:ser>
          <c:idx val="1"/>
          <c:order val="1"/>
          <c:tx>
            <c:strRef>
              <c:f>PvN!$C$2</c:f>
              <c:strCache>
                <c:ptCount val="1"/>
                <c:pt idx="0">
                  <c:v>UoZ s PvN</c:v>
                </c:pt>
              </c:strCache>
            </c:strRef>
          </c:tx>
          <c:marker>
            <c:symbol val="none"/>
          </c:marker>
          <c:cat>
            <c:strRef>
              <c:f>PvN!$A$3:$A$146</c:f>
              <c:strCache>
                <c:ptCount val="144"/>
                <c:pt idx="0">
                  <c:v>I. (05)</c:v>
                </c:pt>
                <c:pt idx="1">
                  <c:v>II.</c:v>
                </c:pt>
                <c:pt idx="2">
                  <c:v>III.</c:v>
                </c:pt>
                <c:pt idx="3">
                  <c:v>IV.</c:v>
                </c:pt>
                <c:pt idx="4">
                  <c:v>V.</c:v>
                </c:pt>
                <c:pt idx="5">
                  <c:v>VI.</c:v>
                </c:pt>
                <c:pt idx="6">
                  <c:v>VII.</c:v>
                </c:pt>
                <c:pt idx="7">
                  <c:v>VIII.</c:v>
                </c:pt>
                <c:pt idx="8">
                  <c:v>IX.</c:v>
                </c:pt>
                <c:pt idx="9">
                  <c:v>X.</c:v>
                </c:pt>
                <c:pt idx="10">
                  <c:v>XI.</c:v>
                </c:pt>
                <c:pt idx="11">
                  <c:v>XII.</c:v>
                </c:pt>
                <c:pt idx="12">
                  <c:v>I. (06)</c:v>
                </c:pt>
                <c:pt idx="13">
                  <c:v>II.</c:v>
                </c:pt>
                <c:pt idx="14">
                  <c:v>III.</c:v>
                </c:pt>
                <c:pt idx="15">
                  <c:v>IV.</c:v>
                </c:pt>
                <c:pt idx="16">
                  <c:v>V.</c:v>
                </c:pt>
                <c:pt idx="17">
                  <c:v>VI.</c:v>
                </c:pt>
                <c:pt idx="18">
                  <c:v>VII.</c:v>
                </c:pt>
                <c:pt idx="19">
                  <c:v>VIII.</c:v>
                </c:pt>
                <c:pt idx="20">
                  <c:v>IX.</c:v>
                </c:pt>
                <c:pt idx="21">
                  <c:v>X.</c:v>
                </c:pt>
                <c:pt idx="22">
                  <c:v>XI.</c:v>
                </c:pt>
                <c:pt idx="23">
                  <c:v>XII.</c:v>
                </c:pt>
                <c:pt idx="24">
                  <c:v>I. (07)</c:v>
                </c:pt>
                <c:pt idx="25">
                  <c:v>II.</c:v>
                </c:pt>
                <c:pt idx="26">
                  <c:v>III.</c:v>
                </c:pt>
                <c:pt idx="27">
                  <c:v>IV.</c:v>
                </c:pt>
                <c:pt idx="28">
                  <c:v>V.</c:v>
                </c:pt>
                <c:pt idx="29">
                  <c:v>VI.</c:v>
                </c:pt>
                <c:pt idx="30">
                  <c:v>VII.</c:v>
                </c:pt>
                <c:pt idx="31">
                  <c:v>VIII.</c:v>
                </c:pt>
                <c:pt idx="32">
                  <c:v>IX.</c:v>
                </c:pt>
                <c:pt idx="33">
                  <c:v>X.</c:v>
                </c:pt>
                <c:pt idx="34">
                  <c:v>XI.</c:v>
                </c:pt>
                <c:pt idx="35">
                  <c:v>XII.</c:v>
                </c:pt>
                <c:pt idx="36">
                  <c:v>I. (08)</c:v>
                </c:pt>
                <c:pt idx="37">
                  <c:v>II.</c:v>
                </c:pt>
                <c:pt idx="38">
                  <c:v>III.</c:v>
                </c:pt>
                <c:pt idx="39">
                  <c:v>IV.</c:v>
                </c:pt>
                <c:pt idx="40">
                  <c:v>V.</c:v>
                </c:pt>
                <c:pt idx="41">
                  <c:v>VI.</c:v>
                </c:pt>
                <c:pt idx="42">
                  <c:v>VII.</c:v>
                </c:pt>
                <c:pt idx="43">
                  <c:v>VIII.</c:v>
                </c:pt>
                <c:pt idx="44">
                  <c:v>IX.</c:v>
                </c:pt>
                <c:pt idx="45">
                  <c:v>X.</c:v>
                </c:pt>
                <c:pt idx="46">
                  <c:v>XI.</c:v>
                </c:pt>
                <c:pt idx="47">
                  <c:v>XII.</c:v>
                </c:pt>
                <c:pt idx="48">
                  <c:v>I. (09)</c:v>
                </c:pt>
                <c:pt idx="49">
                  <c:v>II.</c:v>
                </c:pt>
                <c:pt idx="50">
                  <c:v>III.</c:v>
                </c:pt>
                <c:pt idx="51">
                  <c:v>IV.</c:v>
                </c:pt>
                <c:pt idx="52">
                  <c:v>V.</c:v>
                </c:pt>
                <c:pt idx="53">
                  <c:v>VI.</c:v>
                </c:pt>
                <c:pt idx="54">
                  <c:v>VII.</c:v>
                </c:pt>
                <c:pt idx="55">
                  <c:v>VIII.</c:v>
                </c:pt>
                <c:pt idx="56">
                  <c:v>IX.</c:v>
                </c:pt>
                <c:pt idx="57">
                  <c:v>X.</c:v>
                </c:pt>
                <c:pt idx="58">
                  <c:v>XI.</c:v>
                </c:pt>
                <c:pt idx="59">
                  <c:v>XII.</c:v>
                </c:pt>
                <c:pt idx="60">
                  <c:v>I. (10)</c:v>
                </c:pt>
                <c:pt idx="61">
                  <c:v>II.</c:v>
                </c:pt>
                <c:pt idx="62">
                  <c:v>III.</c:v>
                </c:pt>
                <c:pt idx="63">
                  <c:v>IV.</c:v>
                </c:pt>
                <c:pt idx="64">
                  <c:v>V.</c:v>
                </c:pt>
                <c:pt idx="65">
                  <c:v>VI.</c:v>
                </c:pt>
                <c:pt idx="66">
                  <c:v>VII.</c:v>
                </c:pt>
                <c:pt idx="67">
                  <c:v>VIII.</c:v>
                </c:pt>
                <c:pt idx="68">
                  <c:v>IX.</c:v>
                </c:pt>
                <c:pt idx="69">
                  <c:v>X.</c:v>
                </c:pt>
                <c:pt idx="70">
                  <c:v>XI.</c:v>
                </c:pt>
                <c:pt idx="71">
                  <c:v>XII.</c:v>
                </c:pt>
                <c:pt idx="72">
                  <c:v>I. (11)</c:v>
                </c:pt>
                <c:pt idx="73">
                  <c:v>II.</c:v>
                </c:pt>
                <c:pt idx="74">
                  <c:v>III.</c:v>
                </c:pt>
                <c:pt idx="75">
                  <c:v>IV.</c:v>
                </c:pt>
                <c:pt idx="76">
                  <c:v>V.</c:v>
                </c:pt>
                <c:pt idx="77">
                  <c:v>VI.</c:v>
                </c:pt>
                <c:pt idx="78">
                  <c:v>VII.</c:v>
                </c:pt>
                <c:pt idx="79">
                  <c:v>VIII.</c:v>
                </c:pt>
                <c:pt idx="80">
                  <c:v>IX.</c:v>
                </c:pt>
                <c:pt idx="81">
                  <c:v>X.</c:v>
                </c:pt>
                <c:pt idx="82">
                  <c:v>XI.</c:v>
                </c:pt>
                <c:pt idx="83">
                  <c:v>XII.</c:v>
                </c:pt>
                <c:pt idx="84">
                  <c:v>I. (12)</c:v>
                </c:pt>
                <c:pt idx="85">
                  <c:v>II.</c:v>
                </c:pt>
                <c:pt idx="86">
                  <c:v>III.</c:v>
                </c:pt>
                <c:pt idx="87">
                  <c:v>IV.</c:v>
                </c:pt>
                <c:pt idx="88">
                  <c:v>V.</c:v>
                </c:pt>
                <c:pt idx="89">
                  <c:v>VI.</c:v>
                </c:pt>
                <c:pt idx="90">
                  <c:v>VII.</c:v>
                </c:pt>
                <c:pt idx="91">
                  <c:v>VIII.</c:v>
                </c:pt>
                <c:pt idx="92">
                  <c:v>IX.</c:v>
                </c:pt>
                <c:pt idx="93">
                  <c:v>X.</c:v>
                </c:pt>
                <c:pt idx="94">
                  <c:v>XI.</c:v>
                </c:pt>
                <c:pt idx="95">
                  <c:v>XII.</c:v>
                </c:pt>
                <c:pt idx="96">
                  <c:v>I. (13)</c:v>
                </c:pt>
                <c:pt idx="97">
                  <c:v>II.</c:v>
                </c:pt>
                <c:pt idx="98">
                  <c:v>III.</c:v>
                </c:pt>
                <c:pt idx="99">
                  <c:v>IV.</c:v>
                </c:pt>
                <c:pt idx="100">
                  <c:v>V.</c:v>
                </c:pt>
                <c:pt idx="101">
                  <c:v>VI.</c:v>
                </c:pt>
                <c:pt idx="102">
                  <c:v>VII.</c:v>
                </c:pt>
                <c:pt idx="103">
                  <c:v>VIII.</c:v>
                </c:pt>
                <c:pt idx="104">
                  <c:v>IX.</c:v>
                </c:pt>
                <c:pt idx="105">
                  <c:v>X.</c:v>
                </c:pt>
                <c:pt idx="106">
                  <c:v>XI.</c:v>
                </c:pt>
                <c:pt idx="107">
                  <c:v>XII.</c:v>
                </c:pt>
                <c:pt idx="108">
                  <c:v>I. (14)</c:v>
                </c:pt>
                <c:pt idx="109">
                  <c:v>II.</c:v>
                </c:pt>
                <c:pt idx="110">
                  <c:v>III.</c:v>
                </c:pt>
                <c:pt idx="111">
                  <c:v>IV.</c:v>
                </c:pt>
                <c:pt idx="112">
                  <c:v>V.</c:v>
                </c:pt>
                <c:pt idx="113">
                  <c:v>VI.</c:v>
                </c:pt>
                <c:pt idx="114">
                  <c:v>VII.</c:v>
                </c:pt>
                <c:pt idx="115">
                  <c:v>VIII.</c:v>
                </c:pt>
                <c:pt idx="116">
                  <c:v>IX.</c:v>
                </c:pt>
                <c:pt idx="117">
                  <c:v>X.</c:v>
                </c:pt>
                <c:pt idx="118">
                  <c:v>XI.</c:v>
                </c:pt>
                <c:pt idx="119">
                  <c:v>XII.</c:v>
                </c:pt>
                <c:pt idx="120">
                  <c:v>I. (15)</c:v>
                </c:pt>
                <c:pt idx="121">
                  <c:v>II.</c:v>
                </c:pt>
                <c:pt idx="122">
                  <c:v>III.</c:v>
                </c:pt>
                <c:pt idx="123">
                  <c:v>IV.</c:v>
                </c:pt>
                <c:pt idx="124">
                  <c:v>V.</c:v>
                </c:pt>
                <c:pt idx="125">
                  <c:v>VI.</c:v>
                </c:pt>
                <c:pt idx="126">
                  <c:v>VII.</c:v>
                </c:pt>
                <c:pt idx="127">
                  <c:v>VIII.</c:v>
                </c:pt>
                <c:pt idx="128">
                  <c:v>IX.</c:v>
                </c:pt>
                <c:pt idx="129">
                  <c:v>X.</c:v>
                </c:pt>
                <c:pt idx="130">
                  <c:v>XI.</c:v>
                </c:pt>
                <c:pt idx="131">
                  <c:v>XII.</c:v>
                </c:pt>
                <c:pt idx="132">
                  <c:v>I. (16)</c:v>
                </c:pt>
                <c:pt idx="133">
                  <c:v>II.</c:v>
                </c:pt>
                <c:pt idx="134">
                  <c:v>III.</c:v>
                </c:pt>
                <c:pt idx="135">
                  <c:v>IV.</c:v>
                </c:pt>
                <c:pt idx="136">
                  <c:v>V.</c:v>
                </c:pt>
                <c:pt idx="137">
                  <c:v>VI.</c:v>
                </c:pt>
                <c:pt idx="138">
                  <c:v>VII.</c:v>
                </c:pt>
                <c:pt idx="139">
                  <c:v>VIII.</c:v>
                </c:pt>
                <c:pt idx="140">
                  <c:v>IX.</c:v>
                </c:pt>
                <c:pt idx="141">
                  <c:v>X.</c:v>
                </c:pt>
                <c:pt idx="142">
                  <c:v>XI.</c:v>
                </c:pt>
                <c:pt idx="143">
                  <c:v>XII.</c:v>
                </c:pt>
              </c:strCache>
            </c:strRef>
          </c:cat>
          <c:val>
            <c:numRef>
              <c:f>PvN!$C$3:$C$146</c:f>
              <c:numCache>
                <c:formatCode>#,##0</c:formatCode>
                <c:ptCount val="144"/>
                <c:pt idx="0">
                  <c:v>163860</c:v>
                </c:pt>
                <c:pt idx="1">
                  <c:v>162898</c:v>
                </c:pt>
                <c:pt idx="2">
                  <c:v>154698</c:v>
                </c:pt>
                <c:pt idx="3">
                  <c:v>139480</c:v>
                </c:pt>
                <c:pt idx="4">
                  <c:v>130642</c:v>
                </c:pt>
                <c:pt idx="5">
                  <c:v>128969</c:v>
                </c:pt>
                <c:pt idx="6">
                  <c:v>132028</c:v>
                </c:pt>
                <c:pt idx="7">
                  <c:v>132561</c:v>
                </c:pt>
                <c:pt idx="8">
                  <c:v>126600</c:v>
                </c:pt>
                <c:pt idx="9">
                  <c:v>123019</c:v>
                </c:pt>
                <c:pt idx="10">
                  <c:v>127313</c:v>
                </c:pt>
                <c:pt idx="11">
                  <c:v>141753</c:v>
                </c:pt>
                <c:pt idx="12">
                  <c:v>159899</c:v>
                </c:pt>
                <c:pt idx="13">
                  <c:v>161217</c:v>
                </c:pt>
                <c:pt idx="14">
                  <c:v>153550</c:v>
                </c:pt>
                <c:pt idx="15">
                  <c:v>136670</c:v>
                </c:pt>
                <c:pt idx="16">
                  <c:v>126102</c:v>
                </c:pt>
                <c:pt idx="17">
                  <c:v>123243</c:v>
                </c:pt>
                <c:pt idx="18">
                  <c:v>127281</c:v>
                </c:pt>
                <c:pt idx="19">
                  <c:v>126854</c:v>
                </c:pt>
                <c:pt idx="20">
                  <c:v>118595</c:v>
                </c:pt>
                <c:pt idx="21">
                  <c:v>115207</c:v>
                </c:pt>
                <c:pt idx="22">
                  <c:v>117462</c:v>
                </c:pt>
                <c:pt idx="23">
                  <c:v>129882</c:v>
                </c:pt>
                <c:pt idx="24">
                  <c:v>145546</c:v>
                </c:pt>
                <c:pt idx="25">
                  <c:v>143071</c:v>
                </c:pt>
                <c:pt idx="26">
                  <c:v>129584</c:v>
                </c:pt>
                <c:pt idx="27">
                  <c:v>115471</c:v>
                </c:pt>
                <c:pt idx="28">
                  <c:v>108485</c:v>
                </c:pt>
                <c:pt idx="29">
                  <c:v>106525</c:v>
                </c:pt>
                <c:pt idx="30">
                  <c:v>111681</c:v>
                </c:pt>
                <c:pt idx="31">
                  <c:v>111624</c:v>
                </c:pt>
                <c:pt idx="32">
                  <c:v>103078</c:v>
                </c:pt>
                <c:pt idx="33">
                  <c:v>99235</c:v>
                </c:pt>
                <c:pt idx="34">
                  <c:v>102155</c:v>
                </c:pt>
                <c:pt idx="35">
                  <c:v>112675</c:v>
                </c:pt>
                <c:pt idx="36">
                  <c:v>123831</c:v>
                </c:pt>
                <c:pt idx="37">
                  <c:v>121050</c:v>
                </c:pt>
                <c:pt idx="38">
                  <c:v>109783</c:v>
                </c:pt>
                <c:pt idx="39">
                  <c:v>101040</c:v>
                </c:pt>
                <c:pt idx="40">
                  <c:v>96113</c:v>
                </c:pt>
                <c:pt idx="41">
                  <c:v>96667</c:v>
                </c:pt>
                <c:pt idx="42">
                  <c:v>106665</c:v>
                </c:pt>
                <c:pt idx="43">
                  <c:v>108065</c:v>
                </c:pt>
                <c:pt idx="44">
                  <c:v>103785</c:v>
                </c:pt>
                <c:pt idx="45">
                  <c:v>105283</c:v>
                </c:pt>
                <c:pt idx="46">
                  <c:v>114634</c:v>
                </c:pt>
                <c:pt idx="47">
                  <c:v>138506</c:v>
                </c:pt>
                <c:pt idx="48">
                  <c:v>164833</c:v>
                </c:pt>
                <c:pt idx="49">
                  <c:v>188659</c:v>
                </c:pt>
                <c:pt idx="50">
                  <c:v>203142</c:v>
                </c:pt>
                <c:pt idx="51">
                  <c:v>210021</c:v>
                </c:pt>
                <c:pt idx="52">
                  <c:v>209068</c:v>
                </c:pt>
                <c:pt idx="53">
                  <c:v>191716</c:v>
                </c:pt>
                <c:pt idx="54">
                  <c:v>200179</c:v>
                </c:pt>
                <c:pt idx="55">
                  <c:v>193496</c:v>
                </c:pt>
                <c:pt idx="56">
                  <c:v>177918</c:v>
                </c:pt>
                <c:pt idx="57">
                  <c:v>174214</c:v>
                </c:pt>
                <c:pt idx="58">
                  <c:v>179579</c:v>
                </c:pt>
                <c:pt idx="59">
                  <c:v>189497</c:v>
                </c:pt>
                <c:pt idx="60">
                  <c:v>214161</c:v>
                </c:pt>
                <c:pt idx="61">
                  <c:v>213549</c:v>
                </c:pt>
                <c:pt idx="62">
                  <c:v>199384</c:v>
                </c:pt>
                <c:pt idx="63">
                  <c:v>173500</c:v>
                </c:pt>
                <c:pt idx="64">
                  <c:v>156345</c:v>
                </c:pt>
                <c:pt idx="65">
                  <c:v>141733</c:v>
                </c:pt>
                <c:pt idx="66">
                  <c:v>143891</c:v>
                </c:pt>
                <c:pt idx="67">
                  <c:v>137502</c:v>
                </c:pt>
                <c:pt idx="68">
                  <c:v>128328</c:v>
                </c:pt>
                <c:pt idx="69">
                  <c:v>128013</c:v>
                </c:pt>
                <c:pt idx="70">
                  <c:v>141135</c:v>
                </c:pt>
                <c:pt idx="71">
                  <c:v>178962</c:v>
                </c:pt>
                <c:pt idx="72">
                  <c:v>191988</c:v>
                </c:pt>
                <c:pt idx="73">
                  <c:v>182670</c:v>
                </c:pt>
                <c:pt idx="74">
                  <c:v>163419</c:v>
                </c:pt>
                <c:pt idx="75">
                  <c:v>134434</c:v>
                </c:pt>
                <c:pt idx="76">
                  <c:v>114379</c:v>
                </c:pt>
                <c:pt idx="77">
                  <c:v>109154</c:v>
                </c:pt>
                <c:pt idx="78">
                  <c:v>115606</c:v>
                </c:pt>
                <c:pt idx="79">
                  <c:v>94535</c:v>
                </c:pt>
                <c:pt idx="80">
                  <c:v>101193</c:v>
                </c:pt>
                <c:pt idx="81">
                  <c:v>101787</c:v>
                </c:pt>
                <c:pt idx="82">
                  <c:v>108249</c:v>
                </c:pt>
                <c:pt idx="83">
                  <c:v>129951</c:v>
                </c:pt>
                <c:pt idx="84">
                  <c:v>117567</c:v>
                </c:pt>
                <c:pt idx="85">
                  <c:v>139176</c:v>
                </c:pt>
                <c:pt idx="86">
                  <c:v>126016</c:v>
                </c:pt>
                <c:pt idx="87">
                  <c:v>100328</c:v>
                </c:pt>
                <c:pt idx="88">
                  <c:v>93150</c:v>
                </c:pt>
                <c:pt idx="89">
                  <c:v>89106</c:v>
                </c:pt>
                <c:pt idx="90">
                  <c:v>91839</c:v>
                </c:pt>
                <c:pt idx="91">
                  <c:v>94535</c:v>
                </c:pt>
                <c:pt idx="92">
                  <c:v>89344</c:v>
                </c:pt>
                <c:pt idx="93">
                  <c:v>92178</c:v>
                </c:pt>
                <c:pt idx="94">
                  <c:v>93476</c:v>
                </c:pt>
                <c:pt idx="95">
                  <c:v>107937</c:v>
                </c:pt>
                <c:pt idx="96">
                  <c:v>138104</c:v>
                </c:pt>
                <c:pt idx="97">
                  <c:v>143760</c:v>
                </c:pt>
                <c:pt idx="98">
                  <c:v>132398</c:v>
                </c:pt>
                <c:pt idx="99">
                  <c:v>126180</c:v>
                </c:pt>
                <c:pt idx="100">
                  <c:v>114585</c:v>
                </c:pt>
                <c:pt idx="101">
                  <c:v>108911</c:v>
                </c:pt>
                <c:pt idx="102">
                  <c:v>111317</c:v>
                </c:pt>
                <c:pt idx="103">
                  <c:v>111967</c:v>
                </c:pt>
                <c:pt idx="104">
                  <c:v>104244</c:v>
                </c:pt>
                <c:pt idx="105">
                  <c:v>103838</c:v>
                </c:pt>
                <c:pt idx="106">
                  <c:v>108204</c:v>
                </c:pt>
                <c:pt idx="107">
                  <c:v>120030</c:v>
                </c:pt>
                <c:pt idx="108">
                  <c:v>150528</c:v>
                </c:pt>
                <c:pt idx="109">
                  <c:v>152507</c:v>
                </c:pt>
                <c:pt idx="110">
                  <c:v>137291</c:v>
                </c:pt>
                <c:pt idx="111">
                  <c:v>119059</c:v>
                </c:pt>
                <c:pt idx="112">
                  <c:v>107980</c:v>
                </c:pt>
                <c:pt idx="113">
                  <c:v>99994</c:v>
                </c:pt>
                <c:pt idx="114">
                  <c:v>107762</c:v>
                </c:pt>
                <c:pt idx="115">
                  <c:v>105150</c:v>
                </c:pt>
                <c:pt idx="116">
                  <c:v>96765</c:v>
                </c:pt>
                <c:pt idx="117">
                  <c:v>96083</c:v>
                </c:pt>
                <c:pt idx="118">
                  <c:v>99891</c:v>
                </c:pt>
                <c:pt idx="119">
                  <c:v>115747</c:v>
                </c:pt>
                <c:pt idx="120">
                  <c:v>132859</c:v>
                </c:pt>
                <c:pt idx="121">
                  <c:v>129137</c:v>
                </c:pt>
                <c:pt idx="122">
                  <c:v>116298</c:v>
                </c:pt>
                <c:pt idx="123">
                  <c:v>100875</c:v>
                </c:pt>
                <c:pt idx="124">
                  <c:v>91502</c:v>
                </c:pt>
                <c:pt idx="125">
                  <c:v>86543</c:v>
                </c:pt>
                <c:pt idx="126">
                  <c:v>94864</c:v>
                </c:pt>
                <c:pt idx="127">
                  <c:v>93908</c:v>
                </c:pt>
                <c:pt idx="128">
                  <c:v>86419</c:v>
                </c:pt>
                <c:pt idx="129">
                  <c:v>85241</c:v>
                </c:pt>
                <c:pt idx="130">
                  <c:v>91806</c:v>
                </c:pt>
                <c:pt idx="131">
                  <c:v>108287</c:v>
                </c:pt>
                <c:pt idx="132">
                  <c:v>123734</c:v>
                </c:pt>
                <c:pt idx="133">
                  <c:v>120397</c:v>
                </c:pt>
                <c:pt idx="134">
                  <c:v>109471</c:v>
                </c:pt>
                <c:pt idx="135">
                  <c:v>94612</c:v>
                </c:pt>
                <c:pt idx="136">
                  <c:v>88759</c:v>
                </c:pt>
                <c:pt idx="137">
                  <c:v>86021</c:v>
                </c:pt>
                <c:pt idx="138">
                  <c:v>94357</c:v>
                </c:pt>
                <c:pt idx="139">
                  <c:v>94189</c:v>
                </c:pt>
                <c:pt idx="140">
                  <c:v>85782</c:v>
                </c:pt>
                <c:pt idx="141">
                  <c:v>83462</c:v>
                </c:pt>
                <c:pt idx="142">
                  <c:v>88037</c:v>
                </c:pt>
                <c:pt idx="143">
                  <c:v>102950</c:v>
                </c:pt>
              </c:numCache>
            </c:numRef>
          </c:val>
          <c:smooth val="0"/>
        </c:ser>
        <c:dLbls>
          <c:showLegendKey val="0"/>
          <c:showVal val="0"/>
          <c:showCatName val="0"/>
          <c:showSerName val="0"/>
          <c:showPercent val="0"/>
          <c:showBubbleSize val="0"/>
        </c:dLbls>
        <c:marker val="1"/>
        <c:smooth val="0"/>
        <c:axId val="81298560"/>
        <c:axId val="81300096"/>
      </c:lineChart>
      <c:lineChart>
        <c:grouping val="standard"/>
        <c:varyColors val="0"/>
        <c:ser>
          <c:idx val="2"/>
          <c:order val="2"/>
          <c:tx>
            <c:strRef>
              <c:f>PvN!$D$2</c:f>
              <c:strCache>
                <c:ptCount val="1"/>
                <c:pt idx="0">
                  <c:v>Podíl UoZ s PvN</c:v>
                </c:pt>
              </c:strCache>
            </c:strRef>
          </c:tx>
          <c:spPr>
            <a:ln w="25400">
              <a:prstDash val="sysDash"/>
            </a:ln>
          </c:spPr>
          <c:marker>
            <c:symbol val="none"/>
          </c:marker>
          <c:cat>
            <c:strRef>
              <c:f>PvN!$A$3:$A$146</c:f>
              <c:strCache>
                <c:ptCount val="144"/>
                <c:pt idx="0">
                  <c:v>I. (05)</c:v>
                </c:pt>
                <c:pt idx="1">
                  <c:v>II.</c:v>
                </c:pt>
                <c:pt idx="2">
                  <c:v>III.</c:v>
                </c:pt>
                <c:pt idx="3">
                  <c:v>IV.</c:v>
                </c:pt>
                <c:pt idx="4">
                  <c:v>V.</c:v>
                </c:pt>
                <c:pt idx="5">
                  <c:v>VI.</c:v>
                </c:pt>
                <c:pt idx="6">
                  <c:v>VII.</c:v>
                </c:pt>
                <c:pt idx="7">
                  <c:v>VIII.</c:v>
                </c:pt>
                <c:pt idx="8">
                  <c:v>IX.</c:v>
                </c:pt>
                <c:pt idx="9">
                  <c:v>X.</c:v>
                </c:pt>
                <c:pt idx="10">
                  <c:v>XI.</c:v>
                </c:pt>
                <c:pt idx="11">
                  <c:v>XII.</c:v>
                </c:pt>
                <c:pt idx="12">
                  <c:v>I. (06)</c:v>
                </c:pt>
                <c:pt idx="13">
                  <c:v>II.</c:v>
                </c:pt>
                <c:pt idx="14">
                  <c:v>III.</c:v>
                </c:pt>
                <c:pt idx="15">
                  <c:v>IV.</c:v>
                </c:pt>
                <c:pt idx="16">
                  <c:v>V.</c:v>
                </c:pt>
                <c:pt idx="17">
                  <c:v>VI.</c:v>
                </c:pt>
                <c:pt idx="18">
                  <c:v>VII.</c:v>
                </c:pt>
                <c:pt idx="19">
                  <c:v>VIII.</c:v>
                </c:pt>
                <c:pt idx="20">
                  <c:v>IX.</c:v>
                </c:pt>
                <c:pt idx="21">
                  <c:v>X.</c:v>
                </c:pt>
                <c:pt idx="22">
                  <c:v>XI.</c:v>
                </c:pt>
                <c:pt idx="23">
                  <c:v>XII.</c:v>
                </c:pt>
                <c:pt idx="24">
                  <c:v>I. (07)</c:v>
                </c:pt>
                <c:pt idx="25">
                  <c:v>II.</c:v>
                </c:pt>
                <c:pt idx="26">
                  <c:v>III.</c:v>
                </c:pt>
                <c:pt idx="27">
                  <c:v>IV.</c:v>
                </c:pt>
                <c:pt idx="28">
                  <c:v>V.</c:v>
                </c:pt>
                <c:pt idx="29">
                  <c:v>VI.</c:v>
                </c:pt>
                <c:pt idx="30">
                  <c:v>VII.</c:v>
                </c:pt>
                <c:pt idx="31">
                  <c:v>VIII.</c:v>
                </c:pt>
                <c:pt idx="32">
                  <c:v>IX.</c:v>
                </c:pt>
                <c:pt idx="33">
                  <c:v>X.</c:v>
                </c:pt>
                <c:pt idx="34">
                  <c:v>XI.</c:v>
                </c:pt>
                <c:pt idx="35">
                  <c:v>XII.</c:v>
                </c:pt>
                <c:pt idx="36">
                  <c:v>I. (08)</c:v>
                </c:pt>
                <c:pt idx="37">
                  <c:v>II.</c:v>
                </c:pt>
                <c:pt idx="38">
                  <c:v>III.</c:v>
                </c:pt>
                <c:pt idx="39">
                  <c:v>IV.</c:v>
                </c:pt>
                <c:pt idx="40">
                  <c:v>V.</c:v>
                </c:pt>
                <c:pt idx="41">
                  <c:v>VI.</c:v>
                </c:pt>
                <c:pt idx="42">
                  <c:v>VII.</c:v>
                </c:pt>
                <c:pt idx="43">
                  <c:v>VIII.</c:v>
                </c:pt>
                <c:pt idx="44">
                  <c:v>IX.</c:v>
                </c:pt>
                <c:pt idx="45">
                  <c:v>X.</c:v>
                </c:pt>
                <c:pt idx="46">
                  <c:v>XI.</c:v>
                </c:pt>
                <c:pt idx="47">
                  <c:v>XII.</c:v>
                </c:pt>
                <c:pt idx="48">
                  <c:v>I. (09)</c:v>
                </c:pt>
                <c:pt idx="49">
                  <c:v>II.</c:v>
                </c:pt>
                <c:pt idx="50">
                  <c:v>III.</c:v>
                </c:pt>
                <c:pt idx="51">
                  <c:v>IV.</c:v>
                </c:pt>
                <c:pt idx="52">
                  <c:v>V.</c:v>
                </c:pt>
                <c:pt idx="53">
                  <c:v>VI.</c:v>
                </c:pt>
                <c:pt idx="54">
                  <c:v>VII.</c:v>
                </c:pt>
                <c:pt idx="55">
                  <c:v>VIII.</c:v>
                </c:pt>
                <c:pt idx="56">
                  <c:v>IX.</c:v>
                </c:pt>
                <c:pt idx="57">
                  <c:v>X.</c:v>
                </c:pt>
                <c:pt idx="58">
                  <c:v>XI.</c:v>
                </c:pt>
                <c:pt idx="59">
                  <c:v>XII.</c:v>
                </c:pt>
                <c:pt idx="60">
                  <c:v>I. (10)</c:v>
                </c:pt>
                <c:pt idx="61">
                  <c:v>II.</c:v>
                </c:pt>
                <c:pt idx="62">
                  <c:v>III.</c:v>
                </c:pt>
                <c:pt idx="63">
                  <c:v>IV.</c:v>
                </c:pt>
                <c:pt idx="64">
                  <c:v>V.</c:v>
                </c:pt>
                <c:pt idx="65">
                  <c:v>VI.</c:v>
                </c:pt>
                <c:pt idx="66">
                  <c:v>VII.</c:v>
                </c:pt>
                <c:pt idx="67">
                  <c:v>VIII.</c:v>
                </c:pt>
                <c:pt idx="68">
                  <c:v>IX.</c:v>
                </c:pt>
                <c:pt idx="69">
                  <c:v>X.</c:v>
                </c:pt>
                <c:pt idx="70">
                  <c:v>XI.</c:v>
                </c:pt>
                <c:pt idx="71">
                  <c:v>XII.</c:v>
                </c:pt>
                <c:pt idx="72">
                  <c:v>I. (11)</c:v>
                </c:pt>
                <c:pt idx="73">
                  <c:v>II.</c:v>
                </c:pt>
                <c:pt idx="74">
                  <c:v>III.</c:v>
                </c:pt>
                <c:pt idx="75">
                  <c:v>IV.</c:v>
                </c:pt>
                <c:pt idx="76">
                  <c:v>V.</c:v>
                </c:pt>
                <c:pt idx="77">
                  <c:v>VI.</c:v>
                </c:pt>
                <c:pt idx="78">
                  <c:v>VII.</c:v>
                </c:pt>
                <c:pt idx="79">
                  <c:v>VIII.</c:v>
                </c:pt>
                <c:pt idx="80">
                  <c:v>IX.</c:v>
                </c:pt>
                <c:pt idx="81">
                  <c:v>X.</c:v>
                </c:pt>
                <c:pt idx="82">
                  <c:v>XI.</c:v>
                </c:pt>
                <c:pt idx="83">
                  <c:v>XII.</c:v>
                </c:pt>
                <c:pt idx="84">
                  <c:v>I. (12)</c:v>
                </c:pt>
                <c:pt idx="85">
                  <c:v>II.</c:v>
                </c:pt>
                <c:pt idx="86">
                  <c:v>III.</c:v>
                </c:pt>
                <c:pt idx="87">
                  <c:v>IV.</c:v>
                </c:pt>
                <c:pt idx="88">
                  <c:v>V.</c:v>
                </c:pt>
                <c:pt idx="89">
                  <c:v>VI.</c:v>
                </c:pt>
                <c:pt idx="90">
                  <c:v>VII.</c:v>
                </c:pt>
                <c:pt idx="91">
                  <c:v>VIII.</c:v>
                </c:pt>
                <c:pt idx="92">
                  <c:v>IX.</c:v>
                </c:pt>
                <c:pt idx="93">
                  <c:v>X.</c:v>
                </c:pt>
                <c:pt idx="94">
                  <c:v>XI.</c:v>
                </c:pt>
                <c:pt idx="95">
                  <c:v>XII.</c:v>
                </c:pt>
                <c:pt idx="96">
                  <c:v>I. (13)</c:v>
                </c:pt>
                <c:pt idx="97">
                  <c:v>II.</c:v>
                </c:pt>
                <c:pt idx="98">
                  <c:v>III.</c:v>
                </c:pt>
                <c:pt idx="99">
                  <c:v>IV.</c:v>
                </c:pt>
                <c:pt idx="100">
                  <c:v>V.</c:v>
                </c:pt>
                <c:pt idx="101">
                  <c:v>VI.</c:v>
                </c:pt>
                <c:pt idx="102">
                  <c:v>VII.</c:v>
                </c:pt>
                <c:pt idx="103">
                  <c:v>VIII.</c:v>
                </c:pt>
                <c:pt idx="104">
                  <c:v>IX.</c:v>
                </c:pt>
                <c:pt idx="105">
                  <c:v>X.</c:v>
                </c:pt>
                <c:pt idx="106">
                  <c:v>XI.</c:v>
                </c:pt>
                <c:pt idx="107">
                  <c:v>XII.</c:v>
                </c:pt>
                <c:pt idx="108">
                  <c:v>I. (14)</c:v>
                </c:pt>
                <c:pt idx="109">
                  <c:v>II.</c:v>
                </c:pt>
                <c:pt idx="110">
                  <c:v>III.</c:v>
                </c:pt>
                <c:pt idx="111">
                  <c:v>IV.</c:v>
                </c:pt>
                <c:pt idx="112">
                  <c:v>V.</c:v>
                </c:pt>
                <c:pt idx="113">
                  <c:v>VI.</c:v>
                </c:pt>
                <c:pt idx="114">
                  <c:v>VII.</c:v>
                </c:pt>
                <c:pt idx="115">
                  <c:v>VIII.</c:v>
                </c:pt>
                <c:pt idx="116">
                  <c:v>IX.</c:v>
                </c:pt>
                <c:pt idx="117">
                  <c:v>X.</c:v>
                </c:pt>
                <c:pt idx="118">
                  <c:v>XI.</c:v>
                </c:pt>
                <c:pt idx="119">
                  <c:v>XII.</c:v>
                </c:pt>
                <c:pt idx="120">
                  <c:v>I. (15)</c:v>
                </c:pt>
                <c:pt idx="121">
                  <c:v>II.</c:v>
                </c:pt>
                <c:pt idx="122">
                  <c:v>III.</c:v>
                </c:pt>
                <c:pt idx="123">
                  <c:v>IV.</c:v>
                </c:pt>
                <c:pt idx="124">
                  <c:v>V.</c:v>
                </c:pt>
                <c:pt idx="125">
                  <c:v>VI.</c:v>
                </c:pt>
                <c:pt idx="126">
                  <c:v>VII.</c:v>
                </c:pt>
                <c:pt idx="127">
                  <c:v>VIII.</c:v>
                </c:pt>
                <c:pt idx="128">
                  <c:v>IX.</c:v>
                </c:pt>
                <c:pt idx="129">
                  <c:v>X.</c:v>
                </c:pt>
                <c:pt idx="130">
                  <c:v>XI.</c:v>
                </c:pt>
                <c:pt idx="131">
                  <c:v>XII.</c:v>
                </c:pt>
                <c:pt idx="132">
                  <c:v>I. (16)</c:v>
                </c:pt>
                <c:pt idx="133">
                  <c:v>II.</c:v>
                </c:pt>
                <c:pt idx="134">
                  <c:v>III.</c:v>
                </c:pt>
                <c:pt idx="135">
                  <c:v>IV.</c:v>
                </c:pt>
                <c:pt idx="136">
                  <c:v>V.</c:v>
                </c:pt>
                <c:pt idx="137">
                  <c:v>VI.</c:v>
                </c:pt>
                <c:pt idx="138">
                  <c:v>VII.</c:v>
                </c:pt>
                <c:pt idx="139">
                  <c:v>VIII.</c:v>
                </c:pt>
                <c:pt idx="140">
                  <c:v>IX.</c:v>
                </c:pt>
                <c:pt idx="141">
                  <c:v>X.</c:v>
                </c:pt>
                <c:pt idx="142">
                  <c:v>XI.</c:v>
                </c:pt>
                <c:pt idx="143">
                  <c:v>XII.</c:v>
                </c:pt>
              </c:strCache>
            </c:strRef>
          </c:cat>
          <c:val>
            <c:numRef>
              <c:f>PvN!$D$3:$D$146</c:f>
              <c:numCache>
                <c:formatCode>0.00%</c:formatCode>
                <c:ptCount val="144"/>
                <c:pt idx="0">
                  <c:v>0.29174129636685409</c:v>
                </c:pt>
                <c:pt idx="1">
                  <c:v>0.29348558497854232</c:v>
                </c:pt>
                <c:pt idx="2">
                  <c:v>0.28623606732092899</c:v>
                </c:pt>
                <c:pt idx="3">
                  <c:v>0.2721258318587006</c:v>
                </c:pt>
                <c:pt idx="4">
                  <c:v>0.2641494937077416</c:v>
                </c:pt>
                <c:pt idx="5">
                  <c:v>0.26333962233330066</c:v>
                </c:pt>
                <c:pt idx="6">
                  <c:v>0.26388447509119073</c:v>
                </c:pt>
                <c:pt idx="7">
                  <c:v>0.2623650678668551</c:v>
                </c:pt>
                <c:pt idx="8">
                  <c:v>0.25149186723772138</c:v>
                </c:pt>
                <c:pt idx="9">
                  <c:v>0.25010063471023303</c:v>
                </c:pt>
                <c:pt idx="10">
                  <c:v>0.25941003995688489</c:v>
                </c:pt>
                <c:pt idx="11">
                  <c:v>0.27772052600231967</c:v>
                </c:pt>
                <c:pt idx="12">
                  <c:v>0.30099485161933986</c:v>
                </c:pt>
                <c:pt idx="13">
                  <c:v>0.30524619713189716</c:v>
                </c:pt>
                <c:pt idx="14">
                  <c:v>0.29829493024891257</c:v>
                </c:pt>
                <c:pt idx="15">
                  <c:v>0.28111970676501502</c:v>
                </c:pt>
                <c:pt idx="16">
                  <c:v>0.27233382716902571</c:v>
                </c:pt>
                <c:pt idx="17">
                  <c:v>0.27320186386348222</c:v>
                </c:pt>
                <c:pt idx="18">
                  <c:v>0.27774237894690901</c:v>
                </c:pt>
                <c:pt idx="19">
                  <c:v>0.27653363968704836</c:v>
                </c:pt>
                <c:pt idx="20">
                  <c:v>0.26111893962746047</c:v>
                </c:pt>
                <c:pt idx="21">
                  <c:v>0.26196030814847154</c:v>
                </c:pt>
                <c:pt idx="22">
                  <c:v>0.27154260668141561</c:v>
                </c:pt>
                <c:pt idx="23">
                  <c:v>0.28962167803163757</c:v>
                </c:pt>
                <c:pt idx="24">
                  <c:v>0.31269416359800456</c:v>
                </c:pt>
                <c:pt idx="25">
                  <c:v>0.31462361760754021</c:v>
                </c:pt>
                <c:pt idx="26">
                  <c:v>0.3010263105321111</c:v>
                </c:pt>
                <c:pt idx="27">
                  <c:v>0.28657689138613962</c:v>
                </c:pt>
                <c:pt idx="28">
                  <c:v>0.28354752626117685</c:v>
                </c:pt>
                <c:pt idx="29">
                  <c:v>0.28729122335763274</c:v>
                </c:pt>
                <c:pt idx="30">
                  <c:v>0.2965444175375988</c:v>
                </c:pt>
                <c:pt idx="31">
                  <c:v>0.29945353432110289</c:v>
                </c:pt>
                <c:pt idx="32">
                  <c:v>0.28242250217821346</c:v>
                </c:pt>
                <c:pt idx="33">
                  <c:v>0.28446975994863005</c:v>
                </c:pt>
                <c:pt idx="34">
                  <c:v>0.29919048260591968</c:v>
                </c:pt>
                <c:pt idx="35">
                  <c:v>0.31750348006920687</c:v>
                </c:pt>
                <c:pt idx="36">
                  <c:v>0.3396873902738764</c:v>
                </c:pt>
                <c:pt idx="37">
                  <c:v>0.34095422115690655</c:v>
                </c:pt>
                <c:pt idx="38">
                  <c:v>0.32644656360300567</c:v>
                </c:pt>
                <c:pt idx="39">
                  <c:v>0.3196274808773939</c:v>
                </c:pt>
                <c:pt idx="40">
                  <c:v>0.31772157338507867</c:v>
                </c:pt>
                <c:pt idx="41">
                  <c:v>0.32451658385927218</c:v>
                </c:pt>
                <c:pt idx="42">
                  <c:v>0.34401628082487795</c:v>
                </c:pt>
                <c:pt idx="43">
                  <c:v>0.34599289860501453</c:v>
                </c:pt>
                <c:pt idx="44">
                  <c:v>0.32993915271587432</c:v>
                </c:pt>
                <c:pt idx="45">
                  <c:v>0.33776487383904652</c:v>
                </c:pt>
                <c:pt idx="46">
                  <c:v>0.35789684013999418</c:v>
                </c:pt>
                <c:pt idx="47">
                  <c:v>0.39320369056068133</c:v>
                </c:pt>
                <c:pt idx="48">
                  <c:v>0.41408980030698811</c:v>
                </c:pt>
                <c:pt idx="49">
                  <c:v>0.43992043801067043</c:v>
                </c:pt>
                <c:pt idx="50">
                  <c:v>0.45252076130733865</c:v>
                </c:pt>
                <c:pt idx="51">
                  <c:v>0.45984025433191894</c:v>
                </c:pt>
                <c:pt idx="52">
                  <c:v>0.45691831253100679</c:v>
                </c:pt>
                <c:pt idx="53">
                  <c:v>0.41357767686682273</c:v>
                </c:pt>
                <c:pt idx="54">
                  <c:v>0.41246891220001691</c:v>
                </c:pt>
                <c:pt idx="55">
                  <c:v>0.39188983921045223</c:v>
                </c:pt>
                <c:pt idx="56">
                  <c:v>0.35525905928771673</c:v>
                </c:pt>
                <c:pt idx="57">
                  <c:v>0.34929424973935358</c:v>
                </c:pt>
                <c:pt idx="58">
                  <c:v>0.35287055249563282</c:v>
                </c:pt>
                <c:pt idx="59">
                  <c:v>0.35148274275878444</c:v>
                </c:pt>
                <c:pt idx="60">
                  <c:v>0.37295594417528988</c:v>
                </c:pt>
                <c:pt idx="61">
                  <c:v>0.36620851089370388</c:v>
                </c:pt>
                <c:pt idx="62">
                  <c:v>0.34807200815608286</c:v>
                </c:pt>
                <c:pt idx="63">
                  <c:v>0.34691119073517179</c:v>
                </c:pt>
                <c:pt idx="64">
                  <c:v>0.3037128554195101</c:v>
                </c:pt>
                <c:pt idx="65">
                  <c:v>0.28318281718281718</c:v>
                </c:pt>
                <c:pt idx="66">
                  <c:v>0.2847725239667197</c:v>
                </c:pt>
                <c:pt idx="67">
                  <c:v>0.27418473600880566</c:v>
                </c:pt>
                <c:pt idx="68">
                  <c:v>0.2564093342204799</c:v>
                </c:pt>
                <c:pt idx="69">
                  <c:v>0.25852803431611132</c:v>
                </c:pt>
                <c:pt idx="70">
                  <c:v>0.27857058266224538</c:v>
                </c:pt>
                <c:pt idx="71">
                  <c:v>0.31869233604783892</c:v>
                </c:pt>
                <c:pt idx="72">
                  <c:v>0.33572376600689324</c:v>
                </c:pt>
                <c:pt idx="73">
                  <c:v>0.32222841579407863</c:v>
                </c:pt>
                <c:pt idx="74">
                  <c:v>0.29833942478667741</c:v>
                </c:pt>
                <c:pt idx="75">
                  <c:v>0.26162516882621506</c:v>
                </c:pt>
                <c:pt idx="76">
                  <c:v>0.23344749324429132</c:v>
                </c:pt>
                <c:pt idx="77">
                  <c:v>0.22798600595269178</c:v>
                </c:pt>
                <c:pt idx="78">
                  <c:v>0.23807621338429602</c:v>
                </c:pt>
                <c:pt idx="79">
                  <c:v>0.19632010134258154</c:v>
                </c:pt>
                <c:pt idx="80">
                  <c:v>0.2129863296254591</c:v>
                </c:pt>
                <c:pt idx="81">
                  <c:v>0.21628369505628769</c:v>
                </c:pt>
                <c:pt idx="82">
                  <c:v>0.22722101409727877</c:v>
                </c:pt>
                <c:pt idx="83">
                  <c:v>0.25558215049237781</c:v>
                </c:pt>
                <c:pt idx="84">
                  <c:v>0.22012623364270748</c:v>
                </c:pt>
                <c:pt idx="85">
                  <c:v>0.25693161154545541</c:v>
                </c:pt>
                <c:pt idx="86">
                  <c:v>0.2399482082333676</c:v>
                </c:pt>
                <c:pt idx="87">
                  <c:v>0.20173650069773708</c:v>
                </c:pt>
                <c:pt idx="88">
                  <c:v>0.19321757564317701</c:v>
                </c:pt>
                <c:pt idx="89">
                  <c:v>0.18775522244651127</c:v>
                </c:pt>
                <c:pt idx="90">
                  <c:v>0.18912596247505647</c:v>
                </c:pt>
                <c:pt idx="91">
                  <c:v>0.19423948978103239</c:v>
                </c:pt>
                <c:pt idx="92">
                  <c:v>0.18115717225787484</c:v>
                </c:pt>
                <c:pt idx="93">
                  <c:v>0.18555767148050778</c:v>
                </c:pt>
                <c:pt idx="94">
                  <c:v>0.18382766500556541</c:v>
                </c:pt>
                <c:pt idx="95">
                  <c:v>0.19793659031268396</c:v>
                </c:pt>
                <c:pt idx="96">
                  <c:v>0.23574919470339309</c:v>
                </c:pt>
                <c:pt idx="97">
                  <c:v>0.24214942991461774</c:v>
                </c:pt>
                <c:pt idx="98">
                  <c:v>0.22525554300336187</c:v>
                </c:pt>
                <c:pt idx="99">
                  <c:v>0.22323734846822876</c:v>
                </c:pt>
                <c:pt idx="100">
                  <c:v>0.20930181583047622</c:v>
                </c:pt>
                <c:pt idx="101">
                  <c:v>0.20151052874056613</c:v>
                </c:pt>
                <c:pt idx="102">
                  <c:v>0.20199203042664074</c:v>
                </c:pt>
                <c:pt idx="103">
                  <c:v>0.20293766346281067</c:v>
                </c:pt>
                <c:pt idx="104">
                  <c:v>0.18713311719785014</c:v>
                </c:pt>
                <c:pt idx="105">
                  <c:v>0.18653052645949836</c:v>
                </c:pt>
                <c:pt idx="106">
                  <c:v>0.19140546918255905</c:v>
                </c:pt>
                <c:pt idx="107">
                  <c:v>0.20111153371211044</c:v>
                </c:pt>
                <c:pt idx="108">
                  <c:v>0.23920899322075917</c:v>
                </c:pt>
                <c:pt idx="109">
                  <c:v>0.24385903196405442</c:v>
                </c:pt>
                <c:pt idx="110">
                  <c:v>0.22569063725208158</c:v>
                </c:pt>
                <c:pt idx="111">
                  <c:v>0.20709226519721416</c:v>
                </c:pt>
                <c:pt idx="112">
                  <c:v>0.19633691108472598</c:v>
                </c:pt>
                <c:pt idx="113">
                  <c:v>0.18614651726891782</c:v>
                </c:pt>
                <c:pt idx="114">
                  <c:v>0.19905645739280781</c:v>
                </c:pt>
                <c:pt idx="115">
                  <c:v>0.19645943294875987</c:v>
                </c:pt>
                <c:pt idx="116">
                  <c:v>0.18288672419854166</c:v>
                </c:pt>
                <c:pt idx="117">
                  <c:v>0.18490372143684641</c:v>
                </c:pt>
                <c:pt idx="118">
                  <c:v>0.1930231030244943</c:v>
                </c:pt>
                <c:pt idx="119">
                  <c:v>0.21358924109729588</c:v>
                </c:pt>
                <c:pt idx="120">
                  <c:v>0.23887297708880581</c:v>
                </c:pt>
                <c:pt idx="121">
                  <c:v>0.235601158146892</c:v>
                </c:pt>
                <c:pt idx="122">
                  <c:v>0.22138716769938038</c:v>
                </c:pt>
                <c:pt idx="123">
                  <c:v>0.20520357618723109</c:v>
                </c:pt>
                <c:pt idx="124">
                  <c:v>0.19648735529505743</c:v>
                </c:pt>
                <c:pt idx="125">
                  <c:v>0.19172343512887827</c:v>
                </c:pt>
                <c:pt idx="126">
                  <c:v>0.2078796338702856</c:v>
                </c:pt>
                <c:pt idx="127">
                  <c:v>0.20837604789356198</c:v>
                </c:pt>
                <c:pt idx="128">
                  <c:v>0.19556588487684773</c:v>
                </c:pt>
                <c:pt idx="129">
                  <c:v>0.19803592669689987</c:v>
                </c:pt>
                <c:pt idx="130">
                  <c:v>0.21282721784849917</c:v>
                </c:pt>
                <c:pt idx="131">
                  <c:v>0.23898189875484974</c:v>
                </c:pt>
                <c:pt idx="132">
                  <c:v>0.26472658498126883</c:v>
                </c:pt>
                <c:pt idx="133">
                  <c:v>0.26102104263594461</c:v>
                </c:pt>
                <c:pt idx="134">
                  <c:v>0.24705207973658852</c:v>
                </c:pt>
                <c:pt idx="135">
                  <c:v>0.22800269905533063</c:v>
                </c:pt>
                <c:pt idx="136">
                  <c:v>0.22482642626820909</c:v>
                </c:pt>
                <c:pt idx="137">
                  <c:v>0.22382183967860786</c:v>
                </c:pt>
                <c:pt idx="138">
                  <c:v>0.24029775866064629</c:v>
                </c:pt>
                <c:pt idx="139">
                  <c:v>0.24245895478204463</c:v>
                </c:pt>
                <c:pt idx="140">
                  <c:v>0.22678172041305142</c:v>
                </c:pt>
                <c:pt idx="141">
                  <c:v>0.22788632714802154</c:v>
                </c:pt>
                <c:pt idx="142">
                  <c:v>0.24268996981433749</c:v>
                </c:pt>
                <c:pt idx="143">
                  <c:v>0.26994569620817416</c:v>
                </c:pt>
              </c:numCache>
            </c:numRef>
          </c:val>
          <c:smooth val="0"/>
        </c:ser>
        <c:dLbls>
          <c:showLegendKey val="0"/>
          <c:showVal val="0"/>
          <c:showCatName val="0"/>
          <c:showSerName val="0"/>
          <c:showPercent val="0"/>
          <c:showBubbleSize val="0"/>
        </c:dLbls>
        <c:marker val="1"/>
        <c:smooth val="0"/>
        <c:axId val="81663872"/>
        <c:axId val="81662336"/>
      </c:lineChart>
      <c:catAx>
        <c:axId val="81298560"/>
        <c:scaling>
          <c:orientation val="minMax"/>
        </c:scaling>
        <c:delete val="0"/>
        <c:axPos val="b"/>
        <c:majorTickMark val="out"/>
        <c:minorTickMark val="out"/>
        <c:tickLblPos val="nextTo"/>
        <c:txPr>
          <a:bodyPr/>
          <a:lstStyle/>
          <a:p>
            <a:pPr>
              <a:defRPr sz="800"/>
            </a:pPr>
            <a:endParaRPr lang="cs-CZ"/>
          </a:p>
        </c:txPr>
        <c:crossAx val="81300096"/>
        <c:crosses val="autoZero"/>
        <c:auto val="1"/>
        <c:lblAlgn val="ctr"/>
        <c:lblOffset val="100"/>
        <c:tickLblSkip val="12"/>
        <c:tickMarkSkip val="4"/>
        <c:noMultiLvlLbl val="0"/>
      </c:catAx>
      <c:valAx>
        <c:axId val="81300096"/>
        <c:scaling>
          <c:orientation val="minMax"/>
        </c:scaling>
        <c:delete val="0"/>
        <c:axPos val="l"/>
        <c:majorGridlines/>
        <c:numFmt formatCode="#,##0" sourceLinked="1"/>
        <c:majorTickMark val="out"/>
        <c:minorTickMark val="none"/>
        <c:tickLblPos val="nextTo"/>
        <c:txPr>
          <a:bodyPr/>
          <a:lstStyle/>
          <a:p>
            <a:pPr>
              <a:defRPr sz="800"/>
            </a:pPr>
            <a:endParaRPr lang="cs-CZ"/>
          </a:p>
        </c:txPr>
        <c:crossAx val="81298560"/>
        <c:crosses val="autoZero"/>
        <c:crossBetween val="between"/>
      </c:valAx>
      <c:valAx>
        <c:axId val="81662336"/>
        <c:scaling>
          <c:orientation val="minMax"/>
          <c:max val="0.70000000000000007"/>
        </c:scaling>
        <c:delete val="0"/>
        <c:axPos val="r"/>
        <c:numFmt formatCode="0%" sourceLinked="0"/>
        <c:majorTickMark val="out"/>
        <c:minorTickMark val="none"/>
        <c:tickLblPos val="nextTo"/>
        <c:txPr>
          <a:bodyPr/>
          <a:lstStyle/>
          <a:p>
            <a:pPr>
              <a:defRPr sz="800"/>
            </a:pPr>
            <a:endParaRPr lang="cs-CZ"/>
          </a:p>
        </c:txPr>
        <c:crossAx val="81663872"/>
        <c:crosses val="max"/>
        <c:crossBetween val="between"/>
      </c:valAx>
      <c:catAx>
        <c:axId val="81663872"/>
        <c:scaling>
          <c:orientation val="minMax"/>
        </c:scaling>
        <c:delete val="1"/>
        <c:axPos val="b"/>
        <c:majorTickMark val="out"/>
        <c:minorTickMark val="none"/>
        <c:tickLblPos val="nextTo"/>
        <c:crossAx val="81662336"/>
        <c:crosses val="autoZero"/>
        <c:auto val="1"/>
        <c:lblAlgn val="ctr"/>
        <c:lblOffset val="100"/>
        <c:noMultiLvlLbl val="0"/>
      </c:catAx>
    </c:plotArea>
    <c:legend>
      <c:legendPos val="b"/>
      <c:overlay val="0"/>
      <c:txPr>
        <a:bodyPr/>
        <a:lstStyle/>
        <a:p>
          <a:pPr>
            <a:defRPr sz="800"/>
          </a:pPr>
          <a:endParaRPr lang="cs-CZ"/>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'Nekolidující zaměstnání'!$B$22</c:f>
              <c:strCache>
                <c:ptCount val="1"/>
                <c:pt idx="0">
                  <c:v>UoZ</c:v>
                </c:pt>
              </c:strCache>
            </c:strRef>
          </c:tx>
          <c:spPr>
            <a:solidFill>
              <a:schemeClr val="accent1">
                <a:lumMod val="60000"/>
                <a:lumOff val="40000"/>
              </a:schemeClr>
            </a:solidFill>
          </c:spPr>
          <c:invertIfNegative val="0"/>
          <c:cat>
            <c:strRef>
              <c:f>'Nekolidující zaměstnání'!$A$23:$A$34</c:f>
              <c:strCache>
                <c:ptCount val="12"/>
                <c:pt idx="0">
                  <c:v>1_16</c:v>
                </c:pt>
                <c:pt idx="1">
                  <c:v>2</c:v>
                </c:pt>
                <c:pt idx="2">
                  <c:v>3</c:v>
                </c:pt>
                <c:pt idx="3">
                  <c:v>4</c:v>
                </c:pt>
                <c:pt idx="4">
                  <c:v>5</c:v>
                </c:pt>
                <c:pt idx="5">
                  <c:v>6</c:v>
                </c:pt>
                <c:pt idx="6">
                  <c:v>7</c:v>
                </c:pt>
                <c:pt idx="7">
                  <c:v>8</c:v>
                </c:pt>
                <c:pt idx="8">
                  <c:v>9</c:v>
                </c:pt>
                <c:pt idx="9">
                  <c:v>10</c:v>
                </c:pt>
                <c:pt idx="10">
                  <c:v>11</c:v>
                </c:pt>
                <c:pt idx="11">
                  <c:v>12</c:v>
                </c:pt>
              </c:strCache>
            </c:strRef>
          </c:cat>
          <c:val>
            <c:numRef>
              <c:f>'Nekolidující zaměstnání'!$B$23:$B$34</c:f>
              <c:numCache>
                <c:formatCode>#,##0</c:formatCode>
                <c:ptCount val="12"/>
                <c:pt idx="0">
                  <c:v>467403</c:v>
                </c:pt>
                <c:pt idx="1">
                  <c:v>461254</c:v>
                </c:pt>
                <c:pt idx="2">
                  <c:v>443109</c:v>
                </c:pt>
                <c:pt idx="3">
                  <c:v>414960</c:v>
                </c:pt>
                <c:pt idx="4">
                  <c:v>394789</c:v>
                </c:pt>
                <c:pt idx="5">
                  <c:v>384328</c:v>
                </c:pt>
                <c:pt idx="6">
                  <c:v>392667</c:v>
                </c:pt>
                <c:pt idx="7">
                  <c:v>388474</c:v>
                </c:pt>
                <c:pt idx="8">
                  <c:v>378258</c:v>
                </c:pt>
                <c:pt idx="9">
                  <c:v>366244</c:v>
                </c:pt>
                <c:pt idx="10">
                  <c:v>362755</c:v>
                </c:pt>
                <c:pt idx="11">
                  <c:v>381373</c:v>
                </c:pt>
              </c:numCache>
            </c:numRef>
          </c:val>
        </c:ser>
        <c:ser>
          <c:idx val="2"/>
          <c:order val="1"/>
          <c:tx>
            <c:strRef>
              <c:f>'Nekolidující zaměstnání'!$C$22</c:f>
              <c:strCache>
                <c:ptCount val="1"/>
                <c:pt idx="0">
                  <c:v>UoZ nek.</c:v>
                </c:pt>
              </c:strCache>
            </c:strRef>
          </c:tx>
          <c:spPr>
            <a:solidFill>
              <a:schemeClr val="tx2">
                <a:lumMod val="60000"/>
                <a:lumOff val="40000"/>
              </a:schemeClr>
            </a:solidFill>
          </c:spPr>
          <c:invertIfNegative val="0"/>
          <c:cat>
            <c:strRef>
              <c:f>'Nekolidující zaměstnání'!$A$23:$A$34</c:f>
              <c:strCache>
                <c:ptCount val="12"/>
                <c:pt idx="0">
                  <c:v>1_16</c:v>
                </c:pt>
                <c:pt idx="1">
                  <c:v>2</c:v>
                </c:pt>
                <c:pt idx="2">
                  <c:v>3</c:v>
                </c:pt>
                <c:pt idx="3">
                  <c:v>4</c:v>
                </c:pt>
                <c:pt idx="4">
                  <c:v>5</c:v>
                </c:pt>
                <c:pt idx="5">
                  <c:v>6</c:v>
                </c:pt>
                <c:pt idx="6">
                  <c:v>7</c:v>
                </c:pt>
                <c:pt idx="7">
                  <c:v>8</c:v>
                </c:pt>
                <c:pt idx="8">
                  <c:v>9</c:v>
                </c:pt>
                <c:pt idx="9">
                  <c:v>10</c:v>
                </c:pt>
                <c:pt idx="10">
                  <c:v>11</c:v>
                </c:pt>
                <c:pt idx="11">
                  <c:v>12</c:v>
                </c:pt>
              </c:strCache>
            </c:strRef>
          </c:cat>
          <c:val>
            <c:numRef>
              <c:f>'Nekolidující zaměstnání'!$C$23:$C$34</c:f>
              <c:numCache>
                <c:formatCode>#,##0</c:formatCode>
                <c:ptCount val="12"/>
                <c:pt idx="0">
                  <c:v>40254</c:v>
                </c:pt>
                <c:pt idx="1">
                  <c:v>45597</c:v>
                </c:pt>
                <c:pt idx="2">
                  <c:v>47751</c:v>
                </c:pt>
                <c:pt idx="3">
                  <c:v>48157</c:v>
                </c:pt>
                <c:pt idx="4">
                  <c:v>48480</c:v>
                </c:pt>
                <c:pt idx="5">
                  <c:v>48406</c:v>
                </c:pt>
                <c:pt idx="6">
                  <c:v>46300</c:v>
                </c:pt>
                <c:pt idx="7">
                  <c:v>45578</c:v>
                </c:pt>
                <c:pt idx="8">
                  <c:v>44789</c:v>
                </c:pt>
                <c:pt idx="9">
                  <c:v>43757</c:v>
                </c:pt>
                <c:pt idx="10">
                  <c:v>43117</c:v>
                </c:pt>
                <c:pt idx="11">
                  <c:v>40933</c:v>
                </c:pt>
              </c:numCache>
            </c:numRef>
          </c:val>
        </c:ser>
        <c:dLbls>
          <c:showLegendKey val="0"/>
          <c:showVal val="0"/>
          <c:showCatName val="0"/>
          <c:showSerName val="0"/>
          <c:showPercent val="0"/>
          <c:showBubbleSize val="0"/>
        </c:dLbls>
        <c:gapWidth val="150"/>
        <c:axId val="117777152"/>
        <c:axId val="117778688"/>
      </c:barChart>
      <c:lineChart>
        <c:grouping val="standard"/>
        <c:varyColors val="0"/>
        <c:ser>
          <c:idx val="3"/>
          <c:order val="2"/>
          <c:tx>
            <c:strRef>
              <c:f>'Nekolidující zaměstnání'!$D$22</c:f>
              <c:strCache>
                <c:ptCount val="1"/>
                <c:pt idx="0">
                  <c:v>podíl nek.</c:v>
                </c:pt>
              </c:strCache>
            </c:strRef>
          </c:tx>
          <c:marker>
            <c:symbol val="none"/>
          </c:marker>
          <c:cat>
            <c:strRef>
              <c:f>'Nekolidující zaměstnání'!$A$23:$A$34</c:f>
              <c:strCache>
                <c:ptCount val="12"/>
                <c:pt idx="0">
                  <c:v>1_16</c:v>
                </c:pt>
                <c:pt idx="1">
                  <c:v>2</c:v>
                </c:pt>
                <c:pt idx="2">
                  <c:v>3</c:v>
                </c:pt>
                <c:pt idx="3">
                  <c:v>4</c:v>
                </c:pt>
                <c:pt idx="4">
                  <c:v>5</c:v>
                </c:pt>
                <c:pt idx="5">
                  <c:v>6</c:v>
                </c:pt>
                <c:pt idx="6">
                  <c:v>7</c:v>
                </c:pt>
                <c:pt idx="7">
                  <c:v>8</c:v>
                </c:pt>
                <c:pt idx="8">
                  <c:v>9</c:v>
                </c:pt>
                <c:pt idx="9">
                  <c:v>10</c:v>
                </c:pt>
                <c:pt idx="10">
                  <c:v>11</c:v>
                </c:pt>
                <c:pt idx="11">
                  <c:v>12</c:v>
                </c:pt>
              </c:strCache>
            </c:strRef>
          </c:cat>
          <c:val>
            <c:numRef>
              <c:f>'Nekolidující zaměstnání'!$D$23:$D$34</c:f>
              <c:numCache>
                <c:formatCode>0.00%</c:formatCode>
                <c:ptCount val="12"/>
                <c:pt idx="0">
                  <c:v>8.6122682139395765E-2</c:v>
                </c:pt>
                <c:pt idx="1">
                  <c:v>9.8854427278679421E-2</c:v>
                </c:pt>
                <c:pt idx="2">
                  <c:v>0.10776355253447797</c:v>
                </c:pt>
                <c:pt idx="3">
                  <c:v>0.11605214960478118</c:v>
                </c:pt>
                <c:pt idx="4">
                  <c:v>0.12279977405652133</c:v>
                </c:pt>
                <c:pt idx="5">
                  <c:v>0.12594970962303031</c:v>
                </c:pt>
                <c:pt idx="6">
                  <c:v>0.11791161467604866</c:v>
                </c:pt>
                <c:pt idx="7">
                  <c:v>0.11732574123364756</c:v>
                </c:pt>
                <c:pt idx="8">
                  <c:v>0.11840859942155883</c:v>
                </c:pt>
                <c:pt idx="9">
                  <c:v>0.1194749948122017</c:v>
                </c:pt>
                <c:pt idx="10">
                  <c:v>0.11885983652878665</c:v>
                </c:pt>
                <c:pt idx="11">
                  <c:v>0.10733061858075951</c:v>
                </c:pt>
              </c:numCache>
            </c:numRef>
          </c:val>
          <c:smooth val="0"/>
        </c:ser>
        <c:dLbls>
          <c:showLegendKey val="0"/>
          <c:showVal val="0"/>
          <c:showCatName val="0"/>
          <c:showSerName val="0"/>
          <c:showPercent val="0"/>
          <c:showBubbleSize val="0"/>
        </c:dLbls>
        <c:marker val="1"/>
        <c:smooth val="0"/>
        <c:axId val="117782400"/>
        <c:axId val="117780864"/>
      </c:lineChart>
      <c:catAx>
        <c:axId val="117777152"/>
        <c:scaling>
          <c:orientation val="minMax"/>
        </c:scaling>
        <c:delete val="0"/>
        <c:axPos val="b"/>
        <c:majorTickMark val="out"/>
        <c:minorTickMark val="none"/>
        <c:tickLblPos val="nextTo"/>
        <c:txPr>
          <a:bodyPr/>
          <a:lstStyle/>
          <a:p>
            <a:pPr>
              <a:defRPr sz="800"/>
            </a:pPr>
            <a:endParaRPr lang="cs-CZ"/>
          </a:p>
        </c:txPr>
        <c:crossAx val="117778688"/>
        <c:crosses val="autoZero"/>
        <c:auto val="1"/>
        <c:lblAlgn val="ctr"/>
        <c:lblOffset val="100"/>
        <c:noMultiLvlLbl val="0"/>
      </c:catAx>
      <c:valAx>
        <c:axId val="117778688"/>
        <c:scaling>
          <c:orientation val="minMax"/>
        </c:scaling>
        <c:delete val="0"/>
        <c:axPos val="l"/>
        <c:majorGridlines/>
        <c:numFmt formatCode="#,##0" sourceLinked="1"/>
        <c:majorTickMark val="out"/>
        <c:minorTickMark val="none"/>
        <c:tickLblPos val="nextTo"/>
        <c:txPr>
          <a:bodyPr/>
          <a:lstStyle/>
          <a:p>
            <a:pPr>
              <a:defRPr sz="800"/>
            </a:pPr>
            <a:endParaRPr lang="cs-CZ"/>
          </a:p>
        </c:txPr>
        <c:crossAx val="117777152"/>
        <c:crosses val="autoZero"/>
        <c:crossBetween val="between"/>
        <c:dispUnits>
          <c:builtInUnit val="thousands"/>
          <c:dispUnitsLbl>
            <c:txPr>
              <a:bodyPr/>
              <a:lstStyle/>
              <a:p>
                <a:pPr>
                  <a:defRPr sz="800"/>
                </a:pPr>
                <a:endParaRPr lang="cs-CZ"/>
              </a:p>
            </c:txPr>
          </c:dispUnitsLbl>
        </c:dispUnits>
      </c:valAx>
      <c:valAx>
        <c:axId val="117780864"/>
        <c:scaling>
          <c:orientation val="minMax"/>
        </c:scaling>
        <c:delete val="0"/>
        <c:axPos val="r"/>
        <c:numFmt formatCode="0%" sourceLinked="0"/>
        <c:majorTickMark val="out"/>
        <c:minorTickMark val="none"/>
        <c:tickLblPos val="nextTo"/>
        <c:txPr>
          <a:bodyPr/>
          <a:lstStyle/>
          <a:p>
            <a:pPr>
              <a:defRPr sz="800"/>
            </a:pPr>
            <a:endParaRPr lang="cs-CZ"/>
          </a:p>
        </c:txPr>
        <c:crossAx val="117782400"/>
        <c:crosses val="max"/>
        <c:crossBetween val="between"/>
      </c:valAx>
      <c:catAx>
        <c:axId val="117782400"/>
        <c:scaling>
          <c:orientation val="minMax"/>
        </c:scaling>
        <c:delete val="1"/>
        <c:axPos val="b"/>
        <c:majorTickMark val="out"/>
        <c:minorTickMark val="none"/>
        <c:tickLblPos val="nextTo"/>
        <c:crossAx val="117780864"/>
        <c:crosses val="autoZero"/>
        <c:auto val="1"/>
        <c:lblAlgn val="ctr"/>
        <c:lblOffset val="100"/>
        <c:noMultiLvlLbl val="0"/>
      </c:catAx>
    </c:plotArea>
    <c:legend>
      <c:legendPos val="r"/>
      <c:layout>
        <c:manualLayout>
          <c:xMode val="edge"/>
          <c:yMode val="edge"/>
          <c:x val="0.85107748485912671"/>
          <c:y val="0.23829147488123006"/>
          <c:w val="0.11823954289619301"/>
          <c:h val="0.47873871963473086"/>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125539863072665E-2"/>
          <c:y val="3.6484245439469321E-2"/>
          <c:w val="0.91095470705050763"/>
          <c:h val="0.83146020479834382"/>
        </c:manualLayout>
      </c:layout>
      <c:areaChart>
        <c:grouping val="stacked"/>
        <c:varyColors val="0"/>
        <c:ser>
          <c:idx val="0"/>
          <c:order val="0"/>
          <c:tx>
            <c:strRef>
              <c:f>'Vývoj LTU'!$B$2</c:f>
              <c:strCache>
                <c:ptCount val="1"/>
                <c:pt idx="0">
                  <c:v>nad 24M</c:v>
                </c:pt>
              </c:strCache>
            </c:strRef>
          </c:tx>
          <c:spPr>
            <a:solidFill>
              <a:srgbClr val="FF7C80"/>
            </a:solidFill>
            <a:ln>
              <a:noFill/>
            </a:ln>
          </c:spPr>
          <c:cat>
            <c:strRef>
              <c:f>'Vývoj LTU'!$A$3:$A$38</c:f>
              <c:strCache>
                <c:ptCount val="36"/>
                <c:pt idx="0">
                  <c:v>3/08</c:v>
                </c:pt>
                <c:pt idx="1">
                  <c:v>6/08</c:v>
                </c:pt>
                <c:pt idx="2">
                  <c:v>9/08</c:v>
                </c:pt>
                <c:pt idx="3">
                  <c:v>12/08</c:v>
                </c:pt>
                <c:pt idx="4">
                  <c:v>3/09</c:v>
                </c:pt>
                <c:pt idx="5">
                  <c:v>6/09</c:v>
                </c:pt>
                <c:pt idx="6">
                  <c:v>9/09</c:v>
                </c:pt>
                <c:pt idx="7">
                  <c:v>12/09</c:v>
                </c:pt>
                <c:pt idx="8">
                  <c:v>3/10</c:v>
                </c:pt>
                <c:pt idx="9">
                  <c:v>6/10</c:v>
                </c:pt>
                <c:pt idx="10">
                  <c:v>9/10</c:v>
                </c:pt>
                <c:pt idx="11">
                  <c:v>12/10</c:v>
                </c:pt>
                <c:pt idx="12">
                  <c:v>3/11</c:v>
                </c:pt>
                <c:pt idx="13">
                  <c:v>6/11</c:v>
                </c:pt>
                <c:pt idx="14">
                  <c:v>9/11</c:v>
                </c:pt>
                <c:pt idx="15">
                  <c:v>12/11</c:v>
                </c:pt>
                <c:pt idx="16">
                  <c:v>3/12</c:v>
                </c:pt>
                <c:pt idx="17">
                  <c:v>6/12</c:v>
                </c:pt>
                <c:pt idx="18">
                  <c:v>9/12</c:v>
                </c:pt>
                <c:pt idx="19">
                  <c:v>12/12</c:v>
                </c:pt>
                <c:pt idx="20">
                  <c:v>3/13</c:v>
                </c:pt>
                <c:pt idx="21">
                  <c:v>6/13</c:v>
                </c:pt>
                <c:pt idx="22">
                  <c:v>9/13</c:v>
                </c:pt>
                <c:pt idx="23">
                  <c:v>12/13</c:v>
                </c:pt>
                <c:pt idx="24">
                  <c:v>3/14</c:v>
                </c:pt>
                <c:pt idx="25">
                  <c:v>6/14</c:v>
                </c:pt>
                <c:pt idx="26">
                  <c:v>9/14</c:v>
                </c:pt>
                <c:pt idx="27">
                  <c:v>12/14</c:v>
                </c:pt>
                <c:pt idx="28">
                  <c:v>3/15</c:v>
                </c:pt>
                <c:pt idx="29">
                  <c:v>6/15</c:v>
                </c:pt>
                <c:pt idx="30">
                  <c:v>9/15</c:v>
                </c:pt>
                <c:pt idx="31">
                  <c:v>12/15</c:v>
                </c:pt>
                <c:pt idx="32">
                  <c:v>3/16</c:v>
                </c:pt>
                <c:pt idx="33">
                  <c:v>6/16</c:v>
                </c:pt>
                <c:pt idx="34">
                  <c:v>9/16</c:v>
                </c:pt>
                <c:pt idx="35">
                  <c:v>12/16</c:v>
                </c:pt>
              </c:strCache>
            </c:strRef>
          </c:cat>
          <c:val>
            <c:numRef>
              <c:f>'Vývoj LTU'!$B$3:$B$38</c:f>
              <c:numCache>
                <c:formatCode>General</c:formatCode>
                <c:ptCount val="36"/>
                <c:pt idx="0">
                  <c:v>85315</c:v>
                </c:pt>
                <c:pt idx="1">
                  <c:v>76595</c:v>
                </c:pt>
                <c:pt idx="2">
                  <c:v>71332</c:v>
                </c:pt>
                <c:pt idx="3">
                  <c:v>67823</c:v>
                </c:pt>
                <c:pt idx="4">
                  <c:v>62470</c:v>
                </c:pt>
                <c:pt idx="5">
                  <c:v>65567</c:v>
                </c:pt>
                <c:pt idx="6">
                  <c:v>62014</c:v>
                </c:pt>
                <c:pt idx="7">
                  <c:v>62431</c:v>
                </c:pt>
                <c:pt idx="8">
                  <c:v>64966</c:v>
                </c:pt>
                <c:pt idx="9">
                  <c:v>67203</c:v>
                </c:pt>
                <c:pt idx="10">
                  <c:v>72510</c:v>
                </c:pt>
                <c:pt idx="11">
                  <c:v>79321</c:v>
                </c:pt>
                <c:pt idx="12">
                  <c:v>89450</c:v>
                </c:pt>
                <c:pt idx="13">
                  <c:v>94779</c:v>
                </c:pt>
                <c:pt idx="14">
                  <c:v>98637</c:v>
                </c:pt>
                <c:pt idx="15">
                  <c:v>101783</c:v>
                </c:pt>
                <c:pt idx="16">
                  <c:v>105482</c:v>
                </c:pt>
                <c:pt idx="17">
                  <c:v>103972</c:v>
                </c:pt>
                <c:pt idx="18">
                  <c:v>105256</c:v>
                </c:pt>
                <c:pt idx="19">
                  <c:v>110164</c:v>
                </c:pt>
                <c:pt idx="20">
                  <c:v>114674</c:v>
                </c:pt>
                <c:pt idx="21">
                  <c:v>117075</c:v>
                </c:pt>
                <c:pt idx="22">
                  <c:v>123691</c:v>
                </c:pt>
                <c:pt idx="23">
                  <c:v>130806</c:v>
                </c:pt>
                <c:pt idx="24">
                  <c:v>139225</c:v>
                </c:pt>
                <c:pt idx="25">
                  <c:v>140360</c:v>
                </c:pt>
                <c:pt idx="26">
                  <c:v>143398</c:v>
                </c:pt>
                <c:pt idx="27">
                  <c:v>146477</c:v>
                </c:pt>
                <c:pt idx="28">
                  <c:v>148386</c:v>
                </c:pt>
                <c:pt idx="29">
                  <c:v>139852</c:v>
                </c:pt>
                <c:pt idx="30">
                  <c:v>134865</c:v>
                </c:pt>
                <c:pt idx="31">
                  <c:v>129323</c:v>
                </c:pt>
                <c:pt idx="32">
                  <c:v>125268</c:v>
                </c:pt>
                <c:pt idx="33">
                  <c:v>114122</c:v>
                </c:pt>
                <c:pt idx="34">
                  <c:v>106843</c:v>
                </c:pt>
                <c:pt idx="35">
                  <c:v>98910</c:v>
                </c:pt>
              </c:numCache>
            </c:numRef>
          </c:val>
        </c:ser>
        <c:ser>
          <c:idx val="1"/>
          <c:order val="1"/>
          <c:tx>
            <c:strRef>
              <c:f>'Vývoj LTU'!$C$2</c:f>
              <c:strCache>
                <c:ptCount val="1"/>
                <c:pt idx="0">
                  <c:v>12-24M</c:v>
                </c:pt>
              </c:strCache>
            </c:strRef>
          </c:tx>
          <c:spPr>
            <a:solidFill>
              <a:schemeClr val="accent2">
                <a:lumMod val="40000"/>
                <a:lumOff val="60000"/>
              </a:schemeClr>
            </a:solidFill>
            <a:ln w="25400">
              <a:noFill/>
            </a:ln>
          </c:spPr>
          <c:cat>
            <c:strRef>
              <c:f>'Vývoj LTU'!$A$3:$A$38</c:f>
              <c:strCache>
                <c:ptCount val="36"/>
                <c:pt idx="0">
                  <c:v>3/08</c:v>
                </c:pt>
                <c:pt idx="1">
                  <c:v>6/08</c:v>
                </c:pt>
                <c:pt idx="2">
                  <c:v>9/08</c:v>
                </c:pt>
                <c:pt idx="3">
                  <c:v>12/08</c:v>
                </c:pt>
                <c:pt idx="4">
                  <c:v>3/09</c:v>
                </c:pt>
                <c:pt idx="5">
                  <c:v>6/09</c:v>
                </c:pt>
                <c:pt idx="6">
                  <c:v>9/09</c:v>
                </c:pt>
                <c:pt idx="7">
                  <c:v>12/09</c:v>
                </c:pt>
                <c:pt idx="8">
                  <c:v>3/10</c:v>
                </c:pt>
                <c:pt idx="9">
                  <c:v>6/10</c:v>
                </c:pt>
                <c:pt idx="10">
                  <c:v>9/10</c:v>
                </c:pt>
                <c:pt idx="11">
                  <c:v>12/10</c:v>
                </c:pt>
                <c:pt idx="12">
                  <c:v>3/11</c:v>
                </c:pt>
                <c:pt idx="13">
                  <c:v>6/11</c:v>
                </c:pt>
                <c:pt idx="14">
                  <c:v>9/11</c:v>
                </c:pt>
                <c:pt idx="15">
                  <c:v>12/11</c:v>
                </c:pt>
                <c:pt idx="16">
                  <c:v>3/12</c:v>
                </c:pt>
                <c:pt idx="17">
                  <c:v>6/12</c:v>
                </c:pt>
                <c:pt idx="18">
                  <c:v>9/12</c:v>
                </c:pt>
                <c:pt idx="19">
                  <c:v>12/12</c:v>
                </c:pt>
                <c:pt idx="20">
                  <c:v>3/13</c:v>
                </c:pt>
                <c:pt idx="21">
                  <c:v>6/13</c:v>
                </c:pt>
                <c:pt idx="22">
                  <c:v>9/13</c:v>
                </c:pt>
                <c:pt idx="23">
                  <c:v>12/13</c:v>
                </c:pt>
                <c:pt idx="24">
                  <c:v>3/14</c:v>
                </c:pt>
                <c:pt idx="25">
                  <c:v>6/14</c:v>
                </c:pt>
                <c:pt idx="26">
                  <c:v>9/14</c:v>
                </c:pt>
                <c:pt idx="27">
                  <c:v>12/14</c:v>
                </c:pt>
                <c:pt idx="28">
                  <c:v>3/15</c:v>
                </c:pt>
                <c:pt idx="29">
                  <c:v>6/15</c:v>
                </c:pt>
                <c:pt idx="30">
                  <c:v>9/15</c:v>
                </c:pt>
                <c:pt idx="31">
                  <c:v>12/15</c:v>
                </c:pt>
                <c:pt idx="32">
                  <c:v>3/16</c:v>
                </c:pt>
                <c:pt idx="33">
                  <c:v>6/16</c:v>
                </c:pt>
                <c:pt idx="34">
                  <c:v>9/16</c:v>
                </c:pt>
                <c:pt idx="35">
                  <c:v>12/16</c:v>
                </c:pt>
              </c:strCache>
            </c:strRef>
          </c:cat>
          <c:val>
            <c:numRef>
              <c:f>'Vývoj LTU'!$C$3:$C$38</c:f>
              <c:numCache>
                <c:formatCode>General</c:formatCode>
                <c:ptCount val="36"/>
                <c:pt idx="0">
                  <c:v>42055</c:v>
                </c:pt>
                <c:pt idx="1">
                  <c:v>36410</c:v>
                </c:pt>
                <c:pt idx="2">
                  <c:v>34308</c:v>
                </c:pt>
                <c:pt idx="3">
                  <c:v>33701</c:v>
                </c:pt>
                <c:pt idx="4">
                  <c:v>38827</c:v>
                </c:pt>
                <c:pt idx="5">
                  <c:v>35844</c:v>
                </c:pt>
                <c:pt idx="6">
                  <c:v>48191</c:v>
                </c:pt>
                <c:pt idx="7">
                  <c:v>61442</c:v>
                </c:pt>
                <c:pt idx="8">
                  <c:v>85241</c:v>
                </c:pt>
                <c:pt idx="9">
                  <c:v>93581</c:v>
                </c:pt>
                <c:pt idx="10">
                  <c:v>99847</c:v>
                </c:pt>
                <c:pt idx="11">
                  <c:v>99160</c:v>
                </c:pt>
                <c:pt idx="12">
                  <c:v>93836</c:v>
                </c:pt>
                <c:pt idx="13">
                  <c:v>83704</c:v>
                </c:pt>
                <c:pt idx="14">
                  <c:v>79049</c:v>
                </c:pt>
                <c:pt idx="15">
                  <c:v>82347</c:v>
                </c:pt>
                <c:pt idx="16">
                  <c:v>80169</c:v>
                </c:pt>
                <c:pt idx="17">
                  <c:v>76995</c:v>
                </c:pt>
                <c:pt idx="18">
                  <c:v>80831</c:v>
                </c:pt>
                <c:pt idx="19">
                  <c:v>82070</c:v>
                </c:pt>
                <c:pt idx="20">
                  <c:v>92539</c:v>
                </c:pt>
                <c:pt idx="21">
                  <c:v>93558</c:v>
                </c:pt>
                <c:pt idx="22">
                  <c:v>101106</c:v>
                </c:pt>
                <c:pt idx="23">
                  <c:v>106175</c:v>
                </c:pt>
                <c:pt idx="24">
                  <c:v>112344</c:v>
                </c:pt>
                <c:pt idx="25">
                  <c:v>103052</c:v>
                </c:pt>
                <c:pt idx="26">
                  <c:v>98219</c:v>
                </c:pt>
                <c:pt idx="27">
                  <c:v>90688</c:v>
                </c:pt>
                <c:pt idx="28">
                  <c:v>82555</c:v>
                </c:pt>
                <c:pt idx="29">
                  <c:v>70538</c:v>
                </c:pt>
                <c:pt idx="30">
                  <c:v>64090</c:v>
                </c:pt>
                <c:pt idx="31">
                  <c:v>58232</c:v>
                </c:pt>
                <c:pt idx="32">
                  <c:v>55734</c:v>
                </c:pt>
                <c:pt idx="33">
                  <c:v>49266</c:v>
                </c:pt>
                <c:pt idx="34">
                  <c:v>47430</c:v>
                </c:pt>
                <c:pt idx="35">
                  <c:v>45253</c:v>
                </c:pt>
              </c:numCache>
            </c:numRef>
          </c:val>
        </c:ser>
        <c:ser>
          <c:idx val="2"/>
          <c:order val="2"/>
          <c:tx>
            <c:strRef>
              <c:f>'Vývoj LTU'!$D$2</c:f>
              <c:strCache>
                <c:ptCount val="1"/>
                <c:pt idx="0">
                  <c:v>do 12M</c:v>
                </c:pt>
              </c:strCache>
            </c:strRef>
          </c:tx>
          <c:spPr>
            <a:solidFill>
              <a:schemeClr val="tx2">
                <a:lumMod val="20000"/>
                <a:lumOff val="80000"/>
              </a:schemeClr>
            </a:solidFill>
            <a:ln w="25400">
              <a:noFill/>
            </a:ln>
          </c:spPr>
          <c:cat>
            <c:strRef>
              <c:f>'Vývoj LTU'!$A$3:$A$38</c:f>
              <c:strCache>
                <c:ptCount val="36"/>
                <c:pt idx="0">
                  <c:v>3/08</c:v>
                </c:pt>
                <c:pt idx="1">
                  <c:v>6/08</c:v>
                </c:pt>
                <c:pt idx="2">
                  <c:v>9/08</c:v>
                </c:pt>
                <c:pt idx="3">
                  <c:v>12/08</c:v>
                </c:pt>
                <c:pt idx="4">
                  <c:v>3/09</c:v>
                </c:pt>
                <c:pt idx="5">
                  <c:v>6/09</c:v>
                </c:pt>
                <c:pt idx="6">
                  <c:v>9/09</c:v>
                </c:pt>
                <c:pt idx="7">
                  <c:v>12/09</c:v>
                </c:pt>
                <c:pt idx="8">
                  <c:v>3/10</c:v>
                </c:pt>
                <c:pt idx="9">
                  <c:v>6/10</c:v>
                </c:pt>
                <c:pt idx="10">
                  <c:v>9/10</c:v>
                </c:pt>
                <c:pt idx="11">
                  <c:v>12/10</c:v>
                </c:pt>
                <c:pt idx="12">
                  <c:v>3/11</c:v>
                </c:pt>
                <c:pt idx="13">
                  <c:v>6/11</c:v>
                </c:pt>
                <c:pt idx="14">
                  <c:v>9/11</c:v>
                </c:pt>
                <c:pt idx="15">
                  <c:v>12/11</c:v>
                </c:pt>
                <c:pt idx="16">
                  <c:v>3/12</c:v>
                </c:pt>
                <c:pt idx="17">
                  <c:v>6/12</c:v>
                </c:pt>
                <c:pt idx="18">
                  <c:v>9/12</c:v>
                </c:pt>
                <c:pt idx="19">
                  <c:v>12/12</c:v>
                </c:pt>
                <c:pt idx="20">
                  <c:v>3/13</c:v>
                </c:pt>
                <c:pt idx="21">
                  <c:v>6/13</c:v>
                </c:pt>
                <c:pt idx="22">
                  <c:v>9/13</c:v>
                </c:pt>
                <c:pt idx="23">
                  <c:v>12/13</c:v>
                </c:pt>
                <c:pt idx="24">
                  <c:v>3/14</c:v>
                </c:pt>
                <c:pt idx="25">
                  <c:v>6/14</c:v>
                </c:pt>
                <c:pt idx="26">
                  <c:v>9/14</c:v>
                </c:pt>
                <c:pt idx="27">
                  <c:v>12/14</c:v>
                </c:pt>
                <c:pt idx="28">
                  <c:v>3/15</c:v>
                </c:pt>
                <c:pt idx="29">
                  <c:v>6/15</c:v>
                </c:pt>
                <c:pt idx="30">
                  <c:v>9/15</c:v>
                </c:pt>
                <c:pt idx="31">
                  <c:v>12/15</c:v>
                </c:pt>
                <c:pt idx="32">
                  <c:v>3/16</c:v>
                </c:pt>
                <c:pt idx="33">
                  <c:v>6/16</c:v>
                </c:pt>
                <c:pt idx="34">
                  <c:v>9/16</c:v>
                </c:pt>
                <c:pt idx="35">
                  <c:v>12/16</c:v>
                </c:pt>
              </c:strCache>
            </c:strRef>
          </c:cat>
          <c:val>
            <c:numRef>
              <c:f>'Vývoj LTU'!$D$3:$D$38</c:f>
              <c:numCache>
                <c:formatCode>General</c:formatCode>
                <c:ptCount val="36"/>
                <c:pt idx="0">
                  <c:v>208927</c:v>
                </c:pt>
                <c:pt idx="1">
                  <c:v>184875</c:v>
                </c:pt>
                <c:pt idx="2">
                  <c:v>208918</c:v>
                </c:pt>
                <c:pt idx="3">
                  <c:v>250726</c:v>
                </c:pt>
                <c:pt idx="4">
                  <c:v>362258</c:v>
                </c:pt>
                <c:pt idx="5">
                  <c:v>347501</c:v>
                </c:pt>
                <c:pt idx="6">
                  <c:v>390607</c:v>
                </c:pt>
                <c:pt idx="7">
                  <c:v>415263</c:v>
                </c:pt>
                <c:pt idx="8">
                  <c:v>422617</c:v>
                </c:pt>
                <c:pt idx="9">
                  <c:v>339716</c:v>
                </c:pt>
                <c:pt idx="10">
                  <c:v>328124</c:v>
                </c:pt>
                <c:pt idx="11">
                  <c:v>383070</c:v>
                </c:pt>
                <c:pt idx="12">
                  <c:v>364476</c:v>
                </c:pt>
                <c:pt idx="13">
                  <c:v>300292</c:v>
                </c:pt>
                <c:pt idx="14">
                  <c:v>297428</c:v>
                </c:pt>
                <c:pt idx="15">
                  <c:v>324321</c:v>
                </c:pt>
                <c:pt idx="16">
                  <c:v>339529</c:v>
                </c:pt>
                <c:pt idx="17">
                  <c:v>293619</c:v>
                </c:pt>
                <c:pt idx="18">
                  <c:v>307098</c:v>
                </c:pt>
                <c:pt idx="19">
                  <c:v>353077</c:v>
                </c:pt>
                <c:pt idx="20">
                  <c:v>380555</c:v>
                </c:pt>
                <c:pt idx="21">
                  <c:v>329840</c:v>
                </c:pt>
                <c:pt idx="22">
                  <c:v>332261</c:v>
                </c:pt>
                <c:pt idx="23">
                  <c:v>359852</c:v>
                </c:pt>
                <c:pt idx="24">
                  <c:v>356746</c:v>
                </c:pt>
                <c:pt idx="25">
                  <c:v>293767</c:v>
                </c:pt>
                <c:pt idx="26">
                  <c:v>287481</c:v>
                </c:pt>
                <c:pt idx="27">
                  <c:v>304749</c:v>
                </c:pt>
                <c:pt idx="28">
                  <c:v>294374</c:v>
                </c:pt>
                <c:pt idx="29">
                  <c:v>241005</c:v>
                </c:pt>
                <c:pt idx="30">
                  <c:v>242937</c:v>
                </c:pt>
                <c:pt idx="31">
                  <c:v>265563</c:v>
                </c:pt>
                <c:pt idx="32">
                  <c:v>262107</c:v>
                </c:pt>
                <c:pt idx="33">
                  <c:v>220940</c:v>
                </c:pt>
                <c:pt idx="34">
                  <c:v>223985</c:v>
                </c:pt>
                <c:pt idx="35">
                  <c:v>237210</c:v>
                </c:pt>
              </c:numCache>
            </c:numRef>
          </c:val>
        </c:ser>
        <c:dLbls>
          <c:showLegendKey val="0"/>
          <c:showVal val="0"/>
          <c:showCatName val="0"/>
          <c:showSerName val="0"/>
          <c:showPercent val="0"/>
          <c:showBubbleSize val="0"/>
        </c:dLbls>
        <c:axId val="117800320"/>
        <c:axId val="117806208"/>
      </c:areaChart>
      <c:catAx>
        <c:axId val="117800320"/>
        <c:scaling>
          <c:orientation val="minMax"/>
        </c:scaling>
        <c:delete val="0"/>
        <c:axPos val="b"/>
        <c:majorTickMark val="out"/>
        <c:minorTickMark val="none"/>
        <c:tickLblPos val="nextTo"/>
        <c:txPr>
          <a:bodyPr/>
          <a:lstStyle/>
          <a:p>
            <a:pPr>
              <a:defRPr sz="800"/>
            </a:pPr>
            <a:endParaRPr lang="cs-CZ"/>
          </a:p>
        </c:txPr>
        <c:crossAx val="117806208"/>
        <c:crosses val="autoZero"/>
        <c:auto val="1"/>
        <c:lblAlgn val="ctr"/>
        <c:lblOffset val="100"/>
        <c:noMultiLvlLbl val="0"/>
      </c:catAx>
      <c:valAx>
        <c:axId val="117806208"/>
        <c:scaling>
          <c:orientation val="minMax"/>
          <c:max val="620000"/>
          <c:min val="0"/>
        </c:scaling>
        <c:delete val="0"/>
        <c:axPos val="l"/>
        <c:majorGridlines>
          <c:spPr>
            <a:ln>
              <a:solidFill>
                <a:schemeClr val="tx1"/>
              </a:solidFill>
            </a:ln>
          </c:spPr>
        </c:majorGridlines>
        <c:numFmt formatCode="General" sourceLinked="1"/>
        <c:majorTickMark val="out"/>
        <c:minorTickMark val="none"/>
        <c:tickLblPos val="nextTo"/>
        <c:txPr>
          <a:bodyPr/>
          <a:lstStyle/>
          <a:p>
            <a:pPr>
              <a:defRPr sz="800"/>
            </a:pPr>
            <a:endParaRPr lang="cs-CZ"/>
          </a:p>
        </c:txPr>
        <c:crossAx val="117800320"/>
        <c:crosses val="autoZero"/>
        <c:crossBetween val="midCat"/>
        <c:dispUnits>
          <c:builtInUnit val="thousands"/>
          <c:dispUnitsLbl>
            <c:layout>
              <c:manualLayout>
                <c:xMode val="edge"/>
                <c:yMode val="edge"/>
                <c:x val="1.5443829851847031E-2"/>
                <c:y val="3.044619422572177E-3"/>
              </c:manualLayout>
            </c:layout>
            <c:txPr>
              <a:bodyPr rot="0" vert="horz"/>
              <a:lstStyle/>
              <a:p>
                <a:pPr>
                  <a:defRPr sz="800"/>
                </a:pPr>
                <a:endParaRPr lang="cs-CZ"/>
              </a:p>
            </c:txPr>
          </c:dispUnitsLbl>
        </c:dispUnits>
      </c:valAx>
    </c:plotArea>
    <c:legend>
      <c:legendPos val="r"/>
      <c:layout>
        <c:manualLayout>
          <c:xMode val="edge"/>
          <c:yMode val="edge"/>
          <c:x val="0.88281337381846881"/>
          <c:y val="2.8164208347196035E-2"/>
          <c:w val="9.5400133806803566E-2"/>
          <c:h val="0.22066651879782634"/>
        </c:manualLayout>
      </c:layout>
      <c:overlay val="0"/>
      <c:spPr>
        <a:solidFill>
          <a:schemeClr val="bg1"/>
        </a:solidFill>
      </c:spPr>
      <c:txPr>
        <a:bodyPr/>
        <a:lstStyle/>
        <a:p>
          <a:pPr>
            <a:defRPr sz="800"/>
          </a:pPr>
          <a:endParaRPr lang="cs-CZ"/>
        </a:p>
      </c:txPr>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'Vývoj LTU'!$B$2</c:f>
              <c:strCache>
                <c:ptCount val="1"/>
                <c:pt idx="0">
                  <c:v>nad 24M</c:v>
                </c:pt>
              </c:strCache>
            </c:strRef>
          </c:tx>
          <c:spPr>
            <a:ln>
              <a:solidFill>
                <a:srgbClr val="FF0000"/>
              </a:solidFill>
            </a:ln>
          </c:spPr>
          <c:marker>
            <c:symbol val="none"/>
          </c:marker>
          <c:cat>
            <c:strRef>
              <c:f>'Vývoj LTU'!$A$3:$A$38</c:f>
              <c:strCache>
                <c:ptCount val="36"/>
                <c:pt idx="0">
                  <c:v>3/08</c:v>
                </c:pt>
                <c:pt idx="1">
                  <c:v>6/08</c:v>
                </c:pt>
                <c:pt idx="2">
                  <c:v>9/08</c:v>
                </c:pt>
                <c:pt idx="3">
                  <c:v>12/08</c:v>
                </c:pt>
                <c:pt idx="4">
                  <c:v>3/09</c:v>
                </c:pt>
                <c:pt idx="5">
                  <c:v>6/09</c:v>
                </c:pt>
                <c:pt idx="6">
                  <c:v>9/09</c:v>
                </c:pt>
                <c:pt idx="7">
                  <c:v>12/09</c:v>
                </c:pt>
                <c:pt idx="8">
                  <c:v>3/10</c:v>
                </c:pt>
                <c:pt idx="9">
                  <c:v>6/10</c:v>
                </c:pt>
                <c:pt idx="10">
                  <c:v>9/10</c:v>
                </c:pt>
                <c:pt idx="11">
                  <c:v>12/10</c:v>
                </c:pt>
                <c:pt idx="12">
                  <c:v>3/11</c:v>
                </c:pt>
                <c:pt idx="13">
                  <c:v>6/11</c:v>
                </c:pt>
                <c:pt idx="14">
                  <c:v>9/11</c:v>
                </c:pt>
                <c:pt idx="15">
                  <c:v>12/11</c:v>
                </c:pt>
                <c:pt idx="16">
                  <c:v>3/12</c:v>
                </c:pt>
                <c:pt idx="17">
                  <c:v>6/12</c:v>
                </c:pt>
                <c:pt idx="18">
                  <c:v>9/12</c:v>
                </c:pt>
                <c:pt idx="19">
                  <c:v>12/12</c:v>
                </c:pt>
                <c:pt idx="20">
                  <c:v>3/13</c:v>
                </c:pt>
                <c:pt idx="21">
                  <c:v>6/13</c:v>
                </c:pt>
                <c:pt idx="22">
                  <c:v>9/13</c:v>
                </c:pt>
                <c:pt idx="23">
                  <c:v>12/13</c:v>
                </c:pt>
                <c:pt idx="24">
                  <c:v>3/14</c:v>
                </c:pt>
                <c:pt idx="25">
                  <c:v>6/14</c:v>
                </c:pt>
                <c:pt idx="26">
                  <c:v>9/14</c:v>
                </c:pt>
                <c:pt idx="27">
                  <c:v>12/14</c:v>
                </c:pt>
                <c:pt idx="28">
                  <c:v>3/15</c:v>
                </c:pt>
                <c:pt idx="29">
                  <c:v>6/15</c:v>
                </c:pt>
                <c:pt idx="30">
                  <c:v>9/15</c:v>
                </c:pt>
                <c:pt idx="31">
                  <c:v>12/15</c:v>
                </c:pt>
                <c:pt idx="32">
                  <c:v>3/16</c:v>
                </c:pt>
                <c:pt idx="33">
                  <c:v>6/16</c:v>
                </c:pt>
                <c:pt idx="34">
                  <c:v>9/16</c:v>
                </c:pt>
                <c:pt idx="35">
                  <c:v>12/16</c:v>
                </c:pt>
              </c:strCache>
            </c:strRef>
          </c:cat>
          <c:val>
            <c:numRef>
              <c:f>'Vývoj LTU'!$B$3:$B$38</c:f>
              <c:numCache>
                <c:formatCode>General</c:formatCode>
                <c:ptCount val="36"/>
                <c:pt idx="0">
                  <c:v>85315</c:v>
                </c:pt>
                <c:pt idx="1">
                  <c:v>76595</c:v>
                </c:pt>
                <c:pt idx="2">
                  <c:v>71332</c:v>
                </c:pt>
                <c:pt idx="3">
                  <c:v>67823</c:v>
                </c:pt>
                <c:pt idx="4">
                  <c:v>62470</c:v>
                </c:pt>
                <c:pt idx="5">
                  <c:v>65567</c:v>
                </c:pt>
                <c:pt idx="6">
                  <c:v>62014</c:v>
                </c:pt>
                <c:pt idx="7">
                  <c:v>62431</c:v>
                </c:pt>
                <c:pt idx="8">
                  <c:v>64966</c:v>
                </c:pt>
                <c:pt idx="9">
                  <c:v>67203</c:v>
                </c:pt>
                <c:pt idx="10">
                  <c:v>72510</c:v>
                </c:pt>
                <c:pt idx="11">
                  <c:v>79321</c:v>
                </c:pt>
                <c:pt idx="12">
                  <c:v>89450</c:v>
                </c:pt>
                <c:pt idx="13">
                  <c:v>94779</c:v>
                </c:pt>
                <c:pt idx="14">
                  <c:v>98637</c:v>
                </c:pt>
                <c:pt idx="15">
                  <c:v>101783</c:v>
                </c:pt>
                <c:pt idx="16">
                  <c:v>105482</c:v>
                </c:pt>
                <c:pt idx="17">
                  <c:v>103972</c:v>
                </c:pt>
                <c:pt idx="18">
                  <c:v>105256</c:v>
                </c:pt>
                <c:pt idx="19">
                  <c:v>110164</c:v>
                </c:pt>
                <c:pt idx="20">
                  <c:v>114674</c:v>
                </c:pt>
                <c:pt idx="21">
                  <c:v>117075</c:v>
                </c:pt>
                <c:pt idx="22">
                  <c:v>123691</c:v>
                </c:pt>
                <c:pt idx="23">
                  <c:v>130806</c:v>
                </c:pt>
                <c:pt idx="24">
                  <c:v>139225</c:v>
                </c:pt>
                <c:pt idx="25">
                  <c:v>140360</c:v>
                </c:pt>
                <c:pt idx="26">
                  <c:v>143398</c:v>
                </c:pt>
                <c:pt idx="27">
                  <c:v>146477</c:v>
                </c:pt>
                <c:pt idx="28">
                  <c:v>148386</c:v>
                </c:pt>
                <c:pt idx="29">
                  <c:v>139852</c:v>
                </c:pt>
                <c:pt idx="30">
                  <c:v>134865</c:v>
                </c:pt>
                <c:pt idx="31">
                  <c:v>129323</c:v>
                </c:pt>
                <c:pt idx="32">
                  <c:v>125268</c:v>
                </c:pt>
                <c:pt idx="33">
                  <c:v>114122</c:v>
                </c:pt>
                <c:pt idx="34">
                  <c:v>106843</c:v>
                </c:pt>
                <c:pt idx="35">
                  <c:v>98910</c:v>
                </c:pt>
              </c:numCache>
            </c:numRef>
          </c:val>
          <c:smooth val="0"/>
        </c:ser>
        <c:ser>
          <c:idx val="1"/>
          <c:order val="1"/>
          <c:tx>
            <c:strRef>
              <c:f>'Vývoj LTU'!$C$2</c:f>
              <c:strCache>
                <c:ptCount val="1"/>
                <c:pt idx="0">
                  <c:v>12-24M</c:v>
                </c:pt>
              </c:strCache>
            </c:strRef>
          </c:tx>
          <c:spPr>
            <a:ln>
              <a:solidFill>
                <a:srgbClr val="00B0F0"/>
              </a:solidFill>
            </a:ln>
          </c:spPr>
          <c:marker>
            <c:symbol val="none"/>
          </c:marker>
          <c:cat>
            <c:strRef>
              <c:f>'Vývoj LTU'!$A$3:$A$38</c:f>
              <c:strCache>
                <c:ptCount val="36"/>
                <c:pt idx="0">
                  <c:v>3/08</c:v>
                </c:pt>
                <c:pt idx="1">
                  <c:v>6/08</c:v>
                </c:pt>
                <c:pt idx="2">
                  <c:v>9/08</c:v>
                </c:pt>
                <c:pt idx="3">
                  <c:v>12/08</c:v>
                </c:pt>
                <c:pt idx="4">
                  <c:v>3/09</c:v>
                </c:pt>
                <c:pt idx="5">
                  <c:v>6/09</c:v>
                </c:pt>
                <c:pt idx="6">
                  <c:v>9/09</c:v>
                </c:pt>
                <c:pt idx="7">
                  <c:v>12/09</c:v>
                </c:pt>
                <c:pt idx="8">
                  <c:v>3/10</c:v>
                </c:pt>
                <c:pt idx="9">
                  <c:v>6/10</c:v>
                </c:pt>
                <c:pt idx="10">
                  <c:v>9/10</c:v>
                </c:pt>
                <c:pt idx="11">
                  <c:v>12/10</c:v>
                </c:pt>
                <c:pt idx="12">
                  <c:v>3/11</c:v>
                </c:pt>
                <c:pt idx="13">
                  <c:v>6/11</c:v>
                </c:pt>
                <c:pt idx="14">
                  <c:v>9/11</c:v>
                </c:pt>
                <c:pt idx="15">
                  <c:v>12/11</c:v>
                </c:pt>
                <c:pt idx="16">
                  <c:v>3/12</c:v>
                </c:pt>
                <c:pt idx="17">
                  <c:v>6/12</c:v>
                </c:pt>
                <c:pt idx="18">
                  <c:v>9/12</c:v>
                </c:pt>
                <c:pt idx="19">
                  <c:v>12/12</c:v>
                </c:pt>
                <c:pt idx="20">
                  <c:v>3/13</c:v>
                </c:pt>
                <c:pt idx="21">
                  <c:v>6/13</c:v>
                </c:pt>
                <c:pt idx="22">
                  <c:v>9/13</c:v>
                </c:pt>
                <c:pt idx="23">
                  <c:v>12/13</c:v>
                </c:pt>
                <c:pt idx="24">
                  <c:v>3/14</c:v>
                </c:pt>
                <c:pt idx="25">
                  <c:v>6/14</c:v>
                </c:pt>
                <c:pt idx="26">
                  <c:v>9/14</c:v>
                </c:pt>
                <c:pt idx="27">
                  <c:v>12/14</c:v>
                </c:pt>
                <c:pt idx="28">
                  <c:v>3/15</c:v>
                </c:pt>
                <c:pt idx="29">
                  <c:v>6/15</c:v>
                </c:pt>
                <c:pt idx="30">
                  <c:v>9/15</c:v>
                </c:pt>
                <c:pt idx="31">
                  <c:v>12/15</c:v>
                </c:pt>
                <c:pt idx="32">
                  <c:v>3/16</c:v>
                </c:pt>
                <c:pt idx="33">
                  <c:v>6/16</c:v>
                </c:pt>
                <c:pt idx="34">
                  <c:v>9/16</c:v>
                </c:pt>
                <c:pt idx="35">
                  <c:v>12/16</c:v>
                </c:pt>
              </c:strCache>
            </c:strRef>
          </c:cat>
          <c:val>
            <c:numRef>
              <c:f>'Vývoj LTU'!$C$3:$C$38</c:f>
              <c:numCache>
                <c:formatCode>General</c:formatCode>
                <c:ptCount val="36"/>
                <c:pt idx="0">
                  <c:v>42055</c:v>
                </c:pt>
                <c:pt idx="1">
                  <c:v>36410</c:v>
                </c:pt>
                <c:pt idx="2">
                  <c:v>34308</c:v>
                </c:pt>
                <c:pt idx="3">
                  <c:v>33701</c:v>
                </c:pt>
                <c:pt idx="4">
                  <c:v>38827</c:v>
                </c:pt>
                <c:pt idx="5">
                  <c:v>35844</c:v>
                </c:pt>
                <c:pt idx="6">
                  <c:v>48191</c:v>
                </c:pt>
                <c:pt idx="7">
                  <c:v>61442</c:v>
                </c:pt>
                <c:pt idx="8">
                  <c:v>85241</c:v>
                </c:pt>
                <c:pt idx="9">
                  <c:v>93581</c:v>
                </c:pt>
                <c:pt idx="10">
                  <c:v>99847</c:v>
                </c:pt>
                <c:pt idx="11">
                  <c:v>99160</c:v>
                </c:pt>
                <c:pt idx="12">
                  <c:v>93836</c:v>
                </c:pt>
                <c:pt idx="13">
                  <c:v>83704</c:v>
                </c:pt>
                <c:pt idx="14">
                  <c:v>79049</c:v>
                </c:pt>
                <c:pt idx="15">
                  <c:v>82347</c:v>
                </c:pt>
                <c:pt idx="16">
                  <c:v>80169</c:v>
                </c:pt>
                <c:pt idx="17">
                  <c:v>76995</c:v>
                </c:pt>
                <c:pt idx="18">
                  <c:v>80831</c:v>
                </c:pt>
                <c:pt idx="19">
                  <c:v>82070</c:v>
                </c:pt>
                <c:pt idx="20">
                  <c:v>92539</c:v>
                </c:pt>
                <c:pt idx="21">
                  <c:v>93558</c:v>
                </c:pt>
                <c:pt idx="22">
                  <c:v>101106</c:v>
                </c:pt>
                <c:pt idx="23">
                  <c:v>106175</c:v>
                </c:pt>
                <c:pt idx="24">
                  <c:v>112344</c:v>
                </c:pt>
                <c:pt idx="25">
                  <c:v>103052</c:v>
                </c:pt>
                <c:pt idx="26">
                  <c:v>98219</c:v>
                </c:pt>
                <c:pt idx="27">
                  <c:v>90688</c:v>
                </c:pt>
                <c:pt idx="28">
                  <c:v>82555</c:v>
                </c:pt>
                <c:pt idx="29">
                  <c:v>70538</c:v>
                </c:pt>
                <c:pt idx="30">
                  <c:v>64090</c:v>
                </c:pt>
                <c:pt idx="31">
                  <c:v>58232</c:v>
                </c:pt>
                <c:pt idx="32">
                  <c:v>55734</c:v>
                </c:pt>
                <c:pt idx="33">
                  <c:v>49266</c:v>
                </c:pt>
                <c:pt idx="34">
                  <c:v>47430</c:v>
                </c:pt>
                <c:pt idx="35">
                  <c:v>45253</c:v>
                </c:pt>
              </c:numCache>
            </c:numRef>
          </c:val>
          <c:smooth val="0"/>
        </c:ser>
        <c:ser>
          <c:idx val="2"/>
          <c:order val="2"/>
          <c:tx>
            <c:strRef>
              <c:f>'Vývoj LTU'!$D$2</c:f>
              <c:strCache>
                <c:ptCount val="1"/>
                <c:pt idx="0">
                  <c:v>do 12M</c:v>
                </c:pt>
              </c:strCache>
            </c:strRef>
          </c:tx>
          <c:marker>
            <c:symbol val="none"/>
          </c:marker>
          <c:cat>
            <c:strRef>
              <c:f>'Vývoj LTU'!$A$3:$A$38</c:f>
              <c:strCache>
                <c:ptCount val="36"/>
                <c:pt idx="0">
                  <c:v>3/08</c:v>
                </c:pt>
                <c:pt idx="1">
                  <c:v>6/08</c:v>
                </c:pt>
                <c:pt idx="2">
                  <c:v>9/08</c:v>
                </c:pt>
                <c:pt idx="3">
                  <c:v>12/08</c:v>
                </c:pt>
                <c:pt idx="4">
                  <c:v>3/09</c:v>
                </c:pt>
                <c:pt idx="5">
                  <c:v>6/09</c:v>
                </c:pt>
                <c:pt idx="6">
                  <c:v>9/09</c:v>
                </c:pt>
                <c:pt idx="7">
                  <c:v>12/09</c:v>
                </c:pt>
                <c:pt idx="8">
                  <c:v>3/10</c:v>
                </c:pt>
                <c:pt idx="9">
                  <c:v>6/10</c:v>
                </c:pt>
                <c:pt idx="10">
                  <c:v>9/10</c:v>
                </c:pt>
                <c:pt idx="11">
                  <c:v>12/10</c:v>
                </c:pt>
                <c:pt idx="12">
                  <c:v>3/11</c:v>
                </c:pt>
                <c:pt idx="13">
                  <c:v>6/11</c:v>
                </c:pt>
                <c:pt idx="14">
                  <c:v>9/11</c:v>
                </c:pt>
                <c:pt idx="15">
                  <c:v>12/11</c:v>
                </c:pt>
                <c:pt idx="16">
                  <c:v>3/12</c:v>
                </c:pt>
                <c:pt idx="17">
                  <c:v>6/12</c:v>
                </c:pt>
                <c:pt idx="18">
                  <c:v>9/12</c:v>
                </c:pt>
                <c:pt idx="19">
                  <c:v>12/12</c:v>
                </c:pt>
                <c:pt idx="20">
                  <c:v>3/13</c:v>
                </c:pt>
                <c:pt idx="21">
                  <c:v>6/13</c:v>
                </c:pt>
                <c:pt idx="22">
                  <c:v>9/13</c:v>
                </c:pt>
                <c:pt idx="23">
                  <c:v>12/13</c:v>
                </c:pt>
                <c:pt idx="24">
                  <c:v>3/14</c:v>
                </c:pt>
                <c:pt idx="25">
                  <c:v>6/14</c:v>
                </c:pt>
                <c:pt idx="26">
                  <c:v>9/14</c:v>
                </c:pt>
                <c:pt idx="27">
                  <c:v>12/14</c:v>
                </c:pt>
                <c:pt idx="28">
                  <c:v>3/15</c:v>
                </c:pt>
                <c:pt idx="29">
                  <c:v>6/15</c:v>
                </c:pt>
                <c:pt idx="30">
                  <c:v>9/15</c:v>
                </c:pt>
                <c:pt idx="31">
                  <c:v>12/15</c:v>
                </c:pt>
                <c:pt idx="32">
                  <c:v>3/16</c:v>
                </c:pt>
                <c:pt idx="33">
                  <c:v>6/16</c:v>
                </c:pt>
                <c:pt idx="34">
                  <c:v>9/16</c:v>
                </c:pt>
                <c:pt idx="35">
                  <c:v>12/16</c:v>
                </c:pt>
              </c:strCache>
            </c:strRef>
          </c:cat>
          <c:val>
            <c:numRef>
              <c:f>'Vývoj LTU'!$D$3:$D$38</c:f>
              <c:numCache>
                <c:formatCode>General</c:formatCode>
                <c:ptCount val="36"/>
                <c:pt idx="0">
                  <c:v>208927</c:v>
                </c:pt>
                <c:pt idx="1">
                  <c:v>184875</c:v>
                </c:pt>
                <c:pt idx="2">
                  <c:v>208918</c:v>
                </c:pt>
                <c:pt idx="3">
                  <c:v>250726</c:v>
                </c:pt>
                <c:pt idx="4">
                  <c:v>362258</c:v>
                </c:pt>
                <c:pt idx="5">
                  <c:v>347501</c:v>
                </c:pt>
                <c:pt idx="6">
                  <c:v>390607</c:v>
                </c:pt>
                <c:pt idx="7">
                  <c:v>415263</c:v>
                </c:pt>
                <c:pt idx="8">
                  <c:v>422617</c:v>
                </c:pt>
                <c:pt idx="9">
                  <c:v>339716</c:v>
                </c:pt>
                <c:pt idx="10">
                  <c:v>328124</c:v>
                </c:pt>
                <c:pt idx="11">
                  <c:v>383070</c:v>
                </c:pt>
                <c:pt idx="12">
                  <c:v>364476</c:v>
                </c:pt>
                <c:pt idx="13">
                  <c:v>300292</c:v>
                </c:pt>
                <c:pt idx="14">
                  <c:v>297428</c:v>
                </c:pt>
                <c:pt idx="15">
                  <c:v>324321</c:v>
                </c:pt>
                <c:pt idx="16">
                  <c:v>339529</c:v>
                </c:pt>
                <c:pt idx="17">
                  <c:v>293619</c:v>
                </c:pt>
                <c:pt idx="18">
                  <c:v>307098</c:v>
                </c:pt>
                <c:pt idx="19">
                  <c:v>353077</c:v>
                </c:pt>
                <c:pt idx="20">
                  <c:v>380555</c:v>
                </c:pt>
                <c:pt idx="21">
                  <c:v>329840</c:v>
                </c:pt>
                <c:pt idx="22">
                  <c:v>332261</c:v>
                </c:pt>
                <c:pt idx="23">
                  <c:v>359852</c:v>
                </c:pt>
                <c:pt idx="24">
                  <c:v>356746</c:v>
                </c:pt>
                <c:pt idx="25">
                  <c:v>293767</c:v>
                </c:pt>
                <c:pt idx="26">
                  <c:v>287481</c:v>
                </c:pt>
                <c:pt idx="27">
                  <c:v>304749</c:v>
                </c:pt>
                <c:pt idx="28">
                  <c:v>294374</c:v>
                </c:pt>
                <c:pt idx="29">
                  <c:v>241005</c:v>
                </c:pt>
                <c:pt idx="30">
                  <c:v>242937</c:v>
                </c:pt>
                <c:pt idx="31">
                  <c:v>265563</c:v>
                </c:pt>
                <c:pt idx="32">
                  <c:v>262107</c:v>
                </c:pt>
                <c:pt idx="33">
                  <c:v>220940</c:v>
                </c:pt>
                <c:pt idx="34">
                  <c:v>223985</c:v>
                </c:pt>
                <c:pt idx="35">
                  <c:v>237210</c:v>
                </c:pt>
              </c:numCache>
            </c:numRef>
          </c:val>
          <c:smooth val="0"/>
        </c:ser>
        <c:dLbls>
          <c:showLegendKey val="0"/>
          <c:showVal val="0"/>
          <c:showCatName val="0"/>
          <c:showSerName val="0"/>
          <c:showPercent val="0"/>
          <c:showBubbleSize val="0"/>
        </c:dLbls>
        <c:marker val="1"/>
        <c:smooth val="0"/>
        <c:axId val="117816320"/>
        <c:axId val="117830400"/>
      </c:lineChart>
      <c:catAx>
        <c:axId val="117816320"/>
        <c:scaling>
          <c:orientation val="minMax"/>
        </c:scaling>
        <c:delete val="0"/>
        <c:axPos val="b"/>
        <c:majorTickMark val="out"/>
        <c:minorTickMark val="none"/>
        <c:tickLblPos val="nextTo"/>
        <c:txPr>
          <a:bodyPr/>
          <a:lstStyle/>
          <a:p>
            <a:pPr>
              <a:defRPr sz="800"/>
            </a:pPr>
            <a:endParaRPr lang="cs-CZ"/>
          </a:p>
        </c:txPr>
        <c:crossAx val="117830400"/>
        <c:crosses val="autoZero"/>
        <c:auto val="1"/>
        <c:lblAlgn val="ctr"/>
        <c:lblOffset val="100"/>
        <c:noMultiLvlLbl val="0"/>
      </c:catAx>
      <c:valAx>
        <c:axId val="117830400"/>
        <c:scaling>
          <c:orientation val="minMax"/>
        </c:scaling>
        <c:delete val="0"/>
        <c:axPos val="l"/>
        <c:majorGridlines/>
        <c:numFmt formatCode="General" sourceLinked="1"/>
        <c:majorTickMark val="out"/>
        <c:minorTickMark val="none"/>
        <c:tickLblPos val="nextTo"/>
        <c:txPr>
          <a:bodyPr/>
          <a:lstStyle/>
          <a:p>
            <a:pPr>
              <a:defRPr sz="800"/>
            </a:pPr>
            <a:endParaRPr lang="cs-CZ"/>
          </a:p>
        </c:txPr>
        <c:crossAx val="117816320"/>
        <c:crosses val="autoZero"/>
        <c:crossBetween val="between"/>
      </c:valAx>
    </c:plotArea>
    <c:legend>
      <c:legendPos val="r"/>
      <c:layout>
        <c:manualLayout>
          <c:xMode val="edge"/>
          <c:yMode val="edge"/>
          <c:x val="0.79283711850068328"/>
          <c:y val="2.6497129554918709E-2"/>
          <c:w val="0.19173588425413765"/>
          <c:h val="0.2544262355898092"/>
        </c:manualLayout>
      </c:layout>
      <c:overlay val="1"/>
      <c:spPr>
        <a:solidFill>
          <a:schemeClr val="bg1"/>
        </a:solidFill>
      </c:spPr>
      <c:txPr>
        <a:bodyPr/>
        <a:lstStyle/>
        <a:p>
          <a:pPr>
            <a:defRPr sz="800"/>
          </a:pPr>
          <a:endParaRPr lang="cs-CZ"/>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952495607470556E-2"/>
          <c:y val="2.1700087489063866E-2"/>
          <c:w val="0.9218050801501052"/>
          <c:h val="0.84198145231846022"/>
        </c:manualLayout>
      </c:layout>
      <c:barChart>
        <c:barDir val="col"/>
        <c:grouping val="clustered"/>
        <c:varyColors val="0"/>
        <c:ser>
          <c:idx val="0"/>
          <c:order val="0"/>
          <c:tx>
            <c:strRef>
              <c:f>'Vývoj LTU'!$I$2</c:f>
              <c:strCache>
                <c:ptCount val="1"/>
                <c:pt idx="0">
                  <c:v>nad 24M</c:v>
                </c:pt>
              </c:strCache>
            </c:strRef>
          </c:tx>
          <c:spPr>
            <a:solidFill>
              <a:srgbClr val="FF6969"/>
            </a:solidFill>
          </c:spPr>
          <c:invertIfNegative val="0"/>
          <c:cat>
            <c:strRef>
              <c:f>'Vývoj LTU'!$H$3:$H$38</c:f>
              <c:strCache>
                <c:ptCount val="36"/>
                <c:pt idx="0">
                  <c:v>3/08</c:v>
                </c:pt>
                <c:pt idx="1">
                  <c:v>6/08</c:v>
                </c:pt>
                <c:pt idx="2">
                  <c:v>9/08</c:v>
                </c:pt>
                <c:pt idx="3">
                  <c:v>12/08</c:v>
                </c:pt>
                <c:pt idx="4">
                  <c:v>3/09</c:v>
                </c:pt>
                <c:pt idx="5">
                  <c:v>6/09</c:v>
                </c:pt>
                <c:pt idx="6">
                  <c:v>9/09</c:v>
                </c:pt>
                <c:pt idx="7">
                  <c:v>12/09</c:v>
                </c:pt>
                <c:pt idx="8">
                  <c:v>3/10</c:v>
                </c:pt>
                <c:pt idx="9">
                  <c:v>6/10</c:v>
                </c:pt>
                <c:pt idx="10">
                  <c:v>9/10</c:v>
                </c:pt>
                <c:pt idx="11">
                  <c:v>12/10</c:v>
                </c:pt>
                <c:pt idx="12">
                  <c:v>3/11</c:v>
                </c:pt>
                <c:pt idx="13">
                  <c:v>6/11</c:v>
                </c:pt>
                <c:pt idx="14">
                  <c:v>9/11</c:v>
                </c:pt>
                <c:pt idx="15">
                  <c:v>12/11</c:v>
                </c:pt>
                <c:pt idx="16">
                  <c:v>3/12</c:v>
                </c:pt>
                <c:pt idx="17">
                  <c:v>6/12</c:v>
                </c:pt>
                <c:pt idx="18">
                  <c:v>9/12</c:v>
                </c:pt>
                <c:pt idx="19">
                  <c:v>12/12</c:v>
                </c:pt>
                <c:pt idx="20">
                  <c:v>3/13</c:v>
                </c:pt>
                <c:pt idx="21">
                  <c:v>6/13</c:v>
                </c:pt>
                <c:pt idx="22">
                  <c:v>9/13</c:v>
                </c:pt>
                <c:pt idx="23">
                  <c:v>12/13</c:v>
                </c:pt>
                <c:pt idx="24">
                  <c:v>3/14</c:v>
                </c:pt>
                <c:pt idx="25">
                  <c:v>6/14</c:v>
                </c:pt>
                <c:pt idx="26">
                  <c:v>9/14</c:v>
                </c:pt>
                <c:pt idx="27">
                  <c:v>12/14</c:v>
                </c:pt>
                <c:pt idx="28">
                  <c:v>3/15</c:v>
                </c:pt>
                <c:pt idx="29">
                  <c:v>6/15</c:v>
                </c:pt>
                <c:pt idx="30">
                  <c:v>9/15</c:v>
                </c:pt>
                <c:pt idx="31">
                  <c:v>12/15</c:v>
                </c:pt>
                <c:pt idx="32">
                  <c:v>3/16</c:v>
                </c:pt>
                <c:pt idx="33">
                  <c:v>6/16</c:v>
                </c:pt>
                <c:pt idx="34">
                  <c:v>9/16</c:v>
                </c:pt>
                <c:pt idx="35">
                  <c:v>12/16</c:v>
                </c:pt>
              </c:strCache>
            </c:strRef>
          </c:cat>
          <c:val>
            <c:numRef>
              <c:f>'Vývoj LTU'!$I$3:$I$38</c:f>
              <c:numCache>
                <c:formatCode>0.00</c:formatCode>
                <c:ptCount val="36"/>
                <c:pt idx="1">
                  <c:v>-10.220945906347067</c:v>
                </c:pt>
                <c:pt idx="2">
                  <c:v>-6.8712056922775631</c:v>
                </c:pt>
                <c:pt idx="3">
                  <c:v>-4.9192508271182636</c:v>
                </c:pt>
                <c:pt idx="4">
                  <c:v>-7.8926028043584031</c:v>
                </c:pt>
                <c:pt idx="5">
                  <c:v>4.9575796382263482</c:v>
                </c:pt>
                <c:pt idx="6">
                  <c:v>-5.4188844998246068</c:v>
                </c:pt>
                <c:pt idx="7">
                  <c:v>0.67242880639855518</c:v>
                </c:pt>
                <c:pt idx="8">
                  <c:v>4.0604827729813717</c:v>
                </c:pt>
                <c:pt idx="9">
                  <c:v>3.4433395930178863</c:v>
                </c:pt>
                <c:pt idx="10">
                  <c:v>7.8969688853176203</c:v>
                </c:pt>
                <c:pt idx="11">
                  <c:v>9.3931871466004679</c:v>
                </c:pt>
                <c:pt idx="12">
                  <c:v>12.769632253753734</c:v>
                </c:pt>
                <c:pt idx="13">
                  <c:v>5.9575181665735046</c:v>
                </c:pt>
                <c:pt idx="14">
                  <c:v>4.0705219510651096</c:v>
                </c:pt>
                <c:pt idx="15">
                  <c:v>3.1894725103156016</c:v>
                </c:pt>
                <c:pt idx="16">
                  <c:v>3.6342021752159002</c:v>
                </c:pt>
                <c:pt idx="17">
                  <c:v>-1.4315238618911283</c:v>
                </c:pt>
                <c:pt idx="18">
                  <c:v>1.2349478705805408</c:v>
                </c:pt>
                <c:pt idx="19">
                  <c:v>4.6629170783613292</c:v>
                </c:pt>
                <c:pt idx="20">
                  <c:v>4.0938963726807298</c:v>
                </c:pt>
                <c:pt idx="21">
                  <c:v>2.0937614454889513</c:v>
                </c:pt>
                <c:pt idx="22">
                  <c:v>5.6510783685671582</c:v>
                </c:pt>
                <c:pt idx="23">
                  <c:v>5.752237430370843</c:v>
                </c:pt>
                <c:pt idx="24">
                  <c:v>6.4362491017231624</c:v>
                </c:pt>
                <c:pt idx="25">
                  <c:v>0.81522715029628301</c:v>
                </c:pt>
                <c:pt idx="26">
                  <c:v>2.1644343117697349</c:v>
                </c:pt>
                <c:pt idx="27">
                  <c:v>2.1471708113083863</c:v>
                </c:pt>
                <c:pt idx="28">
                  <c:v>1.3032762822832253</c:v>
                </c:pt>
                <c:pt idx="29">
                  <c:v>-5.7512164220344237</c:v>
                </c:pt>
                <c:pt idx="30">
                  <c:v>-3.5659125361096016</c:v>
                </c:pt>
                <c:pt idx="31">
                  <c:v>-4.1092944796648494</c:v>
                </c:pt>
                <c:pt idx="32">
                  <c:v>-3.1355597998809182</c:v>
                </c:pt>
                <c:pt idx="33">
                  <c:v>-8.8977232812849252</c:v>
                </c:pt>
                <c:pt idx="34">
                  <c:v>-6.3782618601146144</c:v>
                </c:pt>
                <c:pt idx="35">
                  <c:v>-7.4249131903821493</c:v>
                </c:pt>
              </c:numCache>
            </c:numRef>
          </c:val>
        </c:ser>
        <c:ser>
          <c:idx val="3"/>
          <c:order val="1"/>
          <c:tx>
            <c:strRef>
              <c:f>'Vývoj LTU'!$L$2</c:f>
              <c:strCache>
                <c:ptCount val="1"/>
                <c:pt idx="0">
                  <c:v>nad 12M</c:v>
                </c:pt>
              </c:strCache>
            </c:strRef>
          </c:tx>
          <c:spPr>
            <a:solidFill>
              <a:schemeClr val="accent2">
                <a:lumMod val="40000"/>
                <a:lumOff val="60000"/>
              </a:schemeClr>
            </a:solidFill>
          </c:spPr>
          <c:invertIfNegative val="0"/>
          <c:cat>
            <c:strRef>
              <c:f>'Vývoj LTU'!$H$3:$H$38</c:f>
              <c:strCache>
                <c:ptCount val="36"/>
                <c:pt idx="0">
                  <c:v>3/08</c:v>
                </c:pt>
                <c:pt idx="1">
                  <c:v>6/08</c:v>
                </c:pt>
                <c:pt idx="2">
                  <c:v>9/08</c:v>
                </c:pt>
                <c:pt idx="3">
                  <c:v>12/08</c:v>
                </c:pt>
                <c:pt idx="4">
                  <c:v>3/09</c:v>
                </c:pt>
                <c:pt idx="5">
                  <c:v>6/09</c:v>
                </c:pt>
                <c:pt idx="6">
                  <c:v>9/09</c:v>
                </c:pt>
                <c:pt idx="7">
                  <c:v>12/09</c:v>
                </c:pt>
                <c:pt idx="8">
                  <c:v>3/10</c:v>
                </c:pt>
                <c:pt idx="9">
                  <c:v>6/10</c:v>
                </c:pt>
                <c:pt idx="10">
                  <c:v>9/10</c:v>
                </c:pt>
                <c:pt idx="11">
                  <c:v>12/10</c:v>
                </c:pt>
                <c:pt idx="12">
                  <c:v>3/11</c:v>
                </c:pt>
                <c:pt idx="13">
                  <c:v>6/11</c:v>
                </c:pt>
                <c:pt idx="14">
                  <c:v>9/11</c:v>
                </c:pt>
                <c:pt idx="15">
                  <c:v>12/11</c:v>
                </c:pt>
                <c:pt idx="16">
                  <c:v>3/12</c:v>
                </c:pt>
                <c:pt idx="17">
                  <c:v>6/12</c:v>
                </c:pt>
                <c:pt idx="18">
                  <c:v>9/12</c:v>
                </c:pt>
                <c:pt idx="19">
                  <c:v>12/12</c:v>
                </c:pt>
                <c:pt idx="20">
                  <c:v>3/13</c:v>
                </c:pt>
                <c:pt idx="21">
                  <c:v>6/13</c:v>
                </c:pt>
                <c:pt idx="22">
                  <c:v>9/13</c:v>
                </c:pt>
                <c:pt idx="23">
                  <c:v>12/13</c:v>
                </c:pt>
                <c:pt idx="24">
                  <c:v>3/14</c:v>
                </c:pt>
                <c:pt idx="25">
                  <c:v>6/14</c:v>
                </c:pt>
                <c:pt idx="26">
                  <c:v>9/14</c:v>
                </c:pt>
                <c:pt idx="27">
                  <c:v>12/14</c:v>
                </c:pt>
                <c:pt idx="28">
                  <c:v>3/15</c:v>
                </c:pt>
                <c:pt idx="29">
                  <c:v>6/15</c:v>
                </c:pt>
                <c:pt idx="30">
                  <c:v>9/15</c:v>
                </c:pt>
                <c:pt idx="31">
                  <c:v>12/15</c:v>
                </c:pt>
                <c:pt idx="32">
                  <c:v>3/16</c:v>
                </c:pt>
                <c:pt idx="33">
                  <c:v>6/16</c:v>
                </c:pt>
                <c:pt idx="34">
                  <c:v>9/16</c:v>
                </c:pt>
                <c:pt idx="35">
                  <c:v>12/16</c:v>
                </c:pt>
              </c:strCache>
            </c:strRef>
          </c:cat>
          <c:val>
            <c:numRef>
              <c:f>'Vývoj LTU'!$L$3:$L$38</c:f>
              <c:numCache>
                <c:formatCode>0.00</c:formatCode>
                <c:ptCount val="36"/>
                <c:pt idx="1">
                  <c:v>-11.278165973149093</c:v>
                </c:pt>
                <c:pt idx="2">
                  <c:v>-6.5174107340383172</c:v>
                </c:pt>
                <c:pt idx="3">
                  <c:v>-3.8962514199166978</c:v>
                </c:pt>
                <c:pt idx="4">
                  <c:v>-0.22359245104605807</c:v>
                </c:pt>
                <c:pt idx="5">
                  <c:v>0.11254035163923906</c:v>
                </c:pt>
                <c:pt idx="6">
                  <c:v>8.6716431156383429</c:v>
                </c:pt>
                <c:pt idx="7">
                  <c:v>12.402341091602015</c:v>
                </c:pt>
                <c:pt idx="8">
                  <c:v>21.258869971664527</c:v>
                </c:pt>
                <c:pt idx="9">
                  <c:v>7.0416159033866599</c:v>
                </c:pt>
                <c:pt idx="10">
                  <c:v>7.1978555080107478</c:v>
                </c:pt>
                <c:pt idx="11">
                  <c:v>3.5530903879737985</c:v>
                </c:pt>
                <c:pt idx="12">
                  <c:v>2.692163311500944</c:v>
                </c:pt>
                <c:pt idx="13">
                  <c:v>-2.6204947459162184</c:v>
                </c:pt>
                <c:pt idx="14">
                  <c:v>-0.44654112716617272</c:v>
                </c:pt>
                <c:pt idx="15">
                  <c:v>3.6266222437333275</c:v>
                </c:pt>
                <c:pt idx="16">
                  <c:v>0.82604681475044806</c:v>
                </c:pt>
                <c:pt idx="17">
                  <c:v>-2.5230136115614781</c:v>
                </c:pt>
                <c:pt idx="18">
                  <c:v>2.829245110987086</c:v>
                </c:pt>
                <c:pt idx="19">
                  <c:v>3.3032936207257899</c:v>
                </c:pt>
                <c:pt idx="20">
                  <c:v>7.7920659196604145</c:v>
                </c:pt>
                <c:pt idx="21">
                  <c:v>1.6504755975735113</c:v>
                </c:pt>
                <c:pt idx="22">
                  <c:v>6.7244923634947993</c:v>
                </c:pt>
                <c:pt idx="23">
                  <c:v>5.4200011565990653</c:v>
                </c:pt>
                <c:pt idx="24">
                  <c:v>6.1557677619724789</c:v>
                </c:pt>
                <c:pt idx="25">
                  <c:v>-3.2424503814062939</c:v>
                </c:pt>
                <c:pt idx="26">
                  <c:v>-0.73743282993443215</c:v>
                </c:pt>
                <c:pt idx="27">
                  <c:v>-1.8425855796570605</c:v>
                </c:pt>
                <c:pt idx="28">
                  <c:v>-2.6243332700862267</c:v>
                </c:pt>
                <c:pt idx="29">
                  <c:v>-8.8988096526818552</c:v>
                </c:pt>
                <c:pt idx="30">
                  <c:v>-5.4351442559056986</c:v>
                </c:pt>
                <c:pt idx="31">
                  <c:v>-5.7299389309140256</c:v>
                </c:pt>
                <c:pt idx="32">
                  <c:v>-3.4939084535203007</c:v>
                </c:pt>
                <c:pt idx="33">
                  <c:v>-9.7313841836001806</c:v>
                </c:pt>
                <c:pt idx="34">
                  <c:v>-5.5787450730775818</c:v>
                </c:pt>
                <c:pt idx="35">
                  <c:v>-6.5533178197092168</c:v>
                </c:pt>
              </c:numCache>
            </c:numRef>
          </c:val>
        </c:ser>
        <c:dLbls>
          <c:showLegendKey val="0"/>
          <c:showVal val="0"/>
          <c:showCatName val="0"/>
          <c:showSerName val="0"/>
          <c:showPercent val="0"/>
          <c:showBubbleSize val="0"/>
        </c:dLbls>
        <c:gapWidth val="150"/>
        <c:axId val="118244864"/>
        <c:axId val="118246400"/>
      </c:barChart>
      <c:catAx>
        <c:axId val="118244864"/>
        <c:scaling>
          <c:orientation val="minMax"/>
        </c:scaling>
        <c:delete val="0"/>
        <c:axPos val="b"/>
        <c:majorTickMark val="out"/>
        <c:minorTickMark val="none"/>
        <c:tickLblPos val="low"/>
        <c:txPr>
          <a:bodyPr/>
          <a:lstStyle/>
          <a:p>
            <a:pPr>
              <a:defRPr sz="800"/>
            </a:pPr>
            <a:endParaRPr lang="cs-CZ"/>
          </a:p>
        </c:txPr>
        <c:crossAx val="118246400"/>
        <c:crossesAt val="0"/>
        <c:auto val="1"/>
        <c:lblAlgn val="ctr"/>
        <c:lblOffset val="100"/>
        <c:noMultiLvlLbl val="0"/>
      </c:catAx>
      <c:valAx>
        <c:axId val="118246400"/>
        <c:scaling>
          <c:orientation val="minMax"/>
          <c:max val="25"/>
        </c:scaling>
        <c:delete val="0"/>
        <c:axPos val="l"/>
        <c:majorGridlines/>
        <c:numFmt formatCode="0" sourceLinked="0"/>
        <c:majorTickMark val="out"/>
        <c:minorTickMark val="none"/>
        <c:tickLblPos val="nextTo"/>
        <c:txPr>
          <a:bodyPr/>
          <a:lstStyle/>
          <a:p>
            <a:pPr>
              <a:defRPr sz="800"/>
            </a:pPr>
            <a:endParaRPr lang="cs-CZ"/>
          </a:p>
        </c:txPr>
        <c:crossAx val="118244864"/>
        <c:crosses val="autoZero"/>
        <c:crossBetween val="between"/>
      </c:valAx>
    </c:plotArea>
    <c:legend>
      <c:legendPos val="t"/>
      <c:layout>
        <c:manualLayout>
          <c:xMode val="edge"/>
          <c:yMode val="edge"/>
          <c:x val="0.82320348799375287"/>
          <c:y val="4.8888888888888891E-2"/>
          <c:w val="0.16020442072840066"/>
          <c:h val="0.24296587926509186"/>
        </c:manualLayout>
      </c:layout>
      <c:overlay val="0"/>
      <c:spPr>
        <a:solidFill>
          <a:schemeClr val="bg1"/>
        </a:solidFill>
      </c:spPr>
      <c:txPr>
        <a:bodyPr/>
        <a:lstStyle/>
        <a:p>
          <a:pPr>
            <a:defRPr sz="800"/>
          </a:pPr>
          <a:endParaRPr lang="cs-CZ"/>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88930825795531E-2"/>
          <c:y val="4.238921001926782E-2"/>
          <c:w val="0.88746864493178024"/>
          <c:h val="0.74959052083807443"/>
        </c:manualLayout>
      </c:layout>
      <c:lineChart>
        <c:grouping val="standard"/>
        <c:varyColors val="0"/>
        <c:ser>
          <c:idx val="0"/>
          <c:order val="0"/>
          <c:tx>
            <c:strRef>
              <c:f>List1!$A$3</c:f>
              <c:strCache>
                <c:ptCount val="1"/>
                <c:pt idx="0">
                  <c:v>Slovensko</c:v>
                </c:pt>
              </c:strCache>
            </c:strRef>
          </c:tx>
          <c:spPr>
            <a:ln w="38100">
              <a:solidFill>
                <a:srgbClr val="00B0F0"/>
              </a:solidFill>
            </a:ln>
          </c:spPr>
          <c:marker>
            <c:symbol val="none"/>
          </c:marker>
          <c:cat>
            <c:numRef>
              <c:f>List1!$B$2:$N$2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List1!$B$3:$N$3</c:f>
              <c:numCache>
                <c:formatCode>#,##0</c:formatCode>
                <c:ptCount val="13"/>
                <c:pt idx="0">
                  <c:v>59819</c:v>
                </c:pt>
                <c:pt idx="1">
                  <c:v>75297</c:v>
                </c:pt>
                <c:pt idx="2">
                  <c:v>91355</c:v>
                </c:pt>
                <c:pt idx="3">
                  <c:v>101233</c:v>
                </c:pt>
                <c:pt idx="4">
                  <c:v>100223</c:v>
                </c:pt>
                <c:pt idx="5">
                  <c:v>98192</c:v>
                </c:pt>
                <c:pt idx="6">
                  <c:v>100727</c:v>
                </c:pt>
                <c:pt idx="7">
                  <c:v>106425</c:v>
                </c:pt>
                <c:pt idx="8" formatCode="General">
                  <c:v>108445</c:v>
                </c:pt>
                <c:pt idx="9" formatCode="General">
                  <c:v>109602</c:v>
                </c:pt>
                <c:pt idx="10" formatCode="General">
                  <c:v>129203</c:v>
                </c:pt>
                <c:pt idx="11">
                  <c:v>150317</c:v>
                </c:pt>
                <c:pt idx="12" formatCode="General">
                  <c:v>161559</c:v>
                </c:pt>
              </c:numCache>
            </c:numRef>
          </c:val>
          <c:smooth val="1"/>
        </c:ser>
        <c:ser>
          <c:idx val="1"/>
          <c:order val="1"/>
          <c:tx>
            <c:strRef>
              <c:f>List1!$A$4</c:f>
              <c:strCache>
                <c:ptCount val="1"/>
                <c:pt idx="0">
                  <c:v>Ukrajina</c:v>
                </c:pt>
              </c:strCache>
            </c:strRef>
          </c:tx>
          <c:spPr>
            <a:ln w="38100" cmpd="sng">
              <a:solidFill>
                <a:srgbClr val="FFC000"/>
              </a:solidFill>
            </a:ln>
          </c:spPr>
          <c:marker>
            <c:symbol val="none"/>
          </c:marker>
          <c:cat>
            <c:numRef>
              <c:f>List1!$B$2:$N$2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List1!$B$4:$N$4</c:f>
              <c:numCache>
                <c:formatCode>#,##0</c:formatCode>
                <c:ptCount val="13"/>
                <c:pt idx="0">
                  <c:v>22399</c:v>
                </c:pt>
                <c:pt idx="1">
                  <c:v>40060</c:v>
                </c:pt>
                <c:pt idx="2">
                  <c:v>46155</c:v>
                </c:pt>
                <c:pt idx="3">
                  <c:v>61592</c:v>
                </c:pt>
                <c:pt idx="4">
                  <c:v>81072</c:v>
                </c:pt>
                <c:pt idx="5">
                  <c:v>57478</c:v>
                </c:pt>
                <c:pt idx="6">
                  <c:v>42139</c:v>
                </c:pt>
                <c:pt idx="7">
                  <c:v>35250</c:v>
                </c:pt>
                <c:pt idx="8" formatCode="General">
                  <c:v>35815</c:v>
                </c:pt>
                <c:pt idx="9" formatCode="General">
                  <c:v>36198</c:v>
                </c:pt>
                <c:pt idx="10" formatCode="General">
                  <c:v>35319</c:v>
                </c:pt>
                <c:pt idx="11">
                  <c:v>41847</c:v>
                </c:pt>
                <c:pt idx="12" formatCode="General">
                  <c:v>54571</c:v>
                </c:pt>
              </c:numCache>
            </c:numRef>
          </c:val>
          <c:smooth val="1"/>
        </c:ser>
        <c:ser>
          <c:idx val="2"/>
          <c:order val="2"/>
          <c:tx>
            <c:strRef>
              <c:f>List1!$A$5</c:f>
              <c:strCache>
                <c:ptCount val="1"/>
                <c:pt idx="0">
                  <c:v>Polsko</c:v>
                </c:pt>
              </c:strCache>
            </c:strRef>
          </c:tx>
          <c:spPr>
            <a:ln w="28575" cmpd="dbl">
              <a:solidFill>
                <a:srgbClr val="FF5050"/>
              </a:solidFill>
            </a:ln>
          </c:spPr>
          <c:marker>
            <c:symbol val="none"/>
          </c:marker>
          <c:cat>
            <c:numRef>
              <c:f>List1!$B$2:$N$2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List1!$B$5:$N$5</c:f>
              <c:numCache>
                <c:formatCode>#,##0</c:formatCode>
                <c:ptCount val="13"/>
                <c:pt idx="0">
                  <c:v>8882</c:v>
                </c:pt>
                <c:pt idx="1">
                  <c:v>12635</c:v>
                </c:pt>
                <c:pt idx="2">
                  <c:v>17149</c:v>
                </c:pt>
                <c:pt idx="3">
                  <c:v>23642</c:v>
                </c:pt>
                <c:pt idx="4">
                  <c:v>20680</c:v>
                </c:pt>
                <c:pt idx="5">
                  <c:v>20278</c:v>
                </c:pt>
                <c:pt idx="6">
                  <c:v>19049</c:v>
                </c:pt>
                <c:pt idx="7">
                  <c:v>19718</c:v>
                </c:pt>
                <c:pt idx="8" formatCode="General">
                  <c:v>6846</c:v>
                </c:pt>
                <c:pt idx="9" formatCode="General">
                  <c:v>6919</c:v>
                </c:pt>
                <c:pt idx="10" formatCode="General">
                  <c:v>13755</c:v>
                </c:pt>
                <c:pt idx="11">
                  <c:v>24982</c:v>
                </c:pt>
                <c:pt idx="12" formatCode="General">
                  <c:v>31522</c:v>
                </c:pt>
              </c:numCache>
            </c:numRef>
          </c:val>
          <c:smooth val="1"/>
        </c:ser>
        <c:ser>
          <c:idx val="3"/>
          <c:order val="3"/>
          <c:tx>
            <c:strRef>
              <c:f>List1!$A$6</c:f>
              <c:strCache>
                <c:ptCount val="1"/>
                <c:pt idx="0">
                  <c:v>Rumunsko</c:v>
                </c:pt>
              </c:strCache>
            </c:strRef>
          </c:tx>
          <c:spPr>
            <a:ln w="28575">
              <a:solidFill>
                <a:srgbClr val="990099"/>
              </a:solidFill>
            </a:ln>
          </c:spPr>
          <c:marker>
            <c:symbol val="none"/>
          </c:marker>
          <c:cat>
            <c:numRef>
              <c:f>List1!$B$2:$N$2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List1!$B$6:$N$6</c:f>
              <c:numCache>
                <c:formatCode>General</c:formatCode>
                <c:ptCount val="13"/>
                <c:pt idx="0">
                  <c:v>590</c:v>
                </c:pt>
                <c:pt idx="1">
                  <c:v>929</c:v>
                </c:pt>
                <c:pt idx="2" formatCode="#,##0">
                  <c:v>1240</c:v>
                </c:pt>
                <c:pt idx="3" formatCode="#,##0">
                  <c:v>4313</c:v>
                </c:pt>
                <c:pt idx="4" formatCode="#,##0">
                  <c:v>3605</c:v>
                </c:pt>
                <c:pt idx="5" formatCode="#,##0">
                  <c:v>3780</c:v>
                </c:pt>
                <c:pt idx="6" formatCode="#,##0">
                  <c:v>4815</c:v>
                </c:pt>
                <c:pt idx="7" formatCode="#,##0">
                  <c:v>6372</c:v>
                </c:pt>
                <c:pt idx="8">
                  <c:v>20100</c:v>
                </c:pt>
                <c:pt idx="9">
                  <c:v>20316</c:v>
                </c:pt>
                <c:pt idx="10">
                  <c:v>19596</c:v>
                </c:pt>
                <c:pt idx="11" formatCode="#,##0">
                  <c:v>22861</c:v>
                </c:pt>
                <c:pt idx="12">
                  <c:v>31355</c:v>
                </c:pt>
              </c:numCache>
            </c:numRef>
          </c:val>
          <c:smooth val="1"/>
        </c:ser>
        <c:ser>
          <c:idx val="4"/>
          <c:order val="4"/>
          <c:tx>
            <c:strRef>
              <c:f>List1!$A$7</c:f>
              <c:strCache>
                <c:ptCount val="1"/>
                <c:pt idx="0">
                  <c:v>Bulharsko</c:v>
                </c:pt>
              </c:strCache>
            </c:strRef>
          </c:tx>
          <c:spPr>
            <a:ln w="28575">
              <a:solidFill>
                <a:srgbClr val="00B050"/>
              </a:solidFill>
            </a:ln>
          </c:spPr>
          <c:marker>
            <c:symbol val="none"/>
          </c:marker>
          <c:cat>
            <c:numRef>
              <c:f>List1!$B$2:$N$2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List1!$B$7:$N$7</c:f>
              <c:numCache>
                <c:formatCode>#,##0</c:formatCode>
                <c:ptCount val="13"/>
                <c:pt idx="0">
                  <c:v>1651</c:v>
                </c:pt>
                <c:pt idx="1">
                  <c:v>1732</c:v>
                </c:pt>
                <c:pt idx="2">
                  <c:v>1953</c:v>
                </c:pt>
                <c:pt idx="3">
                  <c:v>5393</c:v>
                </c:pt>
                <c:pt idx="4">
                  <c:v>5108</c:v>
                </c:pt>
                <c:pt idx="5">
                  <c:v>4578</c:v>
                </c:pt>
                <c:pt idx="6">
                  <c:v>5667</c:v>
                </c:pt>
                <c:pt idx="7">
                  <c:v>7007</c:v>
                </c:pt>
                <c:pt idx="8" formatCode="General">
                  <c:v>7315</c:v>
                </c:pt>
                <c:pt idx="9" formatCode="General">
                  <c:v>7394</c:v>
                </c:pt>
                <c:pt idx="10" formatCode="General">
                  <c:v>13685</c:v>
                </c:pt>
                <c:pt idx="11">
                  <c:v>19782</c:v>
                </c:pt>
                <c:pt idx="12" formatCode="General">
                  <c:v>25784</c:v>
                </c:pt>
              </c:numCache>
            </c:numRef>
          </c:val>
          <c:smooth val="1"/>
        </c:ser>
        <c:ser>
          <c:idx val="5"/>
          <c:order val="5"/>
          <c:tx>
            <c:strRef>
              <c:f>List1!$A$8</c:f>
              <c:strCache>
                <c:ptCount val="1"/>
                <c:pt idx="0">
                  <c:v>Rusko</c:v>
                </c:pt>
              </c:strCache>
            </c:strRef>
          </c:tx>
          <c:spPr>
            <a:ln w="28575">
              <a:solidFill>
                <a:srgbClr val="FF0000"/>
              </a:solidFill>
            </a:ln>
          </c:spPr>
          <c:marker>
            <c:symbol val="none"/>
          </c:marker>
          <c:cat>
            <c:numRef>
              <c:f>List1!$B$2:$N$2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List1!$B$8:$N$8</c:f>
              <c:numCache>
                <c:formatCode>#,##0</c:formatCode>
                <c:ptCount val="13"/>
                <c:pt idx="0">
                  <c:v>1078</c:v>
                </c:pt>
                <c:pt idx="1">
                  <c:v>2447</c:v>
                </c:pt>
                <c:pt idx="2">
                  <c:v>2380</c:v>
                </c:pt>
                <c:pt idx="3">
                  <c:v>2488</c:v>
                </c:pt>
                <c:pt idx="4">
                  <c:v>3314</c:v>
                </c:pt>
                <c:pt idx="5">
                  <c:v>3612</c:v>
                </c:pt>
                <c:pt idx="6">
                  <c:v>3658</c:v>
                </c:pt>
                <c:pt idx="7">
                  <c:v>3931</c:v>
                </c:pt>
                <c:pt idx="8" formatCode="General">
                  <c:v>3950</c:v>
                </c:pt>
                <c:pt idx="9" formatCode="General">
                  <c:v>3992</c:v>
                </c:pt>
                <c:pt idx="10" formatCode="General">
                  <c:v>4720</c:v>
                </c:pt>
                <c:pt idx="11">
                  <c:v>6703</c:v>
                </c:pt>
                <c:pt idx="12" formatCode="General">
                  <c:v>8290</c:v>
                </c:pt>
              </c:numCache>
            </c:numRef>
          </c:val>
          <c:smooth val="1"/>
        </c:ser>
        <c:ser>
          <c:idx val="6"/>
          <c:order val="6"/>
          <c:tx>
            <c:strRef>
              <c:f>List1!$A$9</c:f>
              <c:strCache>
                <c:ptCount val="1"/>
                <c:pt idx="0">
                  <c:v>Vietnam</c:v>
                </c:pt>
              </c:strCache>
            </c:strRef>
          </c:tx>
          <c:spPr>
            <a:ln w="28575">
              <a:solidFill>
                <a:srgbClr val="FF9933"/>
              </a:solidFill>
            </a:ln>
          </c:spPr>
          <c:marker>
            <c:symbol val="none"/>
          </c:marker>
          <c:cat>
            <c:numRef>
              <c:f>List1!$B$2:$N$2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List1!$B$9:$N$9</c:f>
              <c:numCache>
                <c:formatCode>General</c:formatCode>
                <c:ptCount val="13"/>
                <c:pt idx="0">
                  <c:v>183</c:v>
                </c:pt>
                <c:pt idx="1">
                  <c:v>256</c:v>
                </c:pt>
                <c:pt idx="2">
                  <c:v>692</c:v>
                </c:pt>
                <c:pt idx="3" formatCode="#,##0">
                  <c:v>5425</c:v>
                </c:pt>
                <c:pt idx="4" formatCode="#,##0">
                  <c:v>16254</c:v>
                </c:pt>
                <c:pt idx="5" formatCode="#,##0">
                  <c:v>3670</c:v>
                </c:pt>
                <c:pt idx="6" formatCode="#,##0">
                  <c:v>3132</c:v>
                </c:pt>
                <c:pt idx="7" formatCode="#,##0">
                  <c:v>2776</c:v>
                </c:pt>
                <c:pt idx="8">
                  <c:v>2868</c:v>
                </c:pt>
                <c:pt idx="9">
                  <c:v>2898</c:v>
                </c:pt>
                <c:pt idx="10">
                  <c:v>3981</c:v>
                </c:pt>
                <c:pt idx="11" formatCode="#,##0">
                  <c:v>5098</c:v>
                </c:pt>
                <c:pt idx="12">
                  <c:v>6565</c:v>
                </c:pt>
              </c:numCache>
            </c:numRef>
          </c:val>
          <c:smooth val="1"/>
        </c:ser>
        <c:ser>
          <c:idx val="7"/>
          <c:order val="7"/>
          <c:tx>
            <c:strRef>
              <c:f>List1!$A$10</c:f>
              <c:strCache>
                <c:ptCount val="1"/>
                <c:pt idx="0">
                  <c:v>ostatní</c:v>
                </c:pt>
              </c:strCache>
            </c:strRef>
          </c:tx>
          <c:spPr>
            <a:ln w="38100">
              <a:solidFill>
                <a:schemeClr val="tx1">
                  <a:lumMod val="50000"/>
                  <a:lumOff val="50000"/>
                </a:schemeClr>
              </a:solidFill>
            </a:ln>
          </c:spPr>
          <c:marker>
            <c:symbol val="none"/>
          </c:marker>
          <c:cat>
            <c:numRef>
              <c:f>List1!$B$2:$N$2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List1!$B$10:$N$10</c:f>
              <c:numCache>
                <c:formatCode>#,##0</c:formatCode>
                <c:ptCount val="13"/>
                <c:pt idx="0">
                  <c:v>13382</c:v>
                </c:pt>
                <c:pt idx="1">
                  <c:v>18380</c:v>
                </c:pt>
                <c:pt idx="2">
                  <c:v>24151</c:v>
                </c:pt>
                <c:pt idx="3">
                  <c:v>36156</c:v>
                </c:pt>
                <c:pt idx="4">
                  <c:v>54295</c:v>
                </c:pt>
                <c:pt idx="5">
                  <c:v>39121</c:v>
                </c:pt>
                <c:pt idx="6">
                  <c:v>36180</c:v>
                </c:pt>
                <c:pt idx="7">
                  <c:v>36383</c:v>
                </c:pt>
                <c:pt idx="8">
                  <c:v>36605</c:v>
                </c:pt>
                <c:pt idx="9">
                  <c:v>36965</c:v>
                </c:pt>
                <c:pt idx="10">
                  <c:v>40740</c:v>
                </c:pt>
                <c:pt idx="11">
                  <c:v>51654</c:v>
                </c:pt>
                <c:pt idx="12">
                  <c:v>63243</c:v>
                </c:pt>
              </c:numCache>
            </c:numRef>
          </c:val>
          <c:smooth val="1"/>
        </c:ser>
        <c:dLbls>
          <c:showLegendKey val="0"/>
          <c:showVal val="0"/>
          <c:showCatName val="0"/>
          <c:showSerName val="0"/>
          <c:showPercent val="0"/>
          <c:showBubbleSize val="0"/>
        </c:dLbls>
        <c:marker val="1"/>
        <c:smooth val="0"/>
        <c:axId val="118285824"/>
        <c:axId val="118287360"/>
      </c:lineChart>
      <c:catAx>
        <c:axId val="118285824"/>
        <c:scaling>
          <c:orientation val="minMax"/>
        </c:scaling>
        <c:delete val="0"/>
        <c:axPos val="b"/>
        <c:numFmt formatCode="General" sourceLinked="1"/>
        <c:majorTickMark val="out"/>
        <c:minorTickMark val="none"/>
        <c:tickLblPos val="nextTo"/>
        <c:txPr>
          <a:bodyPr/>
          <a:lstStyle/>
          <a:p>
            <a:pPr>
              <a:defRPr sz="800"/>
            </a:pPr>
            <a:endParaRPr lang="cs-CZ"/>
          </a:p>
        </c:txPr>
        <c:crossAx val="118287360"/>
        <c:crosses val="autoZero"/>
        <c:auto val="1"/>
        <c:lblAlgn val="ctr"/>
        <c:lblOffset val="100"/>
        <c:noMultiLvlLbl val="0"/>
      </c:catAx>
      <c:valAx>
        <c:axId val="118287360"/>
        <c:scaling>
          <c:orientation val="minMax"/>
        </c:scaling>
        <c:delete val="0"/>
        <c:axPos val="l"/>
        <c:majorGridlines/>
        <c:numFmt formatCode="#,##0" sourceLinked="1"/>
        <c:majorTickMark val="out"/>
        <c:minorTickMark val="none"/>
        <c:tickLblPos val="nextTo"/>
        <c:txPr>
          <a:bodyPr/>
          <a:lstStyle/>
          <a:p>
            <a:pPr>
              <a:defRPr sz="800"/>
            </a:pPr>
            <a:endParaRPr lang="cs-CZ"/>
          </a:p>
        </c:txPr>
        <c:crossAx val="118285824"/>
        <c:crosses val="autoZero"/>
        <c:crossBetween val="between"/>
      </c:valAx>
    </c:plotArea>
    <c:legend>
      <c:legendPos val="b"/>
      <c:layout>
        <c:manualLayout>
          <c:xMode val="edge"/>
          <c:yMode val="edge"/>
          <c:x val="4.8935684692306032E-2"/>
          <c:y val="0.86190887988712395"/>
          <c:w val="0.92694648706101823"/>
          <c:h val="0.11496973282963907"/>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7"/>
          <c:order val="0"/>
          <c:tx>
            <c:strRef>
              <c:f>List1!$A$10</c:f>
              <c:strCache>
                <c:ptCount val="1"/>
                <c:pt idx="0">
                  <c:v>ostatní</c:v>
                </c:pt>
              </c:strCache>
            </c:strRef>
          </c:tx>
          <c:spPr>
            <a:solidFill>
              <a:schemeClr val="bg1">
                <a:lumMod val="75000"/>
              </a:schemeClr>
            </a:solidFill>
          </c:spPr>
          <c:cat>
            <c:numRef>
              <c:f>List1!$B$2:$N$2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List1!$B$10:$N$10</c:f>
              <c:numCache>
                <c:formatCode>#,##0</c:formatCode>
                <c:ptCount val="13"/>
                <c:pt idx="0">
                  <c:v>13382</c:v>
                </c:pt>
                <c:pt idx="1">
                  <c:v>18380</c:v>
                </c:pt>
                <c:pt idx="2">
                  <c:v>24151</c:v>
                </c:pt>
                <c:pt idx="3">
                  <c:v>36156</c:v>
                </c:pt>
                <c:pt idx="4">
                  <c:v>54295</c:v>
                </c:pt>
                <c:pt idx="5">
                  <c:v>39121</c:v>
                </c:pt>
                <c:pt idx="6">
                  <c:v>36180</c:v>
                </c:pt>
                <c:pt idx="7">
                  <c:v>36383</c:v>
                </c:pt>
                <c:pt idx="8">
                  <c:v>36605</c:v>
                </c:pt>
                <c:pt idx="9">
                  <c:v>36965</c:v>
                </c:pt>
                <c:pt idx="10">
                  <c:v>40740</c:v>
                </c:pt>
                <c:pt idx="11">
                  <c:v>51654</c:v>
                </c:pt>
                <c:pt idx="12">
                  <c:v>63243</c:v>
                </c:pt>
              </c:numCache>
            </c:numRef>
          </c:val>
        </c:ser>
        <c:ser>
          <c:idx val="5"/>
          <c:order val="1"/>
          <c:tx>
            <c:strRef>
              <c:f>List1!$A$8</c:f>
              <c:strCache>
                <c:ptCount val="1"/>
                <c:pt idx="0">
                  <c:v>Rusko</c:v>
                </c:pt>
              </c:strCache>
            </c:strRef>
          </c:tx>
          <c:spPr>
            <a:solidFill>
              <a:srgbClr val="FF0000"/>
            </a:solidFill>
            <a:ln w="25400">
              <a:noFill/>
            </a:ln>
          </c:spPr>
          <c:cat>
            <c:numRef>
              <c:f>List1!$B$2:$N$2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List1!$B$8:$N$8</c:f>
              <c:numCache>
                <c:formatCode>#,##0</c:formatCode>
                <c:ptCount val="13"/>
                <c:pt idx="0">
                  <c:v>1078</c:v>
                </c:pt>
                <c:pt idx="1">
                  <c:v>2447</c:v>
                </c:pt>
                <c:pt idx="2">
                  <c:v>2380</c:v>
                </c:pt>
                <c:pt idx="3">
                  <c:v>2488</c:v>
                </c:pt>
                <c:pt idx="4">
                  <c:v>3314</c:v>
                </c:pt>
                <c:pt idx="5">
                  <c:v>3612</c:v>
                </c:pt>
                <c:pt idx="6">
                  <c:v>3658</c:v>
                </c:pt>
                <c:pt idx="7">
                  <c:v>3931</c:v>
                </c:pt>
                <c:pt idx="8" formatCode="General">
                  <c:v>3950</c:v>
                </c:pt>
                <c:pt idx="9" formatCode="General">
                  <c:v>3992</c:v>
                </c:pt>
                <c:pt idx="10" formatCode="General">
                  <c:v>4720</c:v>
                </c:pt>
                <c:pt idx="11">
                  <c:v>6703</c:v>
                </c:pt>
                <c:pt idx="12" formatCode="General">
                  <c:v>8290</c:v>
                </c:pt>
              </c:numCache>
            </c:numRef>
          </c:val>
        </c:ser>
        <c:ser>
          <c:idx val="6"/>
          <c:order val="2"/>
          <c:tx>
            <c:strRef>
              <c:f>List1!$A$9</c:f>
              <c:strCache>
                <c:ptCount val="1"/>
                <c:pt idx="0">
                  <c:v>Vietnam</c:v>
                </c:pt>
              </c:strCache>
            </c:strRef>
          </c:tx>
          <c:spPr>
            <a:pattFill prst="pct90">
              <a:fgClr>
                <a:srgbClr val="FF0000"/>
              </a:fgClr>
              <a:bgClr>
                <a:srgbClr val="FFFF00"/>
              </a:bgClr>
            </a:pattFill>
          </c:spPr>
          <c:cat>
            <c:numRef>
              <c:f>List1!$B$2:$N$2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List1!$B$9:$N$9</c:f>
              <c:numCache>
                <c:formatCode>General</c:formatCode>
                <c:ptCount val="13"/>
                <c:pt idx="0">
                  <c:v>183</c:v>
                </c:pt>
                <c:pt idx="1">
                  <c:v>256</c:v>
                </c:pt>
                <c:pt idx="2">
                  <c:v>692</c:v>
                </c:pt>
                <c:pt idx="3" formatCode="#,##0">
                  <c:v>5425</c:v>
                </c:pt>
                <c:pt idx="4" formatCode="#,##0">
                  <c:v>16254</c:v>
                </c:pt>
                <c:pt idx="5" formatCode="#,##0">
                  <c:v>3670</c:v>
                </c:pt>
                <c:pt idx="6" formatCode="#,##0">
                  <c:v>3132</c:v>
                </c:pt>
                <c:pt idx="7" formatCode="#,##0">
                  <c:v>2776</c:v>
                </c:pt>
                <c:pt idx="8">
                  <c:v>2868</c:v>
                </c:pt>
                <c:pt idx="9">
                  <c:v>2898</c:v>
                </c:pt>
                <c:pt idx="10">
                  <c:v>3981</c:v>
                </c:pt>
                <c:pt idx="11" formatCode="#,##0">
                  <c:v>5098</c:v>
                </c:pt>
                <c:pt idx="12">
                  <c:v>6565</c:v>
                </c:pt>
              </c:numCache>
            </c:numRef>
          </c:val>
        </c:ser>
        <c:ser>
          <c:idx val="3"/>
          <c:order val="3"/>
          <c:tx>
            <c:strRef>
              <c:f>List1!$A$6</c:f>
              <c:strCache>
                <c:ptCount val="1"/>
                <c:pt idx="0">
                  <c:v>Rumunsko</c:v>
                </c:pt>
              </c:strCache>
            </c:strRef>
          </c:tx>
          <c:spPr>
            <a:pattFill prst="dkVert">
              <a:fgClr>
                <a:srgbClr val="FF0000"/>
              </a:fgClr>
              <a:bgClr>
                <a:srgbClr val="FFFF00"/>
              </a:bgClr>
            </a:pattFill>
          </c:spPr>
          <c:cat>
            <c:numRef>
              <c:f>List1!$B$2:$N$2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List1!$B$6:$N$6</c:f>
              <c:numCache>
                <c:formatCode>General</c:formatCode>
                <c:ptCount val="13"/>
                <c:pt idx="0">
                  <c:v>590</c:v>
                </c:pt>
                <c:pt idx="1">
                  <c:v>929</c:v>
                </c:pt>
                <c:pt idx="2" formatCode="#,##0">
                  <c:v>1240</c:v>
                </c:pt>
                <c:pt idx="3" formatCode="#,##0">
                  <c:v>4313</c:v>
                </c:pt>
                <c:pt idx="4" formatCode="#,##0">
                  <c:v>3605</c:v>
                </c:pt>
                <c:pt idx="5" formatCode="#,##0">
                  <c:v>3780</c:v>
                </c:pt>
                <c:pt idx="6" formatCode="#,##0">
                  <c:v>4815</c:v>
                </c:pt>
                <c:pt idx="7" formatCode="#,##0">
                  <c:v>6372</c:v>
                </c:pt>
                <c:pt idx="8">
                  <c:v>20100</c:v>
                </c:pt>
                <c:pt idx="9">
                  <c:v>20316</c:v>
                </c:pt>
                <c:pt idx="10">
                  <c:v>19596</c:v>
                </c:pt>
                <c:pt idx="11" formatCode="#,##0">
                  <c:v>22861</c:v>
                </c:pt>
                <c:pt idx="12">
                  <c:v>31355</c:v>
                </c:pt>
              </c:numCache>
            </c:numRef>
          </c:val>
        </c:ser>
        <c:ser>
          <c:idx val="4"/>
          <c:order val="4"/>
          <c:tx>
            <c:strRef>
              <c:f>List1!$A$7</c:f>
              <c:strCache>
                <c:ptCount val="1"/>
                <c:pt idx="0">
                  <c:v>Bulharsko</c:v>
                </c:pt>
              </c:strCache>
            </c:strRef>
          </c:tx>
          <c:spPr>
            <a:pattFill prst="dkHorz">
              <a:fgClr>
                <a:schemeClr val="accent3">
                  <a:lumMod val="75000"/>
                </a:schemeClr>
              </a:fgClr>
              <a:bgClr>
                <a:schemeClr val="bg1"/>
              </a:bgClr>
            </a:pattFill>
          </c:spPr>
          <c:cat>
            <c:numRef>
              <c:f>List1!$B$2:$N$2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List1!$B$7:$N$7</c:f>
              <c:numCache>
                <c:formatCode>#,##0</c:formatCode>
                <c:ptCount val="13"/>
                <c:pt idx="0">
                  <c:v>1651</c:v>
                </c:pt>
                <c:pt idx="1">
                  <c:v>1732</c:v>
                </c:pt>
                <c:pt idx="2">
                  <c:v>1953</c:v>
                </c:pt>
                <c:pt idx="3">
                  <c:v>5393</c:v>
                </c:pt>
                <c:pt idx="4">
                  <c:v>5108</c:v>
                </c:pt>
                <c:pt idx="5">
                  <c:v>4578</c:v>
                </c:pt>
                <c:pt idx="6">
                  <c:v>5667</c:v>
                </c:pt>
                <c:pt idx="7">
                  <c:v>7007</c:v>
                </c:pt>
                <c:pt idx="8" formatCode="General">
                  <c:v>7315</c:v>
                </c:pt>
                <c:pt idx="9" formatCode="General">
                  <c:v>7394</c:v>
                </c:pt>
                <c:pt idx="10" formatCode="General">
                  <c:v>13685</c:v>
                </c:pt>
                <c:pt idx="11">
                  <c:v>19782</c:v>
                </c:pt>
                <c:pt idx="12" formatCode="General">
                  <c:v>25784</c:v>
                </c:pt>
              </c:numCache>
            </c:numRef>
          </c:val>
        </c:ser>
        <c:ser>
          <c:idx val="2"/>
          <c:order val="5"/>
          <c:tx>
            <c:strRef>
              <c:f>List1!$A$5</c:f>
              <c:strCache>
                <c:ptCount val="1"/>
                <c:pt idx="0">
                  <c:v>Polsko</c:v>
                </c:pt>
              </c:strCache>
            </c:strRef>
          </c:tx>
          <c:spPr>
            <a:pattFill prst="ltHorz">
              <a:fgClr>
                <a:srgbClr val="FF0000"/>
              </a:fgClr>
              <a:bgClr>
                <a:schemeClr val="bg1"/>
              </a:bgClr>
            </a:pattFill>
            <a:ln w="15875"/>
          </c:spPr>
          <c:cat>
            <c:numRef>
              <c:f>List1!$B$2:$N$2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List1!$B$5:$N$5</c:f>
              <c:numCache>
                <c:formatCode>#,##0</c:formatCode>
                <c:ptCount val="13"/>
                <c:pt idx="0">
                  <c:v>8882</c:v>
                </c:pt>
                <c:pt idx="1">
                  <c:v>12635</c:v>
                </c:pt>
                <c:pt idx="2">
                  <c:v>17149</c:v>
                </c:pt>
                <c:pt idx="3">
                  <c:v>23642</c:v>
                </c:pt>
                <c:pt idx="4">
                  <c:v>20680</c:v>
                </c:pt>
                <c:pt idx="5">
                  <c:v>20278</c:v>
                </c:pt>
                <c:pt idx="6">
                  <c:v>19049</c:v>
                </c:pt>
                <c:pt idx="7">
                  <c:v>19718</c:v>
                </c:pt>
                <c:pt idx="8" formatCode="General">
                  <c:v>6846</c:v>
                </c:pt>
                <c:pt idx="9" formatCode="General">
                  <c:v>6919</c:v>
                </c:pt>
                <c:pt idx="10" formatCode="General">
                  <c:v>13755</c:v>
                </c:pt>
                <c:pt idx="11">
                  <c:v>24982</c:v>
                </c:pt>
                <c:pt idx="12" formatCode="General">
                  <c:v>31522</c:v>
                </c:pt>
              </c:numCache>
            </c:numRef>
          </c:val>
        </c:ser>
        <c:ser>
          <c:idx val="1"/>
          <c:order val="6"/>
          <c:tx>
            <c:strRef>
              <c:f>List1!$A$4</c:f>
              <c:strCache>
                <c:ptCount val="1"/>
                <c:pt idx="0">
                  <c:v>Ukrajina</c:v>
                </c:pt>
              </c:strCache>
            </c:strRef>
          </c:tx>
          <c:spPr>
            <a:pattFill prst="ltHorz">
              <a:fgClr>
                <a:srgbClr val="0070C0"/>
              </a:fgClr>
              <a:bgClr>
                <a:srgbClr val="FFFF00"/>
              </a:bgClr>
            </a:pattFill>
          </c:spPr>
          <c:cat>
            <c:numRef>
              <c:f>List1!$B$2:$N$2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List1!$B$4:$N$4</c:f>
              <c:numCache>
                <c:formatCode>#,##0</c:formatCode>
                <c:ptCount val="13"/>
                <c:pt idx="0">
                  <c:v>22399</c:v>
                </c:pt>
                <c:pt idx="1">
                  <c:v>40060</c:v>
                </c:pt>
                <c:pt idx="2">
                  <c:v>46155</c:v>
                </c:pt>
                <c:pt idx="3">
                  <c:v>61592</c:v>
                </c:pt>
                <c:pt idx="4">
                  <c:v>81072</c:v>
                </c:pt>
                <c:pt idx="5">
                  <c:v>57478</c:v>
                </c:pt>
                <c:pt idx="6">
                  <c:v>42139</c:v>
                </c:pt>
                <c:pt idx="7">
                  <c:v>35250</c:v>
                </c:pt>
                <c:pt idx="8" formatCode="General">
                  <c:v>35815</c:v>
                </c:pt>
                <c:pt idx="9" formatCode="General">
                  <c:v>36198</c:v>
                </c:pt>
                <c:pt idx="10" formatCode="General">
                  <c:v>35319</c:v>
                </c:pt>
                <c:pt idx="11">
                  <c:v>41847</c:v>
                </c:pt>
                <c:pt idx="12" formatCode="General">
                  <c:v>54571</c:v>
                </c:pt>
              </c:numCache>
            </c:numRef>
          </c:val>
        </c:ser>
        <c:ser>
          <c:idx val="0"/>
          <c:order val="7"/>
          <c:tx>
            <c:strRef>
              <c:f>List1!$A$3</c:f>
              <c:strCache>
                <c:ptCount val="1"/>
                <c:pt idx="0">
                  <c:v>Slovensko</c:v>
                </c:pt>
              </c:strCache>
            </c:strRef>
          </c:tx>
          <c:spPr>
            <a:solidFill>
              <a:srgbClr val="00B0F0"/>
            </a:solidFill>
            <a:ln>
              <a:noFill/>
            </a:ln>
          </c:spPr>
          <c:cat>
            <c:numRef>
              <c:f>List1!$B$2:$N$2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List1!$B$3:$N$3</c:f>
              <c:numCache>
                <c:formatCode>#,##0</c:formatCode>
                <c:ptCount val="13"/>
                <c:pt idx="0">
                  <c:v>59819</c:v>
                </c:pt>
                <c:pt idx="1">
                  <c:v>75297</c:v>
                </c:pt>
                <c:pt idx="2">
                  <c:v>91355</c:v>
                </c:pt>
                <c:pt idx="3">
                  <c:v>101233</c:v>
                </c:pt>
                <c:pt idx="4">
                  <c:v>100223</c:v>
                </c:pt>
                <c:pt idx="5">
                  <c:v>98192</c:v>
                </c:pt>
                <c:pt idx="6">
                  <c:v>100727</c:v>
                </c:pt>
                <c:pt idx="7">
                  <c:v>106425</c:v>
                </c:pt>
                <c:pt idx="8" formatCode="General">
                  <c:v>108445</c:v>
                </c:pt>
                <c:pt idx="9" formatCode="General">
                  <c:v>109602</c:v>
                </c:pt>
                <c:pt idx="10" formatCode="General">
                  <c:v>129203</c:v>
                </c:pt>
                <c:pt idx="11">
                  <c:v>150317</c:v>
                </c:pt>
                <c:pt idx="12" formatCode="General">
                  <c:v>161559</c:v>
                </c:pt>
              </c:numCache>
            </c:numRef>
          </c:val>
        </c:ser>
        <c:dLbls>
          <c:showLegendKey val="0"/>
          <c:showVal val="0"/>
          <c:showCatName val="0"/>
          <c:showSerName val="0"/>
          <c:showPercent val="0"/>
          <c:showBubbleSize val="0"/>
        </c:dLbls>
        <c:axId val="122528512"/>
        <c:axId val="122530048"/>
      </c:areaChart>
      <c:catAx>
        <c:axId val="122528512"/>
        <c:scaling>
          <c:orientation val="minMax"/>
        </c:scaling>
        <c:delete val="0"/>
        <c:axPos val="b"/>
        <c:numFmt formatCode="General" sourceLinked="1"/>
        <c:majorTickMark val="out"/>
        <c:minorTickMark val="none"/>
        <c:tickLblPos val="nextTo"/>
        <c:txPr>
          <a:bodyPr/>
          <a:lstStyle/>
          <a:p>
            <a:pPr>
              <a:defRPr sz="800"/>
            </a:pPr>
            <a:endParaRPr lang="cs-CZ"/>
          </a:p>
        </c:txPr>
        <c:crossAx val="122530048"/>
        <c:crosses val="autoZero"/>
        <c:auto val="1"/>
        <c:lblAlgn val="ctr"/>
        <c:lblOffset val="100"/>
        <c:noMultiLvlLbl val="0"/>
      </c:catAx>
      <c:valAx>
        <c:axId val="122530048"/>
        <c:scaling>
          <c:orientation val="minMax"/>
        </c:scaling>
        <c:delete val="0"/>
        <c:axPos val="l"/>
        <c:majorGridlines/>
        <c:numFmt formatCode="#,##0" sourceLinked="1"/>
        <c:majorTickMark val="out"/>
        <c:minorTickMark val="none"/>
        <c:tickLblPos val="nextTo"/>
        <c:txPr>
          <a:bodyPr/>
          <a:lstStyle/>
          <a:p>
            <a:pPr>
              <a:defRPr sz="800"/>
            </a:pPr>
            <a:endParaRPr lang="cs-CZ"/>
          </a:p>
        </c:txPr>
        <c:crossAx val="122528512"/>
        <c:crosses val="autoZero"/>
        <c:crossBetween val="midCat"/>
      </c:valAx>
    </c:plotArea>
    <c:legend>
      <c:legendPos val="b"/>
      <c:overlay val="0"/>
      <c:txPr>
        <a:bodyPr/>
        <a:lstStyle/>
        <a:p>
          <a:pPr>
            <a:defRPr sz="800"/>
          </a:pPr>
          <a:endParaRPr lang="cs-CZ"/>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202016825974311E-2"/>
          <c:y val="5.0925925925925923E-2"/>
          <c:w val="0.8978713711974543"/>
          <c:h val="0.4495913531641878"/>
        </c:manualLayout>
      </c:layout>
      <c:barChart>
        <c:barDir val="bar"/>
        <c:grouping val="percentStacked"/>
        <c:varyColors val="0"/>
        <c:ser>
          <c:idx val="0"/>
          <c:order val="0"/>
          <c:tx>
            <c:strRef>
              <c:f>'Neobsazenost podle profesí'!$Q$77</c:f>
              <c:strCache>
                <c:ptCount val="1"/>
                <c:pt idx="0">
                  <c:v>Zaměstnanci v ozbrojených silách</c:v>
                </c:pt>
              </c:strCache>
            </c:strRef>
          </c:tx>
          <c:invertIfNegative val="0"/>
          <c:cat>
            <c:strRef>
              <c:f>('Neobsazenost podle profesí'!$S$76,'Neobsazenost podle profesí'!$V$76)</c:f>
              <c:strCache>
                <c:ptCount val="2"/>
                <c:pt idx="0">
                  <c:v>0-3M</c:v>
                </c:pt>
                <c:pt idx="1">
                  <c:v>nad 12</c:v>
                </c:pt>
              </c:strCache>
            </c:strRef>
          </c:cat>
          <c:val>
            <c:numRef>
              <c:f>('Neobsazenost podle profesí'!$S$77,'Neobsazenost podle profesí'!$V$77)</c:f>
              <c:numCache>
                <c:formatCode>General</c:formatCode>
                <c:ptCount val="2"/>
                <c:pt idx="0">
                  <c:v>0</c:v>
                </c:pt>
                <c:pt idx="1">
                  <c:v>356</c:v>
                </c:pt>
              </c:numCache>
            </c:numRef>
          </c:val>
        </c:ser>
        <c:ser>
          <c:idx val="1"/>
          <c:order val="1"/>
          <c:tx>
            <c:strRef>
              <c:f>'Neobsazenost podle profesí'!$Q$78</c:f>
              <c:strCache>
                <c:ptCount val="1"/>
                <c:pt idx="0">
                  <c:v>Zákonodárci a řídící pracovníci</c:v>
                </c:pt>
              </c:strCache>
            </c:strRef>
          </c:tx>
          <c:invertIfNegative val="0"/>
          <c:cat>
            <c:strRef>
              <c:f>('Neobsazenost podle profesí'!$S$76,'Neobsazenost podle profesí'!$V$76)</c:f>
              <c:strCache>
                <c:ptCount val="2"/>
                <c:pt idx="0">
                  <c:v>0-3M</c:v>
                </c:pt>
                <c:pt idx="1">
                  <c:v>nad 12</c:v>
                </c:pt>
              </c:strCache>
            </c:strRef>
          </c:cat>
          <c:val>
            <c:numRef>
              <c:f>('Neobsazenost podle profesí'!$S$78,'Neobsazenost podle profesí'!$V$78)</c:f>
              <c:numCache>
                <c:formatCode>General</c:formatCode>
                <c:ptCount val="2"/>
                <c:pt idx="0">
                  <c:v>546</c:v>
                </c:pt>
                <c:pt idx="1">
                  <c:v>311</c:v>
                </c:pt>
              </c:numCache>
            </c:numRef>
          </c:val>
        </c:ser>
        <c:ser>
          <c:idx val="2"/>
          <c:order val="2"/>
          <c:tx>
            <c:strRef>
              <c:f>'Neobsazenost podle profesí'!$Q$79</c:f>
              <c:strCache>
                <c:ptCount val="1"/>
                <c:pt idx="0">
                  <c:v>Specialisté</c:v>
                </c:pt>
              </c:strCache>
            </c:strRef>
          </c:tx>
          <c:invertIfNegative val="0"/>
          <c:cat>
            <c:strRef>
              <c:f>('Neobsazenost podle profesí'!$S$76,'Neobsazenost podle profesí'!$V$76)</c:f>
              <c:strCache>
                <c:ptCount val="2"/>
                <c:pt idx="0">
                  <c:v>0-3M</c:v>
                </c:pt>
                <c:pt idx="1">
                  <c:v>nad 12</c:v>
                </c:pt>
              </c:strCache>
            </c:strRef>
          </c:cat>
          <c:val>
            <c:numRef>
              <c:f>('Neobsazenost podle profesí'!$S$79,'Neobsazenost podle profesí'!$V$79)</c:f>
              <c:numCache>
                <c:formatCode>#,##0</c:formatCode>
                <c:ptCount val="2"/>
                <c:pt idx="0">
                  <c:v>3223</c:v>
                </c:pt>
                <c:pt idx="1">
                  <c:v>2260</c:v>
                </c:pt>
              </c:numCache>
            </c:numRef>
          </c:val>
        </c:ser>
        <c:ser>
          <c:idx val="3"/>
          <c:order val="3"/>
          <c:tx>
            <c:strRef>
              <c:f>'Neobsazenost podle profesí'!$Q$80</c:f>
              <c:strCache>
                <c:ptCount val="1"/>
                <c:pt idx="0">
                  <c:v>Techničtí a odborní pracovníci</c:v>
                </c:pt>
              </c:strCache>
            </c:strRef>
          </c:tx>
          <c:invertIfNegative val="0"/>
          <c:cat>
            <c:strRef>
              <c:f>('Neobsazenost podle profesí'!$S$76,'Neobsazenost podle profesí'!$V$76)</c:f>
              <c:strCache>
                <c:ptCount val="2"/>
                <c:pt idx="0">
                  <c:v>0-3M</c:v>
                </c:pt>
                <c:pt idx="1">
                  <c:v>nad 12</c:v>
                </c:pt>
              </c:strCache>
            </c:strRef>
          </c:cat>
          <c:val>
            <c:numRef>
              <c:f>('Neobsazenost podle profesí'!$S$80,'Neobsazenost podle profesí'!$V$80)</c:f>
              <c:numCache>
                <c:formatCode>#,##0</c:formatCode>
                <c:ptCount val="2"/>
                <c:pt idx="0">
                  <c:v>4875</c:v>
                </c:pt>
                <c:pt idx="1">
                  <c:v>1801</c:v>
                </c:pt>
              </c:numCache>
            </c:numRef>
          </c:val>
        </c:ser>
        <c:ser>
          <c:idx val="4"/>
          <c:order val="4"/>
          <c:tx>
            <c:strRef>
              <c:f>'Neobsazenost podle profesí'!$Q$81</c:f>
              <c:strCache>
                <c:ptCount val="1"/>
                <c:pt idx="0">
                  <c:v>Úředníci</c:v>
                </c:pt>
              </c:strCache>
            </c:strRef>
          </c:tx>
          <c:invertIfNegative val="0"/>
          <c:cat>
            <c:strRef>
              <c:f>('Neobsazenost podle profesí'!$S$76,'Neobsazenost podle profesí'!$V$76)</c:f>
              <c:strCache>
                <c:ptCount val="2"/>
                <c:pt idx="0">
                  <c:v>0-3M</c:v>
                </c:pt>
                <c:pt idx="1">
                  <c:v>nad 12</c:v>
                </c:pt>
              </c:strCache>
            </c:strRef>
          </c:cat>
          <c:val>
            <c:numRef>
              <c:f>('Neobsazenost podle profesí'!$S$81,'Neobsazenost podle profesí'!$V$81)</c:f>
              <c:numCache>
                <c:formatCode>#,##0</c:formatCode>
                <c:ptCount val="2"/>
                <c:pt idx="0">
                  <c:v>2239</c:v>
                </c:pt>
                <c:pt idx="1">
                  <c:v>834</c:v>
                </c:pt>
              </c:numCache>
            </c:numRef>
          </c:val>
        </c:ser>
        <c:ser>
          <c:idx val="5"/>
          <c:order val="5"/>
          <c:tx>
            <c:strRef>
              <c:f>'Neobsazenost podle profesí'!$Q$82</c:f>
              <c:strCache>
                <c:ptCount val="1"/>
                <c:pt idx="0">
                  <c:v>Pracovníci ve službách a prodeji</c:v>
                </c:pt>
              </c:strCache>
            </c:strRef>
          </c:tx>
          <c:invertIfNegative val="0"/>
          <c:cat>
            <c:strRef>
              <c:f>('Neobsazenost podle profesí'!$S$76,'Neobsazenost podle profesí'!$V$76)</c:f>
              <c:strCache>
                <c:ptCount val="2"/>
                <c:pt idx="0">
                  <c:v>0-3M</c:v>
                </c:pt>
                <c:pt idx="1">
                  <c:v>nad 12</c:v>
                </c:pt>
              </c:strCache>
            </c:strRef>
          </c:cat>
          <c:val>
            <c:numRef>
              <c:f>('Neobsazenost podle profesí'!$S$82,'Neobsazenost podle profesí'!$V$82)</c:f>
              <c:numCache>
                <c:formatCode>#,##0</c:formatCode>
                <c:ptCount val="2"/>
                <c:pt idx="0">
                  <c:v>8729</c:v>
                </c:pt>
                <c:pt idx="1">
                  <c:v>3114</c:v>
                </c:pt>
              </c:numCache>
            </c:numRef>
          </c:val>
        </c:ser>
        <c:ser>
          <c:idx val="6"/>
          <c:order val="6"/>
          <c:tx>
            <c:strRef>
              <c:f>'Neobsazenost podle profesí'!$Q$83</c:f>
              <c:strCache>
                <c:ptCount val="1"/>
                <c:pt idx="0">
                  <c:v>Kvalifikovaní pracovníci v zem., les., ryb.</c:v>
                </c:pt>
              </c:strCache>
            </c:strRef>
          </c:tx>
          <c:invertIfNegative val="0"/>
          <c:cat>
            <c:strRef>
              <c:f>('Neobsazenost podle profesí'!$S$76,'Neobsazenost podle profesí'!$V$76)</c:f>
              <c:strCache>
                <c:ptCount val="2"/>
                <c:pt idx="0">
                  <c:v>0-3M</c:v>
                </c:pt>
                <c:pt idx="1">
                  <c:v>nad 12</c:v>
                </c:pt>
              </c:strCache>
            </c:strRef>
          </c:cat>
          <c:val>
            <c:numRef>
              <c:f>('Neobsazenost podle profesí'!$S$83,'Neobsazenost podle profesí'!$V$83)</c:f>
              <c:numCache>
                <c:formatCode>General</c:formatCode>
                <c:ptCount val="2"/>
                <c:pt idx="0">
                  <c:v>448</c:v>
                </c:pt>
                <c:pt idx="1">
                  <c:v>130</c:v>
                </c:pt>
              </c:numCache>
            </c:numRef>
          </c:val>
        </c:ser>
        <c:ser>
          <c:idx val="7"/>
          <c:order val="7"/>
          <c:tx>
            <c:strRef>
              <c:f>'Neobsazenost podle profesí'!$Q$84</c:f>
              <c:strCache>
                <c:ptCount val="1"/>
                <c:pt idx="0">
                  <c:v>Řemeslníci a opraváři</c:v>
                </c:pt>
              </c:strCache>
            </c:strRef>
          </c:tx>
          <c:invertIfNegative val="0"/>
          <c:cat>
            <c:strRef>
              <c:f>('Neobsazenost podle profesí'!$S$76,'Neobsazenost podle profesí'!$V$76)</c:f>
              <c:strCache>
                <c:ptCount val="2"/>
                <c:pt idx="0">
                  <c:v>0-3M</c:v>
                </c:pt>
                <c:pt idx="1">
                  <c:v>nad 12</c:v>
                </c:pt>
              </c:strCache>
            </c:strRef>
          </c:cat>
          <c:val>
            <c:numRef>
              <c:f>('Neobsazenost podle profesí'!$S$84,'Neobsazenost podle profesí'!$V$84)</c:f>
              <c:numCache>
                <c:formatCode>#,##0</c:formatCode>
                <c:ptCount val="2"/>
                <c:pt idx="0">
                  <c:v>10538</c:v>
                </c:pt>
                <c:pt idx="1">
                  <c:v>5853</c:v>
                </c:pt>
              </c:numCache>
            </c:numRef>
          </c:val>
        </c:ser>
        <c:ser>
          <c:idx val="8"/>
          <c:order val="8"/>
          <c:tx>
            <c:strRef>
              <c:f>'Neobsazenost podle profesí'!$Q$85</c:f>
              <c:strCache>
                <c:ptCount val="1"/>
                <c:pt idx="0">
                  <c:v>Obsluha strojů a zařízení, montéři</c:v>
                </c:pt>
              </c:strCache>
            </c:strRef>
          </c:tx>
          <c:invertIfNegative val="0"/>
          <c:cat>
            <c:strRef>
              <c:f>('Neobsazenost podle profesí'!$S$76,'Neobsazenost podle profesí'!$V$76)</c:f>
              <c:strCache>
                <c:ptCount val="2"/>
                <c:pt idx="0">
                  <c:v>0-3M</c:v>
                </c:pt>
                <c:pt idx="1">
                  <c:v>nad 12</c:v>
                </c:pt>
              </c:strCache>
            </c:strRef>
          </c:cat>
          <c:val>
            <c:numRef>
              <c:f>('Neobsazenost podle profesí'!$S$85,'Neobsazenost podle profesí'!$V$85)</c:f>
              <c:numCache>
                <c:formatCode>#,##0</c:formatCode>
                <c:ptCount val="2"/>
                <c:pt idx="0">
                  <c:v>10493</c:v>
                </c:pt>
                <c:pt idx="1">
                  <c:v>6042</c:v>
                </c:pt>
              </c:numCache>
            </c:numRef>
          </c:val>
        </c:ser>
        <c:ser>
          <c:idx val="9"/>
          <c:order val="9"/>
          <c:tx>
            <c:strRef>
              <c:f>'Neobsazenost podle profesí'!$Q$86</c:f>
              <c:strCache>
                <c:ptCount val="1"/>
                <c:pt idx="0">
                  <c:v>Pomocní a nekvalifik. pracovníci</c:v>
                </c:pt>
              </c:strCache>
            </c:strRef>
          </c:tx>
          <c:invertIfNegative val="0"/>
          <c:cat>
            <c:strRef>
              <c:f>('Neobsazenost podle profesí'!$S$76,'Neobsazenost podle profesí'!$V$76)</c:f>
              <c:strCache>
                <c:ptCount val="2"/>
                <c:pt idx="0">
                  <c:v>0-3M</c:v>
                </c:pt>
                <c:pt idx="1">
                  <c:v>nad 12</c:v>
                </c:pt>
              </c:strCache>
            </c:strRef>
          </c:cat>
          <c:val>
            <c:numRef>
              <c:f>('Neobsazenost podle profesí'!$S$86,'Neobsazenost podle profesí'!$V$86)</c:f>
              <c:numCache>
                <c:formatCode>#,##0</c:formatCode>
                <c:ptCount val="2"/>
                <c:pt idx="0">
                  <c:v>12849</c:v>
                </c:pt>
                <c:pt idx="1">
                  <c:v>5340</c:v>
                </c:pt>
              </c:numCache>
            </c:numRef>
          </c:val>
        </c:ser>
        <c:dLbls>
          <c:showLegendKey val="0"/>
          <c:showVal val="0"/>
          <c:showCatName val="0"/>
          <c:showSerName val="0"/>
          <c:showPercent val="0"/>
          <c:showBubbleSize val="0"/>
        </c:dLbls>
        <c:gapWidth val="150"/>
        <c:overlap val="100"/>
        <c:axId val="68386176"/>
        <c:axId val="68408448"/>
      </c:barChart>
      <c:catAx>
        <c:axId val="68386176"/>
        <c:scaling>
          <c:orientation val="minMax"/>
        </c:scaling>
        <c:delete val="0"/>
        <c:axPos val="l"/>
        <c:majorTickMark val="out"/>
        <c:minorTickMark val="none"/>
        <c:tickLblPos val="nextTo"/>
        <c:txPr>
          <a:bodyPr/>
          <a:lstStyle/>
          <a:p>
            <a:pPr>
              <a:defRPr sz="800"/>
            </a:pPr>
            <a:endParaRPr lang="cs-CZ"/>
          </a:p>
        </c:txPr>
        <c:crossAx val="68408448"/>
        <c:crosses val="autoZero"/>
        <c:auto val="1"/>
        <c:lblAlgn val="ctr"/>
        <c:lblOffset val="100"/>
        <c:noMultiLvlLbl val="0"/>
      </c:catAx>
      <c:valAx>
        <c:axId val="68408448"/>
        <c:scaling>
          <c:orientation val="minMax"/>
        </c:scaling>
        <c:delete val="0"/>
        <c:axPos val="b"/>
        <c:majorGridlines/>
        <c:minorGridlines/>
        <c:numFmt formatCode="0%" sourceLinked="1"/>
        <c:majorTickMark val="out"/>
        <c:minorTickMark val="none"/>
        <c:tickLblPos val="nextTo"/>
        <c:txPr>
          <a:bodyPr/>
          <a:lstStyle/>
          <a:p>
            <a:pPr>
              <a:defRPr sz="800"/>
            </a:pPr>
            <a:endParaRPr lang="cs-CZ"/>
          </a:p>
        </c:txPr>
        <c:crossAx val="68386176"/>
        <c:crosses val="autoZero"/>
        <c:crossBetween val="between"/>
        <c:minorUnit val="1.0000000000000002E-2"/>
      </c:valAx>
    </c:plotArea>
    <c:legend>
      <c:legendPos val="b"/>
      <c:layout>
        <c:manualLayout>
          <c:xMode val="edge"/>
          <c:yMode val="edge"/>
          <c:x val="2.9336957880264972E-2"/>
          <c:y val="0.61649715660542437"/>
          <c:w val="0.96975603743976446"/>
          <c:h val="0.33479703759437462"/>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650324672718666E-2"/>
          <c:y val="0.1291370381959456"/>
          <c:w val="0.90569481567097687"/>
          <c:h val="0.66415440956830318"/>
        </c:manualLayout>
      </c:layout>
      <c:barChart>
        <c:barDir val="col"/>
        <c:grouping val="percentStacked"/>
        <c:varyColors val="0"/>
        <c:ser>
          <c:idx val="3"/>
          <c:order val="0"/>
          <c:tx>
            <c:strRef>
              <c:f>'Neobsazenost podle vzdělání'!$X$24</c:f>
              <c:strCache>
                <c:ptCount val="1"/>
                <c:pt idx="0">
                  <c:v>nad 12M</c:v>
                </c:pt>
              </c:strCache>
            </c:strRef>
          </c:tx>
          <c:spPr>
            <a:solidFill>
              <a:schemeClr val="accent2">
                <a:lumMod val="75000"/>
              </a:schemeClr>
            </a:solidFill>
          </c:spPr>
          <c:invertIfNegative val="0"/>
          <c:cat>
            <c:strRef>
              <c:f>'[struktura UoZ.xlsx]List2'!$B$70:$B$81</c:f>
              <c:strCache>
                <c:ptCount val="12"/>
                <c:pt idx="0">
                  <c:v>Bez + neúpl. ZŠ</c:v>
                </c:pt>
                <c:pt idx="1">
                  <c:v>ZŠ + praktická škola</c:v>
                </c:pt>
                <c:pt idx="2">
                  <c:v>Nižší střední</c:v>
                </c:pt>
                <c:pt idx="3">
                  <c:v>Nižší střední odborné</c:v>
                </c:pt>
                <c:pt idx="4">
                  <c:v>Střední odb. (vyučen)</c:v>
                </c:pt>
                <c:pt idx="5">
                  <c:v>Střední odb. bez mat. a vyuč.</c:v>
                </c:pt>
                <c:pt idx="6">
                  <c:v>ÚSV</c:v>
                </c:pt>
                <c:pt idx="7">
                  <c:v>ÚSO (vyuč.+ mat.)</c:v>
                </c:pt>
                <c:pt idx="8">
                  <c:v>ÚSO s maturitou (bez vyučení)</c:v>
                </c:pt>
                <c:pt idx="9">
                  <c:v>VOŠ (vč. Konz.)</c:v>
                </c:pt>
                <c:pt idx="10">
                  <c:v>Bakalář.</c:v>
                </c:pt>
                <c:pt idx="11">
                  <c:v>VŠ (vč. doktor.)</c:v>
                </c:pt>
              </c:strCache>
            </c:strRef>
          </c:cat>
          <c:val>
            <c:numRef>
              <c:f>'Neobsazenost podle vzdělání'!$X$25:$X$36</c:f>
              <c:numCache>
                <c:formatCode>#,##0</c:formatCode>
                <c:ptCount val="12"/>
                <c:pt idx="0">
                  <c:v>1242</c:v>
                </c:pt>
                <c:pt idx="1">
                  <c:v>11132</c:v>
                </c:pt>
                <c:pt idx="2">
                  <c:v>313</c:v>
                </c:pt>
                <c:pt idx="3">
                  <c:v>1141</c:v>
                </c:pt>
                <c:pt idx="4">
                  <c:v>7275</c:v>
                </c:pt>
                <c:pt idx="5">
                  <c:v>154</c:v>
                </c:pt>
                <c:pt idx="6">
                  <c:v>742</c:v>
                </c:pt>
                <c:pt idx="7">
                  <c:v>587</c:v>
                </c:pt>
                <c:pt idx="8">
                  <c:v>1433</c:v>
                </c:pt>
                <c:pt idx="9">
                  <c:v>241</c:v>
                </c:pt>
                <c:pt idx="10">
                  <c:v>578</c:v>
                </c:pt>
                <c:pt idx="11">
                  <c:v>1203</c:v>
                </c:pt>
              </c:numCache>
            </c:numRef>
          </c:val>
        </c:ser>
        <c:ser>
          <c:idx val="2"/>
          <c:order val="1"/>
          <c:tx>
            <c:strRef>
              <c:f>'Neobsazenost podle vzdělání'!$W$24</c:f>
              <c:strCache>
                <c:ptCount val="1"/>
                <c:pt idx="0">
                  <c:v>6-12M</c:v>
                </c:pt>
              </c:strCache>
            </c:strRef>
          </c:tx>
          <c:spPr>
            <a:solidFill>
              <a:schemeClr val="accent2">
                <a:lumMod val="60000"/>
                <a:lumOff val="40000"/>
              </a:schemeClr>
            </a:solidFill>
          </c:spPr>
          <c:invertIfNegative val="0"/>
          <c:cat>
            <c:strRef>
              <c:f>'[struktura UoZ.xlsx]List2'!$B$70:$B$81</c:f>
              <c:strCache>
                <c:ptCount val="12"/>
                <c:pt idx="0">
                  <c:v>Bez + neúpl. ZŠ</c:v>
                </c:pt>
                <c:pt idx="1">
                  <c:v>ZŠ + praktická škola</c:v>
                </c:pt>
                <c:pt idx="2">
                  <c:v>Nižší střední</c:v>
                </c:pt>
                <c:pt idx="3">
                  <c:v>Nižší střední odborné</c:v>
                </c:pt>
                <c:pt idx="4">
                  <c:v>Střední odb. (vyučen)</c:v>
                </c:pt>
                <c:pt idx="5">
                  <c:v>Střední odb. bez mat. a vyuč.</c:v>
                </c:pt>
                <c:pt idx="6">
                  <c:v>ÚSV</c:v>
                </c:pt>
                <c:pt idx="7">
                  <c:v>ÚSO (vyuč.+ mat.)</c:v>
                </c:pt>
                <c:pt idx="8">
                  <c:v>ÚSO s maturitou (bez vyučení)</c:v>
                </c:pt>
                <c:pt idx="9">
                  <c:v>VOŠ (vč. Konz.)</c:v>
                </c:pt>
                <c:pt idx="10">
                  <c:v>Bakalář.</c:v>
                </c:pt>
                <c:pt idx="11">
                  <c:v>VŠ (vč. doktor.)</c:v>
                </c:pt>
              </c:strCache>
            </c:strRef>
          </c:cat>
          <c:val>
            <c:numRef>
              <c:f>'Neobsazenost podle vzdělání'!$W$25:$W$36</c:f>
              <c:numCache>
                <c:formatCode>#,##0</c:formatCode>
                <c:ptCount val="12"/>
                <c:pt idx="0">
                  <c:v>769</c:v>
                </c:pt>
                <c:pt idx="1">
                  <c:v>12386</c:v>
                </c:pt>
                <c:pt idx="2">
                  <c:v>441</c:v>
                </c:pt>
                <c:pt idx="3">
                  <c:v>1563</c:v>
                </c:pt>
                <c:pt idx="4">
                  <c:v>8333</c:v>
                </c:pt>
                <c:pt idx="5">
                  <c:v>275</c:v>
                </c:pt>
                <c:pt idx="6">
                  <c:v>743</c:v>
                </c:pt>
                <c:pt idx="7">
                  <c:v>824</c:v>
                </c:pt>
                <c:pt idx="8">
                  <c:v>1912</c:v>
                </c:pt>
                <c:pt idx="9">
                  <c:v>349</c:v>
                </c:pt>
                <c:pt idx="10">
                  <c:v>626</c:v>
                </c:pt>
                <c:pt idx="11">
                  <c:v>1200</c:v>
                </c:pt>
              </c:numCache>
            </c:numRef>
          </c:val>
        </c:ser>
        <c:ser>
          <c:idx val="1"/>
          <c:order val="2"/>
          <c:tx>
            <c:strRef>
              <c:f>'Neobsazenost podle vzdělání'!$V$24</c:f>
              <c:strCache>
                <c:ptCount val="1"/>
                <c:pt idx="0">
                  <c:v>3-6M</c:v>
                </c:pt>
              </c:strCache>
            </c:strRef>
          </c:tx>
          <c:spPr>
            <a:solidFill>
              <a:schemeClr val="tx2">
                <a:lumMod val="60000"/>
                <a:lumOff val="40000"/>
              </a:schemeClr>
            </a:solidFill>
          </c:spPr>
          <c:invertIfNegative val="0"/>
          <c:cat>
            <c:strRef>
              <c:f>'[struktura UoZ.xlsx]List2'!$B$70:$B$81</c:f>
              <c:strCache>
                <c:ptCount val="12"/>
                <c:pt idx="0">
                  <c:v>Bez + neúpl. ZŠ</c:v>
                </c:pt>
                <c:pt idx="1">
                  <c:v>ZŠ + praktická škola</c:v>
                </c:pt>
                <c:pt idx="2">
                  <c:v>Nižší střední</c:v>
                </c:pt>
                <c:pt idx="3">
                  <c:v>Nižší střední odborné</c:v>
                </c:pt>
                <c:pt idx="4">
                  <c:v>Střední odb. (vyučen)</c:v>
                </c:pt>
                <c:pt idx="5">
                  <c:v>Střední odb. bez mat. a vyuč.</c:v>
                </c:pt>
                <c:pt idx="6">
                  <c:v>ÚSV</c:v>
                </c:pt>
                <c:pt idx="7">
                  <c:v>ÚSO (vyuč.+ mat.)</c:v>
                </c:pt>
                <c:pt idx="8">
                  <c:v>ÚSO s maturitou (bez vyučení)</c:v>
                </c:pt>
                <c:pt idx="9">
                  <c:v>VOŠ (vč. Konz.)</c:v>
                </c:pt>
                <c:pt idx="10">
                  <c:v>Bakalář.</c:v>
                </c:pt>
                <c:pt idx="11">
                  <c:v>VŠ (vč. doktor.)</c:v>
                </c:pt>
              </c:strCache>
            </c:strRef>
          </c:cat>
          <c:val>
            <c:numRef>
              <c:f>'Neobsazenost podle vzdělání'!$V$25:$V$36</c:f>
              <c:numCache>
                <c:formatCode>#,##0</c:formatCode>
                <c:ptCount val="12"/>
                <c:pt idx="0">
                  <c:v>189</c:v>
                </c:pt>
                <c:pt idx="1">
                  <c:v>10227</c:v>
                </c:pt>
                <c:pt idx="2">
                  <c:v>295</c:v>
                </c:pt>
                <c:pt idx="3">
                  <c:v>1260</c:v>
                </c:pt>
                <c:pt idx="4">
                  <c:v>7212</c:v>
                </c:pt>
                <c:pt idx="5">
                  <c:v>107</c:v>
                </c:pt>
                <c:pt idx="6">
                  <c:v>483</c:v>
                </c:pt>
                <c:pt idx="7">
                  <c:v>597</c:v>
                </c:pt>
                <c:pt idx="8">
                  <c:v>1535</c:v>
                </c:pt>
                <c:pt idx="9">
                  <c:v>129</c:v>
                </c:pt>
                <c:pt idx="10">
                  <c:v>348</c:v>
                </c:pt>
                <c:pt idx="11">
                  <c:v>711</c:v>
                </c:pt>
              </c:numCache>
            </c:numRef>
          </c:val>
        </c:ser>
        <c:ser>
          <c:idx val="0"/>
          <c:order val="3"/>
          <c:tx>
            <c:strRef>
              <c:f>'Neobsazenost podle vzdělání'!$U$24</c:f>
              <c:strCache>
                <c:ptCount val="1"/>
                <c:pt idx="0">
                  <c:v>0-3M</c:v>
                </c:pt>
              </c:strCache>
            </c:strRef>
          </c:tx>
          <c:spPr>
            <a:solidFill>
              <a:schemeClr val="tx2">
                <a:lumMod val="20000"/>
                <a:lumOff val="80000"/>
              </a:schemeClr>
            </a:solidFill>
          </c:spPr>
          <c:invertIfNegative val="0"/>
          <c:cat>
            <c:strRef>
              <c:f>'[struktura UoZ.xlsx]List2'!$B$70:$B$81</c:f>
              <c:strCache>
                <c:ptCount val="12"/>
                <c:pt idx="0">
                  <c:v>Bez + neúpl. ZŠ</c:v>
                </c:pt>
                <c:pt idx="1">
                  <c:v>ZŠ + praktická škola</c:v>
                </c:pt>
                <c:pt idx="2">
                  <c:v>Nižší střední</c:v>
                </c:pt>
                <c:pt idx="3">
                  <c:v>Nižší střední odborné</c:v>
                </c:pt>
                <c:pt idx="4">
                  <c:v>Střední odb. (vyučen)</c:v>
                </c:pt>
                <c:pt idx="5">
                  <c:v>Střední odb. bez mat. a vyuč.</c:v>
                </c:pt>
                <c:pt idx="6">
                  <c:v>ÚSV</c:v>
                </c:pt>
                <c:pt idx="7">
                  <c:v>ÚSO (vyuč.+ mat.)</c:v>
                </c:pt>
                <c:pt idx="8">
                  <c:v>ÚSO s maturitou (bez vyučení)</c:v>
                </c:pt>
                <c:pt idx="9">
                  <c:v>VOŠ (vč. Konz.)</c:v>
                </c:pt>
                <c:pt idx="10">
                  <c:v>Bakalář.</c:v>
                </c:pt>
                <c:pt idx="11">
                  <c:v>VŠ (vč. doktor.)</c:v>
                </c:pt>
              </c:strCache>
            </c:strRef>
          </c:cat>
          <c:val>
            <c:numRef>
              <c:f>'Neobsazenost podle vzdělání'!$U$25:$U$36</c:f>
              <c:numCache>
                <c:formatCode>#,##0</c:formatCode>
                <c:ptCount val="12"/>
                <c:pt idx="0">
                  <c:v>2105</c:v>
                </c:pt>
                <c:pt idx="1">
                  <c:v>23762</c:v>
                </c:pt>
                <c:pt idx="2">
                  <c:v>523</c:v>
                </c:pt>
                <c:pt idx="3">
                  <c:v>3052</c:v>
                </c:pt>
                <c:pt idx="4">
                  <c:v>14905</c:v>
                </c:pt>
                <c:pt idx="5">
                  <c:v>360</c:v>
                </c:pt>
                <c:pt idx="6">
                  <c:v>1445</c:v>
                </c:pt>
                <c:pt idx="7">
                  <c:v>1624</c:v>
                </c:pt>
                <c:pt idx="8">
                  <c:v>3657</c:v>
                </c:pt>
                <c:pt idx="9">
                  <c:v>534</c:v>
                </c:pt>
                <c:pt idx="10">
                  <c:v>597</c:v>
                </c:pt>
                <c:pt idx="11">
                  <c:v>1376</c:v>
                </c:pt>
              </c:numCache>
            </c:numRef>
          </c:val>
        </c:ser>
        <c:dLbls>
          <c:showLegendKey val="0"/>
          <c:showVal val="0"/>
          <c:showCatName val="0"/>
          <c:showSerName val="0"/>
          <c:showPercent val="0"/>
          <c:showBubbleSize val="0"/>
        </c:dLbls>
        <c:gapWidth val="150"/>
        <c:overlap val="100"/>
        <c:axId val="68530176"/>
        <c:axId val="68531712"/>
      </c:barChart>
      <c:lineChart>
        <c:grouping val="standard"/>
        <c:varyColors val="0"/>
        <c:ser>
          <c:idx val="4"/>
          <c:order val="4"/>
          <c:tx>
            <c:strRef>
              <c:f>'Neobsazenost podle vzdělání'!$T$22:$T$24</c:f>
              <c:strCache>
                <c:ptCount val="1"/>
                <c:pt idx="0">
                  <c:v>celkem</c:v>
                </c:pt>
              </c:strCache>
            </c:strRef>
          </c:tx>
          <c:spPr>
            <a:ln w="19050">
              <a:solidFill>
                <a:srgbClr val="00B050"/>
              </a:solidFill>
            </a:ln>
          </c:spPr>
          <c:marker>
            <c:symbol val="none"/>
          </c:marker>
          <c:cat>
            <c:strRef>
              <c:f>'[struktura UoZ.xlsx]List2'!$B$70:$B$81</c:f>
              <c:strCache>
                <c:ptCount val="12"/>
                <c:pt idx="0">
                  <c:v>Bez + neúpl. ZŠ</c:v>
                </c:pt>
                <c:pt idx="1">
                  <c:v>ZŠ + praktická škola</c:v>
                </c:pt>
                <c:pt idx="2">
                  <c:v>Nižší střední</c:v>
                </c:pt>
                <c:pt idx="3">
                  <c:v>Nižší střední odborné</c:v>
                </c:pt>
                <c:pt idx="4">
                  <c:v>Střední odb. (vyučen)</c:v>
                </c:pt>
                <c:pt idx="5">
                  <c:v>Střední odb. bez mat. a vyuč.</c:v>
                </c:pt>
                <c:pt idx="6">
                  <c:v>ÚSV</c:v>
                </c:pt>
                <c:pt idx="7">
                  <c:v>ÚSO (vyuč.+ mat.)</c:v>
                </c:pt>
                <c:pt idx="8">
                  <c:v>ÚSO s maturitou (bez vyučení)</c:v>
                </c:pt>
                <c:pt idx="9">
                  <c:v>VOŠ (vč. Konz.)</c:v>
                </c:pt>
                <c:pt idx="10">
                  <c:v>Bakalář.</c:v>
                </c:pt>
                <c:pt idx="11">
                  <c:v>VŠ (vč. doktor.)</c:v>
                </c:pt>
              </c:strCache>
            </c:strRef>
          </c:cat>
          <c:val>
            <c:numRef>
              <c:f>'Neobsazenost podle vzdělání'!$T$25:$T$36</c:f>
              <c:numCache>
                <c:formatCode>#,##0</c:formatCode>
                <c:ptCount val="12"/>
                <c:pt idx="0">
                  <c:v>4305</c:v>
                </c:pt>
                <c:pt idx="1">
                  <c:v>57507</c:v>
                </c:pt>
                <c:pt idx="2">
                  <c:v>1572</c:v>
                </c:pt>
                <c:pt idx="3">
                  <c:v>7016</c:v>
                </c:pt>
                <c:pt idx="4">
                  <c:v>37725</c:v>
                </c:pt>
                <c:pt idx="5">
                  <c:v>896</c:v>
                </c:pt>
                <c:pt idx="6">
                  <c:v>3413</c:v>
                </c:pt>
                <c:pt idx="7">
                  <c:v>3632</c:v>
                </c:pt>
                <c:pt idx="8">
                  <c:v>8537</c:v>
                </c:pt>
                <c:pt idx="9">
                  <c:v>1253</c:v>
                </c:pt>
                <c:pt idx="10">
                  <c:v>2149</c:v>
                </c:pt>
                <c:pt idx="11">
                  <c:v>4490</c:v>
                </c:pt>
              </c:numCache>
            </c:numRef>
          </c:val>
          <c:smooth val="0"/>
        </c:ser>
        <c:dLbls>
          <c:showLegendKey val="0"/>
          <c:showVal val="0"/>
          <c:showCatName val="0"/>
          <c:showSerName val="0"/>
          <c:showPercent val="0"/>
          <c:showBubbleSize val="0"/>
        </c:dLbls>
        <c:marker val="1"/>
        <c:smooth val="0"/>
        <c:axId val="68551808"/>
        <c:axId val="68533248"/>
      </c:lineChart>
      <c:catAx>
        <c:axId val="68530176"/>
        <c:scaling>
          <c:orientation val="minMax"/>
        </c:scaling>
        <c:delete val="0"/>
        <c:axPos val="b"/>
        <c:majorTickMark val="out"/>
        <c:minorTickMark val="none"/>
        <c:tickLblPos val="nextTo"/>
        <c:txPr>
          <a:bodyPr/>
          <a:lstStyle/>
          <a:p>
            <a:pPr>
              <a:defRPr sz="800"/>
            </a:pPr>
            <a:endParaRPr lang="cs-CZ"/>
          </a:p>
        </c:txPr>
        <c:crossAx val="68531712"/>
        <c:crosses val="autoZero"/>
        <c:auto val="1"/>
        <c:lblAlgn val="ctr"/>
        <c:lblOffset val="100"/>
        <c:noMultiLvlLbl val="0"/>
      </c:catAx>
      <c:valAx>
        <c:axId val="68531712"/>
        <c:scaling>
          <c:orientation val="minMax"/>
        </c:scaling>
        <c:delete val="0"/>
        <c:axPos val="l"/>
        <c:majorGridlines/>
        <c:numFmt formatCode="0%" sourceLinked="1"/>
        <c:majorTickMark val="out"/>
        <c:minorTickMark val="none"/>
        <c:tickLblPos val="nextTo"/>
        <c:txPr>
          <a:bodyPr rot="-5400000" vert="horz"/>
          <a:lstStyle/>
          <a:p>
            <a:pPr>
              <a:defRPr sz="800"/>
            </a:pPr>
            <a:endParaRPr lang="cs-CZ"/>
          </a:p>
        </c:txPr>
        <c:crossAx val="68530176"/>
        <c:crosses val="autoZero"/>
        <c:crossBetween val="between"/>
        <c:majorUnit val="0.25"/>
        <c:minorUnit val="5.000000000000001E-2"/>
      </c:valAx>
      <c:valAx>
        <c:axId val="68533248"/>
        <c:scaling>
          <c:orientation val="minMax"/>
          <c:max val="60000"/>
          <c:min val="0"/>
        </c:scaling>
        <c:delete val="0"/>
        <c:axPos val="r"/>
        <c:majorGridlines/>
        <c:minorGridlines/>
        <c:numFmt formatCode="#,##0" sourceLinked="1"/>
        <c:majorTickMark val="out"/>
        <c:minorTickMark val="none"/>
        <c:tickLblPos val="nextTo"/>
        <c:txPr>
          <a:bodyPr/>
          <a:lstStyle/>
          <a:p>
            <a:pPr>
              <a:defRPr sz="800"/>
            </a:pPr>
            <a:endParaRPr lang="cs-CZ"/>
          </a:p>
        </c:txPr>
        <c:crossAx val="68551808"/>
        <c:crosses val="max"/>
        <c:crossBetween val="between"/>
        <c:majorUnit val="15000"/>
        <c:dispUnits>
          <c:builtInUnit val="thousands"/>
          <c:dispUnitsLbl>
            <c:layout>
              <c:manualLayout>
                <c:xMode val="edge"/>
                <c:yMode val="edge"/>
                <c:x val="0.93446568228112981"/>
                <c:y val="3.2219722534683165E-2"/>
              </c:manualLayout>
            </c:layout>
            <c:txPr>
              <a:bodyPr rot="0" vert="horz"/>
              <a:lstStyle/>
              <a:p>
                <a:pPr>
                  <a:defRPr sz="800"/>
                </a:pPr>
                <a:endParaRPr lang="cs-CZ"/>
              </a:p>
            </c:txPr>
          </c:dispUnitsLbl>
        </c:dispUnits>
      </c:valAx>
      <c:catAx>
        <c:axId val="68551808"/>
        <c:scaling>
          <c:orientation val="minMax"/>
        </c:scaling>
        <c:delete val="1"/>
        <c:axPos val="b"/>
        <c:majorTickMark val="out"/>
        <c:minorTickMark val="none"/>
        <c:tickLblPos val="nextTo"/>
        <c:crossAx val="68533248"/>
        <c:crosses val="autoZero"/>
        <c:auto val="1"/>
        <c:lblAlgn val="ctr"/>
        <c:lblOffset val="100"/>
        <c:noMultiLvlLbl val="0"/>
      </c:catAx>
    </c:plotArea>
    <c:legend>
      <c:legendPos val="t"/>
      <c:overlay val="0"/>
      <c:txPr>
        <a:bodyPr/>
        <a:lstStyle/>
        <a:p>
          <a:pPr>
            <a:defRPr sz="800"/>
          </a:pPr>
          <a:endParaRPr lang="cs-CZ"/>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785324380464715E-2"/>
          <c:y val="0.14351851851851852"/>
          <c:w val="0.88543242677487399"/>
          <c:h val="0.4127606445027705"/>
        </c:manualLayout>
      </c:layout>
      <c:barChart>
        <c:barDir val="bar"/>
        <c:grouping val="percentStacked"/>
        <c:varyColors val="0"/>
        <c:ser>
          <c:idx val="0"/>
          <c:order val="0"/>
          <c:tx>
            <c:strRef>
              <c:f>'Neobsazenost podle vzdělání'!$S$25</c:f>
              <c:strCache>
                <c:ptCount val="1"/>
                <c:pt idx="0">
                  <c:v>bez a neúplné ZŠ</c:v>
                </c:pt>
              </c:strCache>
            </c:strRef>
          </c:tx>
          <c:spPr>
            <a:solidFill>
              <a:schemeClr val="accent2">
                <a:lumMod val="20000"/>
                <a:lumOff val="80000"/>
              </a:schemeClr>
            </a:solidFill>
          </c:spPr>
          <c:invertIfNegative val="0"/>
          <c:cat>
            <c:strRef>
              <c:f>('Neobsazenost podle vzdělání'!$U$24,'Neobsazenost podle vzdělání'!$X$24)</c:f>
              <c:strCache>
                <c:ptCount val="2"/>
                <c:pt idx="0">
                  <c:v>0-3M</c:v>
                </c:pt>
                <c:pt idx="1">
                  <c:v>nad 12M</c:v>
                </c:pt>
              </c:strCache>
            </c:strRef>
          </c:cat>
          <c:val>
            <c:numRef>
              <c:f>('Neobsazenost podle vzdělání'!$U$25,'Neobsazenost podle vzdělání'!$X$25)</c:f>
              <c:numCache>
                <c:formatCode>#,##0</c:formatCode>
                <c:ptCount val="2"/>
                <c:pt idx="0">
                  <c:v>2105</c:v>
                </c:pt>
                <c:pt idx="1">
                  <c:v>1242</c:v>
                </c:pt>
              </c:numCache>
            </c:numRef>
          </c:val>
        </c:ser>
        <c:ser>
          <c:idx val="1"/>
          <c:order val="1"/>
          <c:tx>
            <c:strRef>
              <c:f>'Neobsazenost podle vzdělání'!$S$26</c:f>
              <c:strCache>
                <c:ptCount val="1"/>
                <c:pt idx="0">
                  <c:v>ZŠ</c:v>
                </c:pt>
              </c:strCache>
            </c:strRef>
          </c:tx>
          <c:spPr>
            <a:solidFill>
              <a:schemeClr val="accent2">
                <a:lumMod val="60000"/>
                <a:lumOff val="40000"/>
              </a:schemeClr>
            </a:solidFill>
          </c:spPr>
          <c:invertIfNegative val="0"/>
          <c:cat>
            <c:strRef>
              <c:f>('Neobsazenost podle vzdělání'!$U$24,'Neobsazenost podle vzdělání'!$X$24)</c:f>
              <c:strCache>
                <c:ptCount val="2"/>
                <c:pt idx="0">
                  <c:v>0-3M</c:v>
                </c:pt>
                <c:pt idx="1">
                  <c:v>nad 12M</c:v>
                </c:pt>
              </c:strCache>
            </c:strRef>
          </c:cat>
          <c:val>
            <c:numRef>
              <c:f>('Neobsazenost podle vzdělání'!$U$26,'Neobsazenost podle vzdělání'!$X$26)</c:f>
              <c:numCache>
                <c:formatCode>#,##0</c:formatCode>
                <c:ptCount val="2"/>
                <c:pt idx="0">
                  <c:v>23762</c:v>
                </c:pt>
                <c:pt idx="1">
                  <c:v>11132</c:v>
                </c:pt>
              </c:numCache>
            </c:numRef>
          </c:val>
        </c:ser>
        <c:ser>
          <c:idx val="2"/>
          <c:order val="2"/>
          <c:tx>
            <c:strRef>
              <c:f>'Neobsazenost podle vzdělání'!$S$27</c:f>
              <c:strCache>
                <c:ptCount val="1"/>
                <c:pt idx="0">
                  <c:v>nižší střední</c:v>
                </c:pt>
              </c:strCache>
            </c:strRef>
          </c:tx>
          <c:spPr>
            <a:solidFill>
              <a:schemeClr val="accent4">
                <a:lumMod val="60000"/>
                <a:lumOff val="40000"/>
              </a:schemeClr>
            </a:solidFill>
          </c:spPr>
          <c:invertIfNegative val="0"/>
          <c:cat>
            <c:strRef>
              <c:f>('Neobsazenost podle vzdělání'!$U$24,'Neobsazenost podle vzdělání'!$X$24)</c:f>
              <c:strCache>
                <c:ptCount val="2"/>
                <c:pt idx="0">
                  <c:v>0-3M</c:v>
                </c:pt>
                <c:pt idx="1">
                  <c:v>nad 12M</c:v>
                </c:pt>
              </c:strCache>
            </c:strRef>
          </c:cat>
          <c:val>
            <c:numRef>
              <c:f>('Neobsazenost podle vzdělání'!$U$27,'Neobsazenost podle vzdělání'!$X$27)</c:f>
              <c:numCache>
                <c:formatCode>#,##0</c:formatCode>
                <c:ptCount val="2"/>
                <c:pt idx="0">
                  <c:v>523</c:v>
                </c:pt>
                <c:pt idx="1">
                  <c:v>313</c:v>
                </c:pt>
              </c:numCache>
            </c:numRef>
          </c:val>
        </c:ser>
        <c:ser>
          <c:idx val="3"/>
          <c:order val="3"/>
          <c:tx>
            <c:strRef>
              <c:f>'Neobsazenost podle vzdělání'!$S$28</c:f>
              <c:strCache>
                <c:ptCount val="1"/>
                <c:pt idx="0">
                  <c:v>nižší střední odborné</c:v>
                </c:pt>
              </c:strCache>
            </c:strRef>
          </c:tx>
          <c:spPr>
            <a:solidFill>
              <a:srgbClr val="CC99FF"/>
            </a:solidFill>
          </c:spPr>
          <c:invertIfNegative val="0"/>
          <c:cat>
            <c:strRef>
              <c:f>('Neobsazenost podle vzdělání'!$U$24,'Neobsazenost podle vzdělání'!$X$24)</c:f>
              <c:strCache>
                <c:ptCount val="2"/>
                <c:pt idx="0">
                  <c:v>0-3M</c:v>
                </c:pt>
                <c:pt idx="1">
                  <c:v>nad 12M</c:v>
                </c:pt>
              </c:strCache>
            </c:strRef>
          </c:cat>
          <c:val>
            <c:numRef>
              <c:f>('Neobsazenost podle vzdělání'!$U$28,'Neobsazenost podle vzdělání'!$X$28)</c:f>
              <c:numCache>
                <c:formatCode>#,##0</c:formatCode>
                <c:ptCount val="2"/>
                <c:pt idx="0">
                  <c:v>3052</c:v>
                </c:pt>
                <c:pt idx="1">
                  <c:v>1141</c:v>
                </c:pt>
              </c:numCache>
            </c:numRef>
          </c:val>
        </c:ser>
        <c:ser>
          <c:idx val="4"/>
          <c:order val="4"/>
          <c:tx>
            <c:strRef>
              <c:f>'Neobsazenost podle vzdělání'!$S$29</c:f>
              <c:strCache>
                <c:ptCount val="1"/>
                <c:pt idx="0">
                  <c:v>Střední odb. (vyučen)</c:v>
                </c:pt>
              </c:strCache>
            </c:strRef>
          </c:tx>
          <c:spPr>
            <a:solidFill>
              <a:schemeClr val="accent1">
                <a:lumMod val="40000"/>
                <a:lumOff val="60000"/>
              </a:schemeClr>
            </a:solidFill>
          </c:spPr>
          <c:invertIfNegative val="0"/>
          <c:cat>
            <c:strRef>
              <c:f>('Neobsazenost podle vzdělání'!$U$24,'Neobsazenost podle vzdělání'!$X$24)</c:f>
              <c:strCache>
                <c:ptCount val="2"/>
                <c:pt idx="0">
                  <c:v>0-3M</c:v>
                </c:pt>
                <c:pt idx="1">
                  <c:v>nad 12M</c:v>
                </c:pt>
              </c:strCache>
            </c:strRef>
          </c:cat>
          <c:val>
            <c:numRef>
              <c:f>('Neobsazenost podle vzdělání'!$U$29,'Neobsazenost podle vzdělání'!$X$29)</c:f>
              <c:numCache>
                <c:formatCode>#,##0</c:formatCode>
                <c:ptCount val="2"/>
                <c:pt idx="0">
                  <c:v>14905</c:v>
                </c:pt>
                <c:pt idx="1">
                  <c:v>7275</c:v>
                </c:pt>
              </c:numCache>
            </c:numRef>
          </c:val>
        </c:ser>
        <c:ser>
          <c:idx val="5"/>
          <c:order val="5"/>
          <c:tx>
            <c:strRef>
              <c:f>'Neobsazenost podle vzdělání'!$S$30</c:f>
              <c:strCache>
                <c:ptCount val="1"/>
                <c:pt idx="0">
                  <c:v>Střední odb. bez mat. a vyuč.</c:v>
                </c:pt>
              </c:strCache>
            </c:strRef>
          </c:tx>
          <c:spPr>
            <a:solidFill>
              <a:schemeClr val="accent1">
                <a:lumMod val="75000"/>
              </a:schemeClr>
            </a:solidFill>
          </c:spPr>
          <c:invertIfNegative val="0"/>
          <c:cat>
            <c:strRef>
              <c:f>('Neobsazenost podle vzdělání'!$U$24,'Neobsazenost podle vzdělání'!$X$24)</c:f>
              <c:strCache>
                <c:ptCount val="2"/>
                <c:pt idx="0">
                  <c:v>0-3M</c:v>
                </c:pt>
                <c:pt idx="1">
                  <c:v>nad 12M</c:v>
                </c:pt>
              </c:strCache>
            </c:strRef>
          </c:cat>
          <c:val>
            <c:numRef>
              <c:f>('Neobsazenost podle vzdělání'!$U$30,'Neobsazenost podle vzdělání'!$X$30)</c:f>
              <c:numCache>
                <c:formatCode>#,##0</c:formatCode>
                <c:ptCount val="2"/>
                <c:pt idx="0">
                  <c:v>360</c:v>
                </c:pt>
                <c:pt idx="1">
                  <c:v>154</c:v>
                </c:pt>
              </c:numCache>
            </c:numRef>
          </c:val>
        </c:ser>
        <c:ser>
          <c:idx val="6"/>
          <c:order val="6"/>
          <c:tx>
            <c:strRef>
              <c:f>'Neobsazenost podle vzdělání'!$S$31</c:f>
              <c:strCache>
                <c:ptCount val="1"/>
                <c:pt idx="0">
                  <c:v> ÚSV</c:v>
                </c:pt>
              </c:strCache>
            </c:strRef>
          </c:tx>
          <c:spPr>
            <a:solidFill>
              <a:srgbClr val="99CCFF"/>
            </a:solidFill>
          </c:spPr>
          <c:invertIfNegative val="0"/>
          <c:cat>
            <c:strRef>
              <c:f>('Neobsazenost podle vzdělání'!$U$24,'Neobsazenost podle vzdělání'!$X$24)</c:f>
              <c:strCache>
                <c:ptCount val="2"/>
                <c:pt idx="0">
                  <c:v>0-3M</c:v>
                </c:pt>
                <c:pt idx="1">
                  <c:v>nad 12M</c:v>
                </c:pt>
              </c:strCache>
            </c:strRef>
          </c:cat>
          <c:val>
            <c:numRef>
              <c:f>('Neobsazenost podle vzdělání'!$U$31,'Neobsazenost podle vzdělání'!$X$31)</c:f>
              <c:numCache>
                <c:formatCode>#,##0</c:formatCode>
                <c:ptCount val="2"/>
                <c:pt idx="0">
                  <c:v>1445</c:v>
                </c:pt>
                <c:pt idx="1">
                  <c:v>742</c:v>
                </c:pt>
              </c:numCache>
            </c:numRef>
          </c:val>
        </c:ser>
        <c:ser>
          <c:idx val="7"/>
          <c:order val="7"/>
          <c:tx>
            <c:strRef>
              <c:f>'Neobsazenost podle vzdělání'!$S$32</c:f>
              <c:strCache>
                <c:ptCount val="1"/>
                <c:pt idx="0">
                  <c:v>ÚSO (vyuč.+ mat.)</c:v>
                </c:pt>
              </c:strCache>
            </c:strRef>
          </c:tx>
          <c:spPr>
            <a:solidFill>
              <a:srgbClr val="00B0F0"/>
            </a:solidFill>
          </c:spPr>
          <c:invertIfNegative val="0"/>
          <c:cat>
            <c:strRef>
              <c:f>('Neobsazenost podle vzdělání'!$U$24,'Neobsazenost podle vzdělání'!$X$24)</c:f>
              <c:strCache>
                <c:ptCount val="2"/>
                <c:pt idx="0">
                  <c:v>0-3M</c:v>
                </c:pt>
                <c:pt idx="1">
                  <c:v>nad 12M</c:v>
                </c:pt>
              </c:strCache>
            </c:strRef>
          </c:cat>
          <c:val>
            <c:numRef>
              <c:f>('Neobsazenost podle vzdělání'!$U$32,'Neobsazenost podle vzdělání'!$X$32)</c:f>
              <c:numCache>
                <c:formatCode>#,##0</c:formatCode>
                <c:ptCount val="2"/>
                <c:pt idx="0">
                  <c:v>1624</c:v>
                </c:pt>
                <c:pt idx="1">
                  <c:v>587</c:v>
                </c:pt>
              </c:numCache>
            </c:numRef>
          </c:val>
        </c:ser>
        <c:ser>
          <c:idx val="8"/>
          <c:order val="8"/>
          <c:tx>
            <c:strRef>
              <c:f>'Neobsazenost podle vzdělání'!$S$33</c:f>
              <c:strCache>
                <c:ptCount val="1"/>
                <c:pt idx="0">
                  <c:v>ÚSO s maturitou (bez vyučení)</c:v>
                </c:pt>
              </c:strCache>
            </c:strRef>
          </c:tx>
          <c:spPr>
            <a:solidFill>
              <a:schemeClr val="tx2"/>
            </a:solidFill>
          </c:spPr>
          <c:invertIfNegative val="0"/>
          <c:cat>
            <c:strRef>
              <c:f>('Neobsazenost podle vzdělání'!$U$24,'Neobsazenost podle vzdělání'!$X$24)</c:f>
              <c:strCache>
                <c:ptCount val="2"/>
                <c:pt idx="0">
                  <c:v>0-3M</c:v>
                </c:pt>
                <c:pt idx="1">
                  <c:v>nad 12M</c:v>
                </c:pt>
              </c:strCache>
            </c:strRef>
          </c:cat>
          <c:val>
            <c:numRef>
              <c:f>('Neobsazenost podle vzdělání'!$U$33,'Neobsazenost podle vzdělání'!$X$33)</c:f>
              <c:numCache>
                <c:formatCode>#,##0</c:formatCode>
                <c:ptCount val="2"/>
                <c:pt idx="0">
                  <c:v>3657</c:v>
                </c:pt>
                <c:pt idx="1">
                  <c:v>1433</c:v>
                </c:pt>
              </c:numCache>
            </c:numRef>
          </c:val>
        </c:ser>
        <c:ser>
          <c:idx val="9"/>
          <c:order val="9"/>
          <c:tx>
            <c:strRef>
              <c:f>'Neobsazenost podle vzdělání'!$S$34</c:f>
              <c:strCache>
                <c:ptCount val="1"/>
                <c:pt idx="0">
                  <c:v>VOŠ</c:v>
                </c:pt>
              </c:strCache>
            </c:strRef>
          </c:tx>
          <c:spPr>
            <a:solidFill>
              <a:schemeClr val="accent5">
                <a:lumMod val="60000"/>
                <a:lumOff val="40000"/>
              </a:schemeClr>
            </a:solidFill>
          </c:spPr>
          <c:invertIfNegative val="0"/>
          <c:cat>
            <c:strRef>
              <c:f>('Neobsazenost podle vzdělání'!$U$24,'Neobsazenost podle vzdělání'!$X$24)</c:f>
              <c:strCache>
                <c:ptCount val="2"/>
                <c:pt idx="0">
                  <c:v>0-3M</c:v>
                </c:pt>
                <c:pt idx="1">
                  <c:v>nad 12M</c:v>
                </c:pt>
              </c:strCache>
            </c:strRef>
          </c:cat>
          <c:val>
            <c:numRef>
              <c:f>('Neobsazenost podle vzdělání'!$U$34,'Neobsazenost podle vzdělání'!$X$34)</c:f>
              <c:numCache>
                <c:formatCode>#,##0</c:formatCode>
                <c:ptCount val="2"/>
                <c:pt idx="0">
                  <c:v>534</c:v>
                </c:pt>
                <c:pt idx="1">
                  <c:v>241</c:v>
                </c:pt>
              </c:numCache>
            </c:numRef>
          </c:val>
        </c:ser>
        <c:ser>
          <c:idx val="10"/>
          <c:order val="10"/>
          <c:tx>
            <c:strRef>
              <c:f>'Neobsazenost podle vzdělání'!$S$35</c:f>
              <c:strCache>
                <c:ptCount val="1"/>
                <c:pt idx="0">
                  <c:v>bakalář.</c:v>
                </c:pt>
              </c:strCache>
            </c:strRef>
          </c:tx>
          <c:spPr>
            <a:solidFill>
              <a:schemeClr val="accent3">
                <a:lumMod val="60000"/>
                <a:lumOff val="40000"/>
              </a:schemeClr>
            </a:solidFill>
          </c:spPr>
          <c:invertIfNegative val="0"/>
          <c:cat>
            <c:strRef>
              <c:f>('Neobsazenost podle vzdělání'!$U$24,'Neobsazenost podle vzdělání'!$X$24)</c:f>
              <c:strCache>
                <c:ptCount val="2"/>
                <c:pt idx="0">
                  <c:v>0-3M</c:v>
                </c:pt>
                <c:pt idx="1">
                  <c:v>nad 12M</c:v>
                </c:pt>
              </c:strCache>
            </c:strRef>
          </c:cat>
          <c:val>
            <c:numRef>
              <c:f>('Neobsazenost podle vzdělání'!$U$35,'Neobsazenost podle vzdělání'!$X$35)</c:f>
              <c:numCache>
                <c:formatCode>#,##0</c:formatCode>
                <c:ptCount val="2"/>
                <c:pt idx="0">
                  <c:v>597</c:v>
                </c:pt>
                <c:pt idx="1">
                  <c:v>578</c:v>
                </c:pt>
              </c:numCache>
            </c:numRef>
          </c:val>
        </c:ser>
        <c:ser>
          <c:idx val="11"/>
          <c:order val="11"/>
          <c:tx>
            <c:strRef>
              <c:f>'Neobsazenost podle vzdělání'!$S$36</c:f>
              <c:strCache>
                <c:ptCount val="1"/>
                <c:pt idx="0">
                  <c:v>VŠ (vč. doktor.)</c:v>
                </c:pt>
              </c:strCache>
            </c:strRef>
          </c:tx>
          <c:spPr>
            <a:solidFill>
              <a:schemeClr val="accent3">
                <a:lumMod val="50000"/>
              </a:schemeClr>
            </a:solidFill>
          </c:spPr>
          <c:invertIfNegative val="0"/>
          <c:cat>
            <c:strRef>
              <c:f>('Neobsazenost podle vzdělání'!$U$24,'Neobsazenost podle vzdělání'!$X$24)</c:f>
              <c:strCache>
                <c:ptCount val="2"/>
                <c:pt idx="0">
                  <c:v>0-3M</c:v>
                </c:pt>
                <c:pt idx="1">
                  <c:v>nad 12M</c:v>
                </c:pt>
              </c:strCache>
            </c:strRef>
          </c:cat>
          <c:val>
            <c:numRef>
              <c:f>('Neobsazenost podle vzdělání'!$U$36,'Neobsazenost podle vzdělání'!$X$36)</c:f>
              <c:numCache>
                <c:formatCode>#,##0</c:formatCode>
                <c:ptCount val="2"/>
                <c:pt idx="0">
                  <c:v>1376</c:v>
                </c:pt>
                <c:pt idx="1">
                  <c:v>1203</c:v>
                </c:pt>
              </c:numCache>
            </c:numRef>
          </c:val>
        </c:ser>
        <c:dLbls>
          <c:showLegendKey val="0"/>
          <c:showVal val="0"/>
          <c:showCatName val="0"/>
          <c:showSerName val="0"/>
          <c:showPercent val="0"/>
          <c:showBubbleSize val="0"/>
        </c:dLbls>
        <c:gapWidth val="150"/>
        <c:overlap val="100"/>
        <c:axId val="68601728"/>
        <c:axId val="68603264"/>
      </c:barChart>
      <c:catAx>
        <c:axId val="68601728"/>
        <c:scaling>
          <c:orientation val="minMax"/>
        </c:scaling>
        <c:delete val="0"/>
        <c:axPos val="l"/>
        <c:majorTickMark val="out"/>
        <c:minorTickMark val="none"/>
        <c:tickLblPos val="nextTo"/>
        <c:txPr>
          <a:bodyPr/>
          <a:lstStyle/>
          <a:p>
            <a:pPr>
              <a:defRPr sz="800"/>
            </a:pPr>
            <a:endParaRPr lang="cs-CZ"/>
          </a:p>
        </c:txPr>
        <c:crossAx val="68603264"/>
        <c:crosses val="autoZero"/>
        <c:auto val="1"/>
        <c:lblAlgn val="ctr"/>
        <c:lblOffset val="100"/>
        <c:noMultiLvlLbl val="0"/>
      </c:catAx>
      <c:valAx>
        <c:axId val="68603264"/>
        <c:scaling>
          <c:orientation val="minMax"/>
        </c:scaling>
        <c:delete val="0"/>
        <c:axPos val="b"/>
        <c:majorGridlines/>
        <c:minorGridlines/>
        <c:numFmt formatCode="0%" sourceLinked="1"/>
        <c:majorTickMark val="out"/>
        <c:minorTickMark val="none"/>
        <c:tickLblPos val="nextTo"/>
        <c:txPr>
          <a:bodyPr/>
          <a:lstStyle/>
          <a:p>
            <a:pPr>
              <a:defRPr sz="800"/>
            </a:pPr>
            <a:endParaRPr lang="cs-CZ"/>
          </a:p>
        </c:txPr>
        <c:crossAx val="68601728"/>
        <c:crosses val="autoZero"/>
        <c:crossBetween val="between"/>
        <c:minorUnit val="1.0000000000000002E-2"/>
      </c:valAx>
    </c:plotArea>
    <c:legend>
      <c:legendPos val="b"/>
      <c:layout>
        <c:manualLayout>
          <c:xMode val="edge"/>
          <c:yMode val="edge"/>
          <c:x val="6.1803455549651387E-2"/>
          <c:y val="0.70137977544473606"/>
          <c:w val="0.87639308890069723"/>
          <c:h val="0.23843503937007873"/>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785324380464715E-2"/>
          <c:y val="0.14351851851851852"/>
          <c:w val="0.88543242677487399"/>
          <c:h val="0.42983545655659566"/>
        </c:manualLayout>
      </c:layout>
      <c:barChart>
        <c:barDir val="bar"/>
        <c:grouping val="percentStacked"/>
        <c:varyColors val="0"/>
        <c:ser>
          <c:idx val="0"/>
          <c:order val="0"/>
          <c:tx>
            <c:strRef>
              <c:f>'Neobsazenost podle vzdělání'!$B$25</c:f>
              <c:strCache>
                <c:ptCount val="1"/>
                <c:pt idx="0">
                  <c:v>bez a neúplné ZŠ</c:v>
                </c:pt>
              </c:strCache>
            </c:strRef>
          </c:tx>
          <c:spPr>
            <a:solidFill>
              <a:schemeClr val="accent2">
                <a:lumMod val="20000"/>
                <a:lumOff val="80000"/>
              </a:schemeClr>
            </a:solidFill>
          </c:spPr>
          <c:invertIfNegative val="0"/>
          <c:cat>
            <c:strRef>
              <c:f>('[struktura UoZ.xlsx]List2'!$D$68,'[struktura UoZ.xlsx]List2'!$J$68)</c:f>
              <c:strCache>
                <c:ptCount val="2"/>
                <c:pt idx="0">
                  <c:v>0-3</c:v>
                </c:pt>
                <c:pt idx="1">
                  <c:v>nad 12</c:v>
                </c:pt>
              </c:strCache>
            </c:strRef>
          </c:cat>
          <c:val>
            <c:numRef>
              <c:f>('Neobsazenost podle vzdělání'!$D$25,'Neobsazenost podle vzdělání'!$G$25)</c:f>
              <c:numCache>
                <c:formatCode>#,##0</c:formatCode>
                <c:ptCount val="2"/>
                <c:pt idx="0">
                  <c:v>1543</c:v>
                </c:pt>
                <c:pt idx="1">
                  <c:v>1271</c:v>
                </c:pt>
              </c:numCache>
            </c:numRef>
          </c:val>
        </c:ser>
        <c:ser>
          <c:idx val="1"/>
          <c:order val="1"/>
          <c:tx>
            <c:strRef>
              <c:f>'Neobsazenost podle vzdělání'!$B$26</c:f>
              <c:strCache>
                <c:ptCount val="1"/>
                <c:pt idx="0">
                  <c:v>ZŠ</c:v>
                </c:pt>
              </c:strCache>
            </c:strRef>
          </c:tx>
          <c:spPr>
            <a:solidFill>
              <a:schemeClr val="accent2">
                <a:lumMod val="60000"/>
                <a:lumOff val="40000"/>
              </a:schemeClr>
            </a:solidFill>
          </c:spPr>
          <c:invertIfNegative val="0"/>
          <c:cat>
            <c:strRef>
              <c:f>('[struktura UoZ.xlsx]List2'!$D$68,'[struktura UoZ.xlsx]List2'!$J$68)</c:f>
              <c:strCache>
                <c:ptCount val="2"/>
                <c:pt idx="0">
                  <c:v>0-3</c:v>
                </c:pt>
                <c:pt idx="1">
                  <c:v>nad 12</c:v>
                </c:pt>
              </c:strCache>
            </c:strRef>
          </c:cat>
          <c:val>
            <c:numRef>
              <c:f>('Neobsazenost podle vzdělání'!$D$26,'Neobsazenost podle vzdělání'!$G$26)</c:f>
              <c:numCache>
                <c:formatCode>#,##0</c:formatCode>
                <c:ptCount val="2"/>
                <c:pt idx="0">
                  <c:v>25269</c:v>
                </c:pt>
                <c:pt idx="1">
                  <c:v>10918</c:v>
                </c:pt>
              </c:numCache>
            </c:numRef>
          </c:val>
        </c:ser>
        <c:ser>
          <c:idx val="2"/>
          <c:order val="2"/>
          <c:tx>
            <c:strRef>
              <c:f>'Neobsazenost podle vzdělání'!$B$27</c:f>
              <c:strCache>
                <c:ptCount val="1"/>
                <c:pt idx="0">
                  <c:v>nižší střední</c:v>
                </c:pt>
              </c:strCache>
            </c:strRef>
          </c:tx>
          <c:spPr>
            <a:solidFill>
              <a:schemeClr val="accent4">
                <a:lumMod val="60000"/>
                <a:lumOff val="40000"/>
              </a:schemeClr>
            </a:solidFill>
          </c:spPr>
          <c:invertIfNegative val="0"/>
          <c:cat>
            <c:strRef>
              <c:f>('[struktura UoZ.xlsx]List2'!$D$68,'[struktura UoZ.xlsx]List2'!$J$68)</c:f>
              <c:strCache>
                <c:ptCount val="2"/>
                <c:pt idx="0">
                  <c:v>0-3</c:v>
                </c:pt>
                <c:pt idx="1">
                  <c:v>nad 12</c:v>
                </c:pt>
              </c:strCache>
            </c:strRef>
          </c:cat>
          <c:val>
            <c:numRef>
              <c:f>('Neobsazenost podle vzdělání'!$D$27,'Neobsazenost podle vzdělání'!$G$27)</c:f>
              <c:numCache>
                <c:formatCode>#,##0</c:formatCode>
                <c:ptCount val="2"/>
                <c:pt idx="0">
                  <c:v>673</c:v>
                </c:pt>
                <c:pt idx="1">
                  <c:v>355</c:v>
                </c:pt>
              </c:numCache>
            </c:numRef>
          </c:val>
        </c:ser>
        <c:ser>
          <c:idx val="3"/>
          <c:order val="3"/>
          <c:tx>
            <c:strRef>
              <c:f>'Neobsazenost podle vzdělání'!$B$28</c:f>
              <c:strCache>
                <c:ptCount val="1"/>
                <c:pt idx="0">
                  <c:v>nižší střední odborné</c:v>
                </c:pt>
              </c:strCache>
            </c:strRef>
          </c:tx>
          <c:spPr>
            <a:solidFill>
              <a:srgbClr val="CC99FF"/>
            </a:solidFill>
          </c:spPr>
          <c:invertIfNegative val="0"/>
          <c:cat>
            <c:strRef>
              <c:f>('[struktura UoZ.xlsx]List2'!$D$68,'[struktura UoZ.xlsx]List2'!$J$68)</c:f>
              <c:strCache>
                <c:ptCount val="2"/>
                <c:pt idx="0">
                  <c:v>0-3</c:v>
                </c:pt>
                <c:pt idx="1">
                  <c:v>nad 12</c:v>
                </c:pt>
              </c:strCache>
            </c:strRef>
          </c:cat>
          <c:val>
            <c:numRef>
              <c:f>('Neobsazenost podle vzdělání'!$D$28,'Neobsazenost podle vzdělání'!$G$28)</c:f>
              <c:numCache>
                <c:formatCode>#,##0</c:formatCode>
                <c:ptCount val="2"/>
                <c:pt idx="0">
                  <c:v>3754</c:v>
                </c:pt>
                <c:pt idx="1">
                  <c:v>874</c:v>
                </c:pt>
              </c:numCache>
            </c:numRef>
          </c:val>
        </c:ser>
        <c:ser>
          <c:idx val="4"/>
          <c:order val="4"/>
          <c:tx>
            <c:strRef>
              <c:f>'Neobsazenost podle vzdělání'!$B$29</c:f>
              <c:strCache>
                <c:ptCount val="1"/>
                <c:pt idx="0">
                  <c:v>Střední odb. (vyučen)</c:v>
                </c:pt>
              </c:strCache>
            </c:strRef>
          </c:tx>
          <c:spPr>
            <a:solidFill>
              <a:schemeClr val="accent1">
                <a:lumMod val="40000"/>
                <a:lumOff val="60000"/>
              </a:schemeClr>
            </a:solidFill>
          </c:spPr>
          <c:invertIfNegative val="0"/>
          <c:cat>
            <c:strRef>
              <c:f>('[struktura UoZ.xlsx]List2'!$D$68,'[struktura UoZ.xlsx]List2'!$J$68)</c:f>
              <c:strCache>
                <c:ptCount val="2"/>
                <c:pt idx="0">
                  <c:v>0-3</c:v>
                </c:pt>
                <c:pt idx="1">
                  <c:v>nad 12</c:v>
                </c:pt>
              </c:strCache>
            </c:strRef>
          </c:cat>
          <c:val>
            <c:numRef>
              <c:f>('Neobsazenost podle vzdělání'!$D$29,'Neobsazenost podle vzdělání'!$G$29)</c:f>
              <c:numCache>
                <c:formatCode>#,##0</c:formatCode>
                <c:ptCount val="2"/>
                <c:pt idx="0">
                  <c:v>18966</c:v>
                </c:pt>
                <c:pt idx="1">
                  <c:v>7099</c:v>
                </c:pt>
              </c:numCache>
            </c:numRef>
          </c:val>
        </c:ser>
        <c:ser>
          <c:idx val="5"/>
          <c:order val="5"/>
          <c:tx>
            <c:strRef>
              <c:f>'Neobsazenost podle vzdělání'!$B$30</c:f>
              <c:strCache>
                <c:ptCount val="1"/>
                <c:pt idx="0">
                  <c:v>Střední odb. bez mat. a vyuč.</c:v>
                </c:pt>
              </c:strCache>
            </c:strRef>
          </c:tx>
          <c:spPr>
            <a:solidFill>
              <a:schemeClr val="accent1">
                <a:lumMod val="75000"/>
              </a:schemeClr>
            </a:solidFill>
          </c:spPr>
          <c:invertIfNegative val="0"/>
          <c:cat>
            <c:strRef>
              <c:f>('[struktura UoZ.xlsx]List2'!$D$68,'[struktura UoZ.xlsx]List2'!$J$68)</c:f>
              <c:strCache>
                <c:ptCount val="2"/>
                <c:pt idx="0">
                  <c:v>0-3</c:v>
                </c:pt>
                <c:pt idx="1">
                  <c:v>nad 12</c:v>
                </c:pt>
              </c:strCache>
            </c:strRef>
          </c:cat>
          <c:val>
            <c:numRef>
              <c:f>('Neobsazenost podle vzdělání'!$D$30,'Neobsazenost podle vzdělání'!$G$30)</c:f>
              <c:numCache>
                <c:formatCode>#,##0</c:formatCode>
                <c:ptCount val="2"/>
                <c:pt idx="0">
                  <c:v>364</c:v>
                </c:pt>
                <c:pt idx="1">
                  <c:v>116</c:v>
                </c:pt>
              </c:numCache>
            </c:numRef>
          </c:val>
        </c:ser>
        <c:ser>
          <c:idx val="6"/>
          <c:order val="6"/>
          <c:tx>
            <c:strRef>
              <c:f>'Neobsazenost podle vzdělání'!$B$31</c:f>
              <c:strCache>
                <c:ptCount val="1"/>
                <c:pt idx="0">
                  <c:v> ÚSV</c:v>
                </c:pt>
              </c:strCache>
            </c:strRef>
          </c:tx>
          <c:spPr>
            <a:solidFill>
              <a:srgbClr val="99CCFF"/>
            </a:solidFill>
          </c:spPr>
          <c:invertIfNegative val="0"/>
          <c:cat>
            <c:strRef>
              <c:f>('[struktura UoZ.xlsx]List2'!$D$68,'[struktura UoZ.xlsx]List2'!$J$68)</c:f>
              <c:strCache>
                <c:ptCount val="2"/>
                <c:pt idx="0">
                  <c:v>0-3</c:v>
                </c:pt>
                <c:pt idx="1">
                  <c:v>nad 12</c:v>
                </c:pt>
              </c:strCache>
            </c:strRef>
          </c:cat>
          <c:val>
            <c:numRef>
              <c:f>('Neobsazenost podle vzdělání'!$D$31,'Neobsazenost podle vzdělání'!$G$31)</c:f>
              <c:numCache>
                <c:formatCode>#,##0</c:formatCode>
                <c:ptCount val="2"/>
                <c:pt idx="0">
                  <c:v>1706</c:v>
                </c:pt>
                <c:pt idx="1">
                  <c:v>780</c:v>
                </c:pt>
              </c:numCache>
            </c:numRef>
          </c:val>
        </c:ser>
        <c:ser>
          <c:idx val="7"/>
          <c:order val="7"/>
          <c:tx>
            <c:strRef>
              <c:f>'Neobsazenost podle vzdělání'!$B$32</c:f>
              <c:strCache>
                <c:ptCount val="1"/>
                <c:pt idx="0">
                  <c:v>ÚSO (vyuč.+ mat.)</c:v>
                </c:pt>
              </c:strCache>
            </c:strRef>
          </c:tx>
          <c:spPr>
            <a:solidFill>
              <a:srgbClr val="00B0F0"/>
            </a:solidFill>
          </c:spPr>
          <c:invertIfNegative val="0"/>
          <c:cat>
            <c:strRef>
              <c:f>('[struktura UoZ.xlsx]List2'!$D$68,'[struktura UoZ.xlsx]List2'!$J$68)</c:f>
              <c:strCache>
                <c:ptCount val="2"/>
                <c:pt idx="0">
                  <c:v>0-3</c:v>
                </c:pt>
                <c:pt idx="1">
                  <c:v>nad 12</c:v>
                </c:pt>
              </c:strCache>
            </c:strRef>
          </c:cat>
          <c:val>
            <c:numRef>
              <c:f>('Neobsazenost podle vzdělání'!$D$32,'Neobsazenost podle vzdělání'!$G$32)</c:f>
              <c:numCache>
                <c:formatCode>#,##0</c:formatCode>
                <c:ptCount val="2"/>
                <c:pt idx="0">
                  <c:v>1869</c:v>
                </c:pt>
                <c:pt idx="1">
                  <c:v>636</c:v>
                </c:pt>
              </c:numCache>
            </c:numRef>
          </c:val>
        </c:ser>
        <c:ser>
          <c:idx val="8"/>
          <c:order val="8"/>
          <c:tx>
            <c:strRef>
              <c:f>'Neobsazenost podle vzdělání'!$B$33</c:f>
              <c:strCache>
                <c:ptCount val="1"/>
                <c:pt idx="0">
                  <c:v>ÚSO s maturitou (bez vyučení)</c:v>
                </c:pt>
              </c:strCache>
            </c:strRef>
          </c:tx>
          <c:spPr>
            <a:solidFill>
              <a:schemeClr val="tx2"/>
            </a:solidFill>
          </c:spPr>
          <c:invertIfNegative val="0"/>
          <c:cat>
            <c:strRef>
              <c:f>('[struktura UoZ.xlsx]List2'!$D$68,'[struktura UoZ.xlsx]List2'!$J$68)</c:f>
              <c:strCache>
                <c:ptCount val="2"/>
                <c:pt idx="0">
                  <c:v>0-3</c:v>
                </c:pt>
                <c:pt idx="1">
                  <c:v>nad 12</c:v>
                </c:pt>
              </c:strCache>
            </c:strRef>
          </c:cat>
          <c:val>
            <c:numRef>
              <c:f>('Neobsazenost podle vzdělání'!$D$33,'Neobsazenost podle vzdělání'!$G$33)</c:f>
              <c:numCache>
                <c:formatCode>#,##0</c:formatCode>
                <c:ptCount val="2"/>
                <c:pt idx="0">
                  <c:v>4532</c:v>
                </c:pt>
                <c:pt idx="1">
                  <c:v>1424</c:v>
                </c:pt>
              </c:numCache>
            </c:numRef>
          </c:val>
        </c:ser>
        <c:ser>
          <c:idx val="9"/>
          <c:order val="9"/>
          <c:tx>
            <c:strRef>
              <c:f>'Neobsazenost podle vzdělání'!$B$34</c:f>
              <c:strCache>
                <c:ptCount val="1"/>
                <c:pt idx="0">
                  <c:v>VOŠ</c:v>
                </c:pt>
              </c:strCache>
            </c:strRef>
          </c:tx>
          <c:spPr>
            <a:solidFill>
              <a:schemeClr val="accent5">
                <a:lumMod val="60000"/>
                <a:lumOff val="40000"/>
              </a:schemeClr>
            </a:solidFill>
          </c:spPr>
          <c:invertIfNegative val="0"/>
          <c:cat>
            <c:strRef>
              <c:f>('[struktura UoZ.xlsx]List2'!$D$68,'[struktura UoZ.xlsx]List2'!$J$68)</c:f>
              <c:strCache>
                <c:ptCount val="2"/>
                <c:pt idx="0">
                  <c:v>0-3</c:v>
                </c:pt>
                <c:pt idx="1">
                  <c:v>nad 12</c:v>
                </c:pt>
              </c:strCache>
            </c:strRef>
          </c:cat>
          <c:val>
            <c:numRef>
              <c:f>('Neobsazenost podle vzdělání'!$D$34,'Neobsazenost podle vzdělání'!$G$34)</c:f>
              <c:numCache>
                <c:formatCode>#,##0</c:formatCode>
                <c:ptCount val="2"/>
                <c:pt idx="0">
                  <c:v>419</c:v>
                </c:pt>
                <c:pt idx="1">
                  <c:v>198</c:v>
                </c:pt>
              </c:numCache>
            </c:numRef>
          </c:val>
        </c:ser>
        <c:ser>
          <c:idx val="10"/>
          <c:order val="10"/>
          <c:tx>
            <c:strRef>
              <c:f>'Neobsazenost podle vzdělání'!$B$35</c:f>
              <c:strCache>
                <c:ptCount val="1"/>
                <c:pt idx="0">
                  <c:v>bakalář.</c:v>
                </c:pt>
              </c:strCache>
            </c:strRef>
          </c:tx>
          <c:spPr>
            <a:solidFill>
              <a:schemeClr val="accent3">
                <a:lumMod val="60000"/>
                <a:lumOff val="40000"/>
              </a:schemeClr>
            </a:solidFill>
          </c:spPr>
          <c:invertIfNegative val="0"/>
          <c:cat>
            <c:strRef>
              <c:f>('[struktura UoZ.xlsx]List2'!$D$68,'[struktura UoZ.xlsx]List2'!$J$68)</c:f>
              <c:strCache>
                <c:ptCount val="2"/>
                <c:pt idx="0">
                  <c:v>0-3</c:v>
                </c:pt>
                <c:pt idx="1">
                  <c:v>nad 12</c:v>
                </c:pt>
              </c:strCache>
            </c:strRef>
          </c:cat>
          <c:val>
            <c:numRef>
              <c:f>('Neobsazenost podle vzdělání'!$D$35,'Neobsazenost podle vzdělání'!$G$35)</c:f>
              <c:numCache>
                <c:formatCode>#,##0</c:formatCode>
                <c:ptCount val="2"/>
                <c:pt idx="0">
                  <c:v>642</c:v>
                </c:pt>
                <c:pt idx="1">
                  <c:v>521</c:v>
                </c:pt>
              </c:numCache>
            </c:numRef>
          </c:val>
        </c:ser>
        <c:ser>
          <c:idx val="11"/>
          <c:order val="11"/>
          <c:tx>
            <c:strRef>
              <c:f>'Neobsazenost podle vzdělání'!$B$36</c:f>
              <c:strCache>
                <c:ptCount val="1"/>
                <c:pt idx="0">
                  <c:v>VŠ (vč. doktor.)</c:v>
                </c:pt>
              </c:strCache>
            </c:strRef>
          </c:tx>
          <c:spPr>
            <a:solidFill>
              <a:schemeClr val="accent3">
                <a:lumMod val="50000"/>
              </a:schemeClr>
            </a:solidFill>
          </c:spPr>
          <c:invertIfNegative val="0"/>
          <c:cat>
            <c:strRef>
              <c:f>('[struktura UoZ.xlsx]List2'!$D$68,'[struktura UoZ.xlsx]List2'!$J$68)</c:f>
              <c:strCache>
                <c:ptCount val="2"/>
                <c:pt idx="0">
                  <c:v>0-3</c:v>
                </c:pt>
                <c:pt idx="1">
                  <c:v>nad 12</c:v>
                </c:pt>
              </c:strCache>
            </c:strRef>
          </c:cat>
          <c:val>
            <c:numRef>
              <c:f>('Neobsazenost podle vzdělání'!$D$36,'Neobsazenost podle vzdělání'!$G$36)</c:f>
              <c:numCache>
                <c:formatCode>#,##0</c:formatCode>
                <c:ptCount val="2"/>
                <c:pt idx="0">
                  <c:v>1434</c:v>
                </c:pt>
                <c:pt idx="1">
                  <c:v>1113</c:v>
                </c:pt>
              </c:numCache>
            </c:numRef>
          </c:val>
        </c:ser>
        <c:dLbls>
          <c:showLegendKey val="0"/>
          <c:showVal val="0"/>
          <c:showCatName val="0"/>
          <c:showSerName val="0"/>
          <c:showPercent val="0"/>
          <c:showBubbleSize val="0"/>
        </c:dLbls>
        <c:gapWidth val="150"/>
        <c:overlap val="100"/>
        <c:axId val="69616000"/>
        <c:axId val="69617536"/>
      </c:barChart>
      <c:catAx>
        <c:axId val="69616000"/>
        <c:scaling>
          <c:orientation val="minMax"/>
        </c:scaling>
        <c:delete val="0"/>
        <c:axPos val="l"/>
        <c:majorTickMark val="out"/>
        <c:minorTickMark val="none"/>
        <c:tickLblPos val="nextTo"/>
        <c:txPr>
          <a:bodyPr/>
          <a:lstStyle/>
          <a:p>
            <a:pPr>
              <a:defRPr sz="800"/>
            </a:pPr>
            <a:endParaRPr lang="cs-CZ"/>
          </a:p>
        </c:txPr>
        <c:crossAx val="69617536"/>
        <c:crosses val="autoZero"/>
        <c:auto val="1"/>
        <c:lblAlgn val="ctr"/>
        <c:lblOffset val="100"/>
        <c:noMultiLvlLbl val="0"/>
      </c:catAx>
      <c:valAx>
        <c:axId val="69617536"/>
        <c:scaling>
          <c:orientation val="minMax"/>
        </c:scaling>
        <c:delete val="0"/>
        <c:axPos val="b"/>
        <c:majorGridlines/>
        <c:minorGridlines/>
        <c:numFmt formatCode="0%" sourceLinked="1"/>
        <c:majorTickMark val="out"/>
        <c:minorTickMark val="none"/>
        <c:tickLblPos val="nextTo"/>
        <c:txPr>
          <a:bodyPr/>
          <a:lstStyle/>
          <a:p>
            <a:pPr>
              <a:defRPr sz="800"/>
            </a:pPr>
            <a:endParaRPr lang="cs-CZ"/>
          </a:p>
        </c:txPr>
        <c:crossAx val="69616000"/>
        <c:crosses val="autoZero"/>
        <c:crossBetween val="between"/>
        <c:minorUnit val="1.0000000000000002E-2"/>
      </c:valAx>
    </c:plotArea>
    <c:legend>
      <c:legendPos val="b"/>
      <c:layout>
        <c:manualLayout>
          <c:xMode val="edge"/>
          <c:yMode val="edge"/>
          <c:x val="5.735511160278519E-2"/>
          <c:y val="0.68186548844722628"/>
          <c:w val="0.9117351198114404"/>
          <c:h val="0.27814357237307613"/>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'Nabídka a poptávka'!$C$67</c:f>
              <c:strCache>
                <c:ptCount val="1"/>
                <c:pt idx="0">
                  <c:v>9_16</c:v>
                </c:pt>
              </c:strCache>
            </c:strRef>
          </c:tx>
          <c:spPr>
            <a:solidFill>
              <a:schemeClr val="accent1">
                <a:lumMod val="60000"/>
                <a:lumOff val="40000"/>
              </a:schemeClr>
            </a:solidFill>
          </c:spPr>
          <c:invertIfNegative val="0"/>
          <c:dPt>
            <c:idx val="0"/>
            <c:invertIfNegative val="0"/>
            <c:bubble3D val="0"/>
            <c:spPr>
              <a:solidFill>
                <a:srgbClr val="00B0F0"/>
              </a:solidFill>
            </c:spPr>
          </c:dPt>
          <c:dLbls>
            <c:numFmt formatCode="#,##0.0" sourceLinked="0"/>
            <c:txPr>
              <a:bodyPr/>
              <a:lstStyle/>
              <a:p>
                <a:pPr>
                  <a:defRPr sz="800"/>
                </a:pPr>
                <a:endParaRPr lang="cs-CZ"/>
              </a:p>
            </c:txPr>
            <c:dLblPos val="inEnd"/>
            <c:showLegendKey val="0"/>
            <c:showVal val="1"/>
            <c:showCatName val="0"/>
            <c:showSerName val="0"/>
            <c:showPercent val="0"/>
            <c:showBubbleSize val="0"/>
            <c:showLeaderLines val="0"/>
          </c:dLbls>
          <c:cat>
            <c:strRef>
              <c:f>'Nabídka a poptávka'!$B$68:$B$78</c:f>
              <c:strCache>
                <c:ptCount val="11"/>
                <c:pt idx="0">
                  <c:v>Celkem</c:v>
                </c:pt>
                <c:pt idx="1">
                  <c:v>Zam. v ozbr. silách</c:v>
                </c:pt>
                <c:pt idx="2">
                  <c:v>Zákonodárci a říd. Prac.</c:v>
                </c:pt>
                <c:pt idx="3">
                  <c:v>Specialisté</c:v>
                </c:pt>
                <c:pt idx="4">
                  <c:v>Tech. a odbor. Prac.</c:v>
                </c:pt>
                <c:pt idx="5">
                  <c:v>Úředníci</c:v>
                </c:pt>
                <c:pt idx="6">
                  <c:v>Prac. ve službách a prodeji</c:v>
                </c:pt>
                <c:pt idx="7">
                  <c:v>Kvalif. Prac. v zem., les. a ryb.</c:v>
                </c:pt>
                <c:pt idx="8">
                  <c:v>Řemeslníci a opraváři</c:v>
                </c:pt>
                <c:pt idx="9">
                  <c:v>Obsluha strojů a zaříz., mont.</c:v>
                </c:pt>
                <c:pt idx="10">
                  <c:v>Pomoc. a nekvalifik. prac.</c:v>
                </c:pt>
              </c:strCache>
            </c:strRef>
          </c:cat>
          <c:val>
            <c:numRef>
              <c:f>'Nabídka a poptávka'!$C$68:$C$78</c:f>
              <c:numCache>
                <c:formatCode>0.00</c:formatCode>
                <c:ptCount val="11"/>
                <c:pt idx="0">
                  <c:v>2.680684596577017</c:v>
                </c:pt>
                <c:pt idx="1">
                  <c:v>0.45227272727272727</c:v>
                </c:pt>
                <c:pt idx="2">
                  <c:v>3.3835516739446869</c:v>
                </c:pt>
                <c:pt idx="3">
                  <c:v>1.9979444009397025</c:v>
                </c:pt>
                <c:pt idx="4">
                  <c:v>2.3165437123717458</c:v>
                </c:pt>
                <c:pt idx="5">
                  <c:v>8.1747019180922766</c:v>
                </c:pt>
                <c:pt idx="6">
                  <c:v>3.6422928449591527</c:v>
                </c:pt>
                <c:pt idx="7">
                  <c:v>4.0705052878965926</c:v>
                </c:pt>
                <c:pt idx="8">
                  <c:v>1.4150145476689897</c:v>
                </c:pt>
                <c:pt idx="9">
                  <c:v>1.0694824622827679</c:v>
                </c:pt>
                <c:pt idx="10">
                  <c:v>3.9549470609711572</c:v>
                </c:pt>
              </c:numCache>
            </c:numRef>
          </c:val>
        </c:ser>
        <c:ser>
          <c:idx val="1"/>
          <c:order val="1"/>
          <c:tx>
            <c:strRef>
              <c:f>'Nabídka a poptávka'!$D$67</c:f>
              <c:strCache>
                <c:ptCount val="1"/>
                <c:pt idx="0">
                  <c:v>12_16</c:v>
                </c:pt>
              </c:strCache>
            </c:strRef>
          </c:tx>
          <c:spPr>
            <a:solidFill>
              <a:schemeClr val="accent2">
                <a:lumMod val="60000"/>
                <a:lumOff val="40000"/>
              </a:schemeClr>
            </a:solidFill>
          </c:spPr>
          <c:invertIfNegative val="0"/>
          <c:dPt>
            <c:idx val="0"/>
            <c:invertIfNegative val="0"/>
            <c:bubble3D val="0"/>
            <c:spPr>
              <a:solidFill>
                <a:schemeClr val="accent2">
                  <a:lumMod val="75000"/>
                </a:schemeClr>
              </a:solidFill>
            </c:spPr>
          </c:dPt>
          <c:dLbls>
            <c:numFmt formatCode="#,##0.0" sourceLinked="0"/>
            <c:txPr>
              <a:bodyPr/>
              <a:lstStyle/>
              <a:p>
                <a:pPr>
                  <a:defRPr sz="800"/>
                </a:pPr>
                <a:endParaRPr lang="cs-CZ"/>
              </a:p>
            </c:txPr>
            <c:dLblPos val="inEnd"/>
            <c:showLegendKey val="0"/>
            <c:showVal val="1"/>
            <c:showCatName val="0"/>
            <c:showSerName val="0"/>
            <c:showPercent val="0"/>
            <c:showBubbleSize val="0"/>
            <c:showLeaderLines val="0"/>
          </c:dLbls>
          <c:cat>
            <c:strRef>
              <c:f>'Nabídka a poptávka'!$B$68:$B$78</c:f>
              <c:strCache>
                <c:ptCount val="11"/>
                <c:pt idx="0">
                  <c:v>Celkem</c:v>
                </c:pt>
                <c:pt idx="1">
                  <c:v>Zam. v ozbr. silách</c:v>
                </c:pt>
                <c:pt idx="2">
                  <c:v>Zákonodárci a říd. Prac.</c:v>
                </c:pt>
                <c:pt idx="3">
                  <c:v>Specialisté</c:v>
                </c:pt>
                <c:pt idx="4">
                  <c:v>Tech. a odbor. Prac.</c:v>
                </c:pt>
                <c:pt idx="5">
                  <c:v>Úředníci</c:v>
                </c:pt>
                <c:pt idx="6">
                  <c:v>Prac. ve službách a prodeji</c:v>
                </c:pt>
                <c:pt idx="7">
                  <c:v>Kvalif. Prac. v zem., les. a ryb.</c:v>
                </c:pt>
                <c:pt idx="8">
                  <c:v>Řemeslníci a opraváři</c:v>
                </c:pt>
                <c:pt idx="9">
                  <c:v>Obsluha strojů a zaříz., mont.</c:v>
                </c:pt>
                <c:pt idx="10">
                  <c:v>Pomoc. a nekvalifik. prac.</c:v>
                </c:pt>
              </c:strCache>
            </c:strRef>
          </c:cat>
          <c:val>
            <c:numRef>
              <c:f>'Nabídka a poptávka'!$D$68:$D$78</c:f>
              <c:numCache>
                <c:formatCode>0.00</c:formatCode>
                <c:ptCount val="11"/>
                <c:pt idx="0">
                  <c:v>2.8768971968256842</c:v>
                </c:pt>
                <c:pt idx="1">
                  <c:v>0.30979498861047838</c:v>
                </c:pt>
                <c:pt idx="2">
                  <c:v>3.3129602356406482</c:v>
                </c:pt>
                <c:pt idx="3">
                  <c:v>1.815358154593282</c:v>
                </c:pt>
                <c:pt idx="4">
                  <c:v>2.3301688726608853</c:v>
                </c:pt>
                <c:pt idx="5">
                  <c:v>9.2428874734607227</c:v>
                </c:pt>
                <c:pt idx="6">
                  <c:v>3.9689759499512847</c:v>
                </c:pt>
                <c:pt idx="7">
                  <c:v>5.1910695742471447</c:v>
                </c:pt>
                <c:pt idx="8">
                  <c:v>1.730491734379378</c:v>
                </c:pt>
                <c:pt idx="9">
                  <c:v>1.2020218870946215</c:v>
                </c:pt>
                <c:pt idx="10">
                  <c:v>4.2871521158978272</c:v>
                </c:pt>
              </c:numCache>
            </c:numRef>
          </c:val>
        </c:ser>
        <c:dLbls>
          <c:dLblPos val="inEnd"/>
          <c:showLegendKey val="0"/>
          <c:showVal val="1"/>
          <c:showCatName val="0"/>
          <c:showSerName val="0"/>
          <c:showPercent val="0"/>
          <c:showBubbleSize val="0"/>
        </c:dLbls>
        <c:gapWidth val="150"/>
        <c:axId val="69792896"/>
        <c:axId val="69794432"/>
      </c:barChart>
      <c:catAx>
        <c:axId val="69792896"/>
        <c:scaling>
          <c:orientation val="minMax"/>
        </c:scaling>
        <c:delete val="0"/>
        <c:axPos val="b"/>
        <c:majorTickMark val="out"/>
        <c:minorTickMark val="none"/>
        <c:tickLblPos val="nextTo"/>
        <c:txPr>
          <a:bodyPr/>
          <a:lstStyle/>
          <a:p>
            <a:pPr>
              <a:defRPr sz="800"/>
            </a:pPr>
            <a:endParaRPr lang="cs-CZ"/>
          </a:p>
        </c:txPr>
        <c:crossAx val="69794432"/>
        <c:crosses val="autoZero"/>
        <c:auto val="1"/>
        <c:lblAlgn val="ctr"/>
        <c:lblOffset val="100"/>
        <c:noMultiLvlLbl val="0"/>
      </c:catAx>
      <c:valAx>
        <c:axId val="69794432"/>
        <c:scaling>
          <c:orientation val="minMax"/>
        </c:scaling>
        <c:delete val="0"/>
        <c:axPos val="l"/>
        <c:majorGridlines/>
        <c:numFmt formatCode="0" sourceLinked="0"/>
        <c:majorTickMark val="out"/>
        <c:minorTickMark val="none"/>
        <c:tickLblPos val="nextTo"/>
        <c:txPr>
          <a:bodyPr/>
          <a:lstStyle/>
          <a:p>
            <a:pPr>
              <a:defRPr sz="800"/>
            </a:pPr>
            <a:endParaRPr lang="cs-CZ"/>
          </a:p>
        </c:txPr>
        <c:crossAx val="69792896"/>
        <c:crosses val="autoZero"/>
        <c:crossBetween val="between"/>
      </c:valAx>
    </c:plotArea>
    <c:legend>
      <c:legendPos val="r"/>
      <c:layout>
        <c:manualLayout>
          <c:xMode val="edge"/>
          <c:yMode val="edge"/>
          <c:x val="0.88363456937551055"/>
          <c:y val="2.2812744433435887E-2"/>
          <c:w val="0.10583357175139838"/>
          <c:h val="0.28329283342893397"/>
        </c:manualLayout>
      </c:layout>
      <c:overlay val="1"/>
      <c:spPr>
        <a:solidFill>
          <a:schemeClr val="bg1"/>
        </a:solidFill>
      </c:spPr>
      <c:txPr>
        <a:bodyPr/>
        <a:lstStyle/>
        <a:p>
          <a:pPr>
            <a:defRPr sz="800"/>
          </a:pPr>
          <a:endParaRPr lang="cs-CZ"/>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'Nabídka a poptávka'!$AM$4:$AM$8</c:f>
              <c:strCache>
                <c:ptCount val="1"/>
                <c:pt idx="0">
                  <c:v>% pro cizince</c:v>
                </c:pt>
              </c:strCache>
            </c:strRef>
          </c:tx>
          <c:spPr>
            <a:solidFill>
              <a:schemeClr val="accent2">
                <a:lumMod val="40000"/>
                <a:lumOff val="60000"/>
              </a:schemeClr>
            </a:solidFill>
          </c:spPr>
          <c:invertIfNegative val="0"/>
          <c:dPt>
            <c:idx val="0"/>
            <c:invertIfNegative val="0"/>
            <c:bubble3D val="0"/>
            <c:spPr>
              <a:solidFill>
                <a:schemeClr val="accent2">
                  <a:lumMod val="60000"/>
                  <a:lumOff val="40000"/>
                </a:schemeClr>
              </a:solidFill>
            </c:spPr>
          </c:dPt>
          <c:cat>
            <c:strRef>
              <c:f>'Nabídka a poptávka'!$AA$9:$AA$19</c:f>
              <c:strCache>
                <c:ptCount val="11"/>
                <c:pt idx="0">
                  <c:v>Celkem</c:v>
                </c:pt>
                <c:pt idx="1">
                  <c:v>Zaměst. v ozbr. silách</c:v>
                </c:pt>
                <c:pt idx="2">
                  <c:v>Zákonodár. a řídící prac.</c:v>
                </c:pt>
                <c:pt idx="3">
                  <c:v>Specialisté</c:v>
                </c:pt>
                <c:pt idx="4">
                  <c:v>Techničtí a odborní prac.</c:v>
                </c:pt>
                <c:pt idx="5">
                  <c:v>Úředníci</c:v>
                </c:pt>
                <c:pt idx="6">
                  <c:v>Prac. ve službách a prodeji</c:v>
                </c:pt>
                <c:pt idx="7">
                  <c:v>Kvalifik. prac. v zem., les., ryb.</c:v>
                </c:pt>
                <c:pt idx="8">
                  <c:v>Řemeslníci a opraváři</c:v>
                </c:pt>
                <c:pt idx="9">
                  <c:v>Obsluha strojů, zaříz., montéři</c:v>
                </c:pt>
                <c:pt idx="10">
                  <c:v>Pomoc. a nekvalifik. prac.</c:v>
                </c:pt>
              </c:strCache>
            </c:strRef>
          </c:cat>
          <c:val>
            <c:numRef>
              <c:f>'Nabídka a poptávka'!$AH$9:$AH$19</c:f>
              <c:numCache>
                <c:formatCode>General</c:formatCode>
                <c:ptCount val="11"/>
                <c:pt idx="0" formatCode="#,##0">
                  <c:v>48731</c:v>
                </c:pt>
                <c:pt idx="1">
                  <c:v>0</c:v>
                </c:pt>
                <c:pt idx="2">
                  <c:v>581</c:v>
                </c:pt>
                <c:pt idx="3" formatCode="#,##0">
                  <c:v>5087</c:v>
                </c:pt>
                <c:pt idx="4" formatCode="#,##0">
                  <c:v>2127</c:v>
                </c:pt>
                <c:pt idx="5" formatCode="#,##0">
                  <c:v>1045</c:v>
                </c:pt>
                <c:pt idx="6" formatCode="#,##0">
                  <c:v>4212</c:v>
                </c:pt>
                <c:pt idx="7">
                  <c:v>488</c:v>
                </c:pt>
                <c:pt idx="8" formatCode="#,##0">
                  <c:v>11157</c:v>
                </c:pt>
                <c:pt idx="9" formatCode="#,##0">
                  <c:v>13289</c:v>
                </c:pt>
                <c:pt idx="10" formatCode="#,##0">
                  <c:v>10745</c:v>
                </c:pt>
              </c:numCache>
            </c:numRef>
          </c:val>
        </c:ser>
        <c:ser>
          <c:idx val="1"/>
          <c:order val="1"/>
          <c:tx>
            <c:strRef>
              <c:f>'Nabídka a poptávka'!$AN$4:$AN$8</c:f>
              <c:strCache>
                <c:ptCount val="1"/>
                <c:pt idx="0">
                  <c:v>VPM bez cizinců</c:v>
                </c:pt>
              </c:strCache>
            </c:strRef>
          </c:tx>
          <c:spPr>
            <a:solidFill>
              <a:schemeClr val="tx2">
                <a:lumMod val="20000"/>
                <a:lumOff val="80000"/>
              </a:schemeClr>
            </a:solidFill>
          </c:spPr>
          <c:invertIfNegative val="0"/>
          <c:dPt>
            <c:idx val="0"/>
            <c:invertIfNegative val="0"/>
            <c:bubble3D val="0"/>
            <c:spPr>
              <a:solidFill>
                <a:schemeClr val="tx2">
                  <a:lumMod val="40000"/>
                  <a:lumOff val="60000"/>
                </a:schemeClr>
              </a:solidFill>
            </c:spPr>
          </c:dPt>
          <c:cat>
            <c:strRef>
              <c:f>'Nabídka a poptávka'!$AA$9:$AA$19</c:f>
              <c:strCache>
                <c:ptCount val="11"/>
                <c:pt idx="0">
                  <c:v>Celkem</c:v>
                </c:pt>
                <c:pt idx="1">
                  <c:v>Zaměst. v ozbr. silách</c:v>
                </c:pt>
                <c:pt idx="2">
                  <c:v>Zákonodár. a řídící prac.</c:v>
                </c:pt>
                <c:pt idx="3">
                  <c:v>Specialisté</c:v>
                </c:pt>
                <c:pt idx="4">
                  <c:v>Techničtí a odborní prac.</c:v>
                </c:pt>
                <c:pt idx="5">
                  <c:v>Úředníci</c:v>
                </c:pt>
                <c:pt idx="6">
                  <c:v>Prac. ve službách a prodeji</c:v>
                </c:pt>
                <c:pt idx="7">
                  <c:v>Kvalifik. prac. v zem., les., ryb.</c:v>
                </c:pt>
                <c:pt idx="8">
                  <c:v>Řemeslníci a opraváři</c:v>
                </c:pt>
                <c:pt idx="9">
                  <c:v>Obsluha strojů, zaříz., montéři</c:v>
                </c:pt>
                <c:pt idx="10">
                  <c:v>Pomoc. a nekvalifik. prac.</c:v>
                </c:pt>
              </c:strCache>
            </c:strRef>
          </c:cat>
          <c:val>
            <c:numRef>
              <c:f>'Nabídka a poptávka'!$AN$9:$AN$19</c:f>
              <c:numCache>
                <c:formatCode>#,##0</c:formatCode>
                <c:ptCount val="11"/>
                <c:pt idx="0">
                  <c:v>83833</c:v>
                </c:pt>
                <c:pt idx="1">
                  <c:v>439</c:v>
                </c:pt>
                <c:pt idx="2">
                  <c:v>777</c:v>
                </c:pt>
                <c:pt idx="3">
                  <c:v>4797</c:v>
                </c:pt>
                <c:pt idx="4">
                  <c:v>8828</c:v>
                </c:pt>
                <c:pt idx="5">
                  <c:v>3665</c:v>
                </c:pt>
                <c:pt idx="6">
                  <c:v>15289</c:v>
                </c:pt>
                <c:pt idx="7">
                  <c:v>475</c:v>
                </c:pt>
                <c:pt idx="8">
                  <c:v>17395</c:v>
                </c:pt>
                <c:pt idx="9">
                  <c:v>16683</c:v>
                </c:pt>
                <c:pt idx="10">
                  <c:v>15485</c:v>
                </c:pt>
              </c:numCache>
            </c:numRef>
          </c:val>
        </c:ser>
        <c:dLbls>
          <c:showLegendKey val="0"/>
          <c:showVal val="0"/>
          <c:showCatName val="0"/>
          <c:showSerName val="0"/>
          <c:showPercent val="0"/>
          <c:showBubbleSize val="0"/>
        </c:dLbls>
        <c:gapWidth val="150"/>
        <c:overlap val="100"/>
        <c:axId val="70961408"/>
        <c:axId val="78201216"/>
      </c:barChart>
      <c:scatterChart>
        <c:scatterStyle val="lineMarker"/>
        <c:varyColors val="0"/>
        <c:ser>
          <c:idx val="2"/>
          <c:order val="2"/>
          <c:tx>
            <c:strRef>
              <c:f>'Nabídka a poptávka'!$AL$4:$AL$8</c:f>
              <c:strCache>
                <c:ptCount val="1"/>
                <c:pt idx="0">
                  <c:v>UoZ/VPM (bez APZ)</c:v>
                </c:pt>
              </c:strCache>
            </c:strRef>
          </c:tx>
          <c:spPr>
            <a:ln w="28575">
              <a:noFill/>
            </a:ln>
          </c:spPr>
          <c:marker>
            <c:symbol val="triangle"/>
            <c:size val="10"/>
            <c:spPr>
              <a:solidFill>
                <a:srgbClr val="00B050"/>
              </a:solidFill>
            </c:spPr>
          </c:marker>
          <c:yVal>
            <c:numRef>
              <c:f>'Nabídka a poptávka'!$AL$9:$AL$19</c:f>
              <c:numCache>
                <c:formatCode>0.00</c:formatCode>
                <c:ptCount val="11"/>
                <c:pt idx="0">
                  <c:v>2.8768971968256842</c:v>
                </c:pt>
                <c:pt idx="1">
                  <c:v>0.30979498861047838</c:v>
                </c:pt>
                <c:pt idx="2">
                  <c:v>3.3129602356406482</c:v>
                </c:pt>
                <c:pt idx="3">
                  <c:v>1.815358154593282</c:v>
                </c:pt>
                <c:pt idx="4">
                  <c:v>2.3301688726608853</c:v>
                </c:pt>
                <c:pt idx="5">
                  <c:v>9.2428874734607227</c:v>
                </c:pt>
                <c:pt idx="6">
                  <c:v>3.9689759499512847</c:v>
                </c:pt>
                <c:pt idx="7">
                  <c:v>5.1910695742471447</c:v>
                </c:pt>
                <c:pt idx="8">
                  <c:v>1.730491734379378</c:v>
                </c:pt>
                <c:pt idx="9">
                  <c:v>1.2020218870946215</c:v>
                </c:pt>
                <c:pt idx="10">
                  <c:v>4.2871521158978272</c:v>
                </c:pt>
              </c:numCache>
            </c:numRef>
          </c:yVal>
          <c:smooth val="0"/>
        </c:ser>
        <c:dLbls>
          <c:showLegendKey val="0"/>
          <c:showVal val="0"/>
          <c:showCatName val="0"/>
          <c:showSerName val="0"/>
          <c:showPercent val="0"/>
          <c:showBubbleSize val="0"/>
        </c:dLbls>
        <c:axId val="78204288"/>
        <c:axId val="78202752"/>
      </c:scatterChart>
      <c:catAx>
        <c:axId val="70961408"/>
        <c:scaling>
          <c:orientation val="minMax"/>
        </c:scaling>
        <c:delete val="0"/>
        <c:axPos val="b"/>
        <c:majorTickMark val="out"/>
        <c:minorTickMark val="none"/>
        <c:tickLblPos val="nextTo"/>
        <c:txPr>
          <a:bodyPr/>
          <a:lstStyle/>
          <a:p>
            <a:pPr>
              <a:defRPr sz="800"/>
            </a:pPr>
            <a:endParaRPr lang="cs-CZ"/>
          </a:p>
        </c:txPr>
        <c:crossAx val="78201216"/>
        <c:crosses val="autoZero"/>
        <c:auto val="1"/>
        <c:lblAlgn val="ctr"/>
        <c:lblOffset val="100"/>
        <c:noMultiLvlLbl val="0"/>
      </c:catAx>
      <c:valAx>
        <c:axId val="78201216"/>
        <c:scaling>
          <c:orientation val="minMax"/>
        </c:scaling>
        <c:delete val="0"/>
        <c:axPos val="l"/>
        <c:majorGridlines/>
        <c:numFmt formatCode="0%" sourceLinked="1"/>
        <c:majorTickMark val="out"/>
        <c:minorTickMark val="none"/>
        <c:tickLblPos val="nextTo"/>
        <c:txPr>
          <a:bodyPr/>
          <a:lstStyle/>
          <a:p>
            <a:pPr>
              <a:defRPr sz="800"/>
            </a:pPr>
            <a:endParaRPr lang="cs-CZ"/>
          </a:p>
        </c:txPr>
        <c:crossAx val="70961408"/>
        <c:crosses val="autoZero"/>
        <c:crossBetween val="between"/>
      </c:valAx>
      <c:valAx>
        <c:axId val="78202752"/>
        <c:scaling>
          <c:orientation val="minMax"/>
          <c:max val="10"/>
          <c:min val="0"/>
        </c:scaling>
        <c:delete val="0"/>
        <c:axPos val="r"/>
        <c:numFmt formatCode="#,##0" sourceLinked="0"/>
        <c:majorTickMark val="out"/>
        <c:minorTickMark val="none"/>
        <c:tickLblPos val="nextTo"/>
        <c:txPr>
          <a:bodyPr/>
          <a:lstStyle/>
          <a:p>
            <a:pPr>
              <a:defRPr sz="800"/>
            </a:pPr>
            <a:endParaRPr lang="cs-CZ"/>
          </a:p>
        </c:txPr>
        <c:crossAx val="78204288"/>
        <c:crosses val="max"/>
        <c:crossBetween val="midCat"/>
        <c:minorUnit val="2.0000000000000004E-2"/>
      </c:valAx>
      <c:valAx>
        <c:axId val="78204288"/>
        <c:scaling>
          <c:orientation val="minMax"/>
        </c:scaling>
        <c:delete val="1"/>
        <c:axPos val="b"/>
        <c:majorTickMark val="out"/>
        <c:minorTickMark val="none"/>
        <c:tickLblPos val="nextTo"/>
        <c:crossAx val="78202752"/>
        <c:crosses val="autoZero"/>
        <c:crossBetween val="midCat"/>
      </c:valAx>
    </c:plotArea>
    <c:legend>
      <c:legendPos val="t"/>
      <c:overlay val="0"/>
      <c:txPr>
        <a:bodyPr/>
        <a:lstStyle/>
        <a:p>
          <a:pPr>
            <a:defRPr sz="800"/>
          </a:pPr>
          <a:endParaRPr lang="cs-CZ"/>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093132786624393E-2"/>
          <c:y val="3.948576782912612E-2"/>
          <c:w val="0.70953202750482636"/>
          <c:h val="0.85766624343830877"/>
        </c:manualLayout>
      </c:layout>
      <c:barChart>
        <c:barDir val="col"/>
        <c:grouping val="stacked"/>
        <c:varyColors val="0"/>
        <c:ser>
          <c:idx val="0"/>
          <c:order val="0"/>
          <c:tx>
            <c:strRef>
              <c:f>'Znevýhodněné sk.'!$O$25:$O$26</c:f>
              <c:strCache>
                <c:ptCount val="1"/>
                <c:pt idx="0">
                  <c:v>OZP</c:v>
                </c:pt>
              </c:strCache>
            </c:strRef>
          </c:tx>
          <c:invertIfNegative val="0"/>
          <c:cat>
            <c:strRef>
              <c:f>'Znevýhodněné sk.'!$M$27:$M$41</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sk.'!$O$27:$O$41</c:f>
              <c:numCache>
                <c:formatCode>0.00%</c:formatCode>
                <c:ptCount val="15"/>
                <c:pt idx="0">
                  <c:v>0.14304893109895037</c:v>
                </c:pt>
                <c:pt idx="1">
                  <c:v>9.1089830676960803E-2</c:v>
                </c:pt>
                <c:pt idx="2">
                  <c:v>0.13219216753066776</c:v>
                </c:pt>
                <c:pt idx="3">
                  <c:v>0.16848078411142636</c:v>
                </c:pt>
                <c:pt idx="4">
                  <c:v>0.1927669737291027</c:v>
                </c:pt>
                <c:pt idx="5">
                  <c:v>0.11300440827399118</c:v>
                </c:pt>
                <c:pt idx="6">
                  <c:v>0.14476284584980237</c:v>
                </c:pt>
                <c:pt idx="7">
                  <c:v>0.13779185295578739</c:v>
                </c:pt>
                <c:pt idx="8">
                  <c:v>0.14807288016818501</c:v>
                </c:pt>
                <c:pt idx="9">
                  <c:v>0.17734434649823003</c:v>
                </c:pt>
                <c:pt idx="10">
                  <c:v>0.17904028972385694</c:v>
                </c:pt>
                <c:pt idx="11">
                  <c:v>0.1450685266764562</c:v>
                </c:pt>
                <c:pt idx="12">
                  <c:v>0.13795055670881298</c:v>
                </c:pt>
                <c:pt idx="13">
                  <c:v>0.16631398629584845</c:v>
                </c:pt>
                <c:pt idx="14">
                  <c:v>0.13531451058779437</c:v>
                </c:pt>
              </c:numCache>
            </c:numRef>
          </c:val>
        </c:ser>
        <c:ser>
          <c:idx val="1"/>
          <c:order val="1"/>
          <c:tx>
            <c:strRef>
              <c:f>'Znevýhodněné sk.'!$P$25:$P$26</c:f>
              <c:strCache>
                <c:ptCount val="1"/>
                <c:pt idx="0">
                  <c:v>pečující o děti do 15 let</c:v>
                </c:pt>
              </c:strCache>
            </c:strRef>
          </c:tx>
          <c:invertIfNegative val="0"/>
          <c:cat>
            <c:strRef>
              <c:f>'Znevýhodněné sk.'!$M$27:$M$41</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sk.'!$P$27:$P$41</c:f>
              <c:numCache>
                <c:formatCode>0.00%</c:formatCode>
                <c:ptCount val="15"/>
                <c:pt idx="0">
                  <c:v>0.16702808012103637</c:v>
                </c:pt>
                <c:pt idx="1">
                  <c:v>0.10116306040624275</c:v>
                </c:pt>
                <c:pt idx="2">
                  <c:v>0.18292870707796541</c:v>
                </c:pt>
                <c:pt idx="3">
                  <c:v>0.15460407531596596</c:v>
                </c:pt>
                <c:pt idx="4">
                  <c:v>0.18130330945069942</c:v>
                </c:pt>
                <c:pt idx="5">
                  <c:v>0.18947100712105799</c:v>
                </c:pt>
                <c:pt idx="6">
                  <c:v>0.18565846209126841</c:v>
                </c:pt>
                <c:pt idx="7">
                  <c:v>0.20013661202185792</c:v>
                </c:pt>
                <c:pt idx="8">
                  <c:v>0.17056762438682552</c:v>
                </c:pt>
                <c:pt idx="9">
                  <c:v>0.17519261470118691</c:v>
                </c:pt>
                <c:pt idx="10">
                  <c:v>0.17853100950656406</c:v>
                </c:pt>
                <c:pt idx="11">
                  <c:v>0.16421928536465982</c:v>
                </c:pt>
                <c:pt idx="12">
                  <c:v>0.16142668428005283</c:v>
                </c:pt>
                <c:pt idx="13">
                  <c:v>0.1941757355904877</c:v>
                </c:pt>
                <c:pt idx="14">
                  <c:v>0.1537260291086264</c:v>
                </c:pt>
              </c:numCache>
            </c:numRef>
          </c:val>
        </c:ser>
        <c:ser>
          <c:idx val="2"/>
          <c:order val="2"/>
          <c:tx>
            <c:strRef>
              <c:f>'Znevýhodněné sk.'!$Q$25:$Q$26</c:f>
              <c:strCache>
                <c:ptCount val="1"/>
                <c:pt idx="0">
                  <c:v>těhotné kojící, do 9m po porodu</c:v>
                </c:pt>
              </c:strCache>
            </c:strRef>
          </c:tx>
          <c:invertIfNegative val="0"/>
          <c:cat>
            <c:strRef>
              <c:f>'Znevýhodněné sk.'!$M$27:$M$41</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sk.'!$Q$27:$Q$41</c:f>
              <c:numCache>
                <c:formatCode>0.00%</c:formatCode>
                <c:ptCount val="15"/>
                <c:pt idx="0">
                  <c:v>1.2357980245061921E-2</c:v>
                </c:pt>
                <c:pt idx="1">
                  <c:v>6.8590741906623814E-3</c:v>
                </c:pt>
                <c:pt idx="2">
                  <c:v>1.2780372632551456E-2</c:v>
                </c:pt>
                <c:pt idx="3">
                  <c:v>1.4289399019860717E-2</c:v>
                </c:pt>
                <c:pt idx="4">
                  <c:v>1.7195496417604914E-2</c:v>
                </c:pt>
                <c:pt idx="5">
                  <c:v>1.5513733468972533E-2</c:v>
                </c:pt>
                <c:pt idx="6">
                  <c:v>1.5024254401724757E-2</c:v>
                </c:pt>
                <c:pt idx="7">
                  <c:v>1.403378042722305E-2</c:v>
                </c:pt>
                <c:pt idx="8">
                  <c:v>1.0861948142957253E-2</c:v>
                </c:pt>
                <c:pt idx="9">
                  <c:v>1.5131533282432151E-2</c:v>
                </c:pt>
                <c:pt idx="10">
                  <c:v>1.4090086011770031E-2</c:v>
                </c:pt>
                <c:pt idx="11">
                  <c:v>1.0788872573013543E-2</c:v>
                </c:pt>
                <c:pt idx="12">
                  <c:v>1.1436120022645782E-2</c:v>
                </c:pt>
                <c:pt idx="13">
                  <c:v>1.1436920596533656E-2</c:v>
                </c:pt>
                <c:pt idx="14">
                  <c:v>1.124367543256918E-2</c:v>
                </c:pt>
              </c:numCache>
            </c:numRef>
          </c:val>
        </c:ser>
        <c:ser>
          <c:idx val="3"/>
          <c:order val="3"/>
          <c:tx>
            <c:strRef>
              <c:f>'Znevýhodněné sk.'!$R$25:$R$26</c:f>
              <c:strCache>
                <c:ptCount val="1"/>
                <c:pt idx="0">
                  <c:v>do 25 let</c:v>
                </c:pt>
              </c:strCache>
            </c:strRef>
          </c:tx>
          <c:invertIfNegative val="0"/>
          <c:cat>
            <c:strRef>
              <c:f>'Znevýhodněné sk.'!$M$27:$M$41</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sk.'!$R$27:$R$41</c:f>
              <c:numCache>
                <c:formatCode>0.00%</c:formatCode>
                <c:ptCount val="15"/>
                <c:pt idx="0">
                  <c:v>0.12276432783652749</c:v>
                </c:pt>
                <c:pt idx="1">
                  <c:v>9.7451870505980975E-2</c:v>
                </c:pt>
                <c:pt idx="2">
                  <c:v>0.12585330801211311</c:v>
                </c:pt>
                <c:pt idx="3">
                  <c:v>0.12463244776889347</c:v>
                </c:pt>
                <c:pt idx="4">
                  <c:v>0.1181166837256909</c:v>
                </c:pt>
                <c:pt idx="5">
                  <c:v>0.12978975924042049</c:v>
                </c:pt>
                <c:pt idx="6">
                  <c:v>0.13382590729428673</c:v>
                </c:pt>
                <c:pt idx="7">
                  <c:v>0.1358668653750621</c:v>
                </c:pt>
                <c:pt idx="8">
                  <c:v>0.13637000700770849</c:v>
                </c:pt>
                <c:pt idx="9">
                  <c:v>0.13375442493232456</c:v>
                </c:pt>
                <c:pt idx="10">
                  <c:v>0.12375509280217292</c:v>
                </c:pt>
                <c:pt idx="11">
                  <c:v>0.12577500407896883</c:v>
                </c:pt>
                <c:pt idx="12">
                  <c:v>0.11602189092281563</c:v>
                </c:pt>
                <c:pt idx="13">
                  <c:v>0.12182587666263603</c:v>
                </c:pt>
                <c:pt idx="14">
                  <c:v>0.11602848397776251</c:v>
                </c:pt>
              </c:numCache>
            </c:numRef>
          </c:val>
        </c:ser>
        <c:ser>
          <c:idx val="4"/>
          <c:order val="4"/>
          <c:tx>
            <c:strRef>
              <c:f>'Znevýhodněné sk.'!$S$25:$S$26</c:f>
              <c:strCache>
                <c:ptCount val="1"/>
                <c:pt idx="0">
                  <c:v>nad 50 let</c:v>
                </c:pt>
              </c:strCache>
            </c:strRef>
          </c:tx>
          <c:invertIfNegative val="0"/>
          <c:cat>
            <c:strRef>
              <c:f>'Znevýhodněné sk.'!$M$27:$M$41</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sk.'!$S$27:$S$41</c:f>
              <c:numCache>
                <c:formatCode>0.00%</c:formatCode>
                <c:ptCount val="15"/>
                <c:pt idx="0">
                  <c:v>0.33391718868404424</c:v>
                </c:pt>
                <c:pt idx="1">
                  <c:v>0.30285960436064813</c:v>
                </c:pt>
                <c:pt idx="2">
                  <c:v>0.33180208386798749</c:v>
                </c:pt>
                <c:pt idx="3">
                  <c:v>0.35119938096466341</c:v>
                </c:pt>
                <c:pt idx="4">
                  <c:v>0.35619242579324462</c:v>
                </c:pt>
                <c:pt idx="5">
                  <c:v>0.33867412682265174</c:v>
                </c:pt>
                <c:pt idx="6">
                  <c:v>0.31074829320876751</c:v>
                </c:pt>
                <c:pt idx="7">
                  <c:v>0.30930203676105317</c:v>
                </c:pt>
                <c:pt idx="8">
                  <c:v>0.32831114225648211</c:v>
                </c:pt>
                <c:pt idx="9">
                  <c:v>0.34504060526133129</c:v>
                </c:pt>
                <c:pt idx="10">
                  <c:v>0.34846084200995925</c:v>
                </c:pt>
                <c:pt idx="11">
                  <c:v>0.31779246206558981</c:v>
                </c:pt>
                <c:pt idx="12">
                  <c:v>0.34829213059067748</c:v>
                </c:pt>
                <c:pt idx="13">
                  <c:v>0.35706368399838773</c:v>
                </c:pt>
                <c:pt idx="14">
                  <c:v>0.3548941220563433</c:v>
                </c:pt>
              </c:numCache>
            </c:numRef>
          </c:val>
        </c:ser>
        <c:ser>
          <c:idx val="5"/>
          <c:order val="5"/>
          <c:tx>
            <c:strRef>
              <c:f>'Znevýhodněné sk.'!$T$25:$T$26</c:f>
              <c:strCache>
                <c:ptCount val="1"/>
                <c:pt idx="0">
                  <c:v>bez vzděl. nebo se ZŠ</c:v>
                </c:pt>
              </c:strCache>
            </c:strRef>
          </c:tx>
          <c:invertIfNegative val="0"/>
          <c:cat>
            <c:strRef>
              <c:f>'Znevýhodněné sk.'!$M$27:$M$41</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sk.'!$T$27:$T$41</c:f>
              <c:numCache>
                <c:formatCode>0.00%</c:formatCode>
                <c:ptCount val="15"/>
                <c:pt idx="0">
                  <c:v>0.29982720328916834</c:v>
                </c:pt>
                <c:pt idx="1">
                  <c:v>0.20885383876205307</c:v>
                </c:pt>
                <c:pt idx="2">
                  <c:v>0.28422214238053689</c:v>
                </c:pt>
                <c:pt idx="3">
                  <c:v>0.25813773536239359</c:v>
                </c:pt>
                <c:pt idx="4">
                  <c:v>0.30160354827703856</c:v>
                </c:pt>
                <c:pt idx="5">
                  <c:v>0.50042387249915221</c:v>
                </c:pt>
                <c:pt idx="6">
                  <c:v>0.45773445921667266</c:v>
                </c:pt>
                <c:pt idx="7">
                  <c:v>0.33283656234475906</c:v>
                </c:pt>
                <c:pt idx="8">
                  <c:v>0.30462508759635598</c:v>
                </c:pt>
                <c:pt idx="9">
                  <c:v>0.26945234955230096</c:v>
                </c:pt>
                <c:pt idx="10">
                  <c:v>0.18277501131733817</c:v>
                </c:pt>
                <c:pt idx="11">
                  <c:v>0.24969407733724913</c:v>
                </c:pt>
                <c:pt idx="12">
                  <c:v>0.27714663143989432</c:v>
                </c:pt>
                <c:pt idx="13">
                  <c:v>0.18626561870213623</c:v>
                </c:pt>
                <c:pt idx="14">
                  <c:v>0.33039227934286963</c:v>
                </c:pt>
              </c:numCache>
            </c:numRef>
          </c:val>
        </c:ser>
        <c:ser>
          <c:idx val="6"/>
          <c:order val="6"/>
          <c:tx>
            <c:strRef>
              <c:f>'Znevýhodněné sk.'!$V$26</c:f>
              <c:strCache>
                <c:ptCount val="1"/>
                <c:pt idx="0">
                  <c:v>12M-24M</c:v>
                </c:pt>
              </c:strCache>
            </c:strRef>
          </c:tx>
          <c:invertIfNegative val="0"/>
          <c:cat>
            <c:strRef>
              <c:f>'Znevýhodněné sk.'!$M$27:$M$41</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sk.'!$V$27:$V$41</c:f>
              <c:numCache>
                <c:formatCode>0.00%</c:formatCode>
                <c:ptCount val="15"/>
                <c:pt idx="0">
                  <c:v>0.11865811161251583</c:v>
                </c:pt>
                <c:pt idx="1">
                  <c:v>0.14685708605321582</c:v>
                </c:pt>
                <c:pt idx="2">
                  <c:v>0.11358620335677257</c:v>
                </c:pt>
                <c:pt idx="3">
                  <c:v>9.2597369099819443E-2</c:v>
                </c:pt>
                <c:pt idx="4">
                  <c:v>0.10194472876151484</c:v>
                </c:pt>
                <c:pt idx="5">
                  <c:v>0.11961681926076637</c:v>
                </c:pt>
                <c:pt idx="6">
                  <c:v>0.13115343154868847</c:v>
                </c:pt>
                <c:pt idx="7">
                  <c:v>0.11444361649279682</c:v>
                </c:pt>
                <c:pt idx="8">
                  <c:v>0.11387526278906797</c:v>
                </c:pt>
                <c:pt idx="9">
                  <c:v>8.9609217741375716E-2</c:v>
                </c:pt>
                <c:pt idx="10">
                  <c:v>9.9309642372114079E-2</c:v>
                </c:pt>
                <c:pt idx="11">
                  <c:v>0.12555066079295155</c:v>
                </c:pt>
                <c:pt idx="12">
                  <c:v>0.10662389130024533</c:v>
                </c:pt>
                <c:pt idx="13">
                  <c:v>0.11089278516727126</c:v>
                </c:pt>
                <c:pt idx="14">
                  <c:v>0.12741270535323881</c:v>
                </c:pt>
              </c:numCache>
            </c:numRef>
          </c:val>
        </c:ser>
        <c:ser>
          <c:idx val="7"/>
          <c:order val="7"/>
          <c:tx>
            <c:strRef>
              <c:f>'Znevýhodněné sk.'!$W$26</c:f>
              <c:strCache>
                <c:ptCount val="1"/>
                <c:pt idx="0">
                  <c:v>nad 24M</c:v>
                </c:pt>
              </c:strCache>
            </c:strRef>
          </c:tx>
          <c:invertIfNegative val="0"/>
          <c:cat>
            <c:strRef>
              <c:f>'Znevýhodněné sk.'!$M$27:$M$41</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sk.'!$W$27:$W$41</c:f>
              <c:numCache>
                <c:formatCode>0.00%</c:formatCode>
                <c:ptCount val="15"/>
                <c:pt idx="0">
                  <c:v>0.25935239253958725</c:v>
                </c:pt>
                <c:pt idx="1">
                  <c:v>0.2123330792935485</c:v>
                </c:pt>
                <c:pt idx="2">
                  <c:v>0.23561566493866448</c:v>
                </c:pt>
                <c:pt idx="3">
                  <c:v>0.16136187774052102</c:v>
                </c:pt>
                <c:pt idx="4">
                  <c:v>0.2220402592971682</c:v>
                </c:pt>
                <c:pt idx="5">
                  <c:v>0.29950830790098337</c:v>
                </c:pt>
                <c:pt idx="6">
                  <c:v>0.32000089831117501</c:v>
                </c:pt>
                <c:pt idx="7">
                  <c:v>0.23335817188276203</c:v>
                </c:pt>
                <c:pt idx="8">
                  <c:v>0.19488437281009111</c:v>
                </c:pt>
                <c:pt idx="9">
                  <c:v>0.17352675782605678</c:v>
                </c:pt>
                <c:pt idx="10">
                  <c:v>0.24298325033952015</c:v>
                </c:pt>
                <c:pt idx="11">
                  <c:v>0.26986457823462229</c:v>
                </c:pt>
                <c:pt idx="12">
                  <c:v>0.25989809397999625</c:v>
                </c:pt>
                <c:pt idx="13">
                  <c:v>0.21291817815397018</c:v>
                </c:pt>
                <c:pt idx="14">
                  <c:v>0.33543631707164717</c:v>
                </c:pt>
              </c:numCache>
            </c:numRef>
          </c:val>
        </c:ser>
        <c:dLbls>
          <c:showLegendKey val="0"/>
          <c:showVal val="0"/>
          <c:showCatName val="0"/>
          <c:showSerName val="0"/>
          <c:showPercent val="0"/>
          <c:showBubbleSize val="0"/>
        </c:dLbls>
        <c:gapWidth val="150"/>
        <c:overlap val="100"/>
        <c:axId val="79803904"/>
        <c:axId val="79805440"/>
      </c:barChart>
      <c:catAx>
        <c:axId val="79803904"/>
        <c:scaling>
          <c:orientation val="minMax"/>
        </c:scaling>
        <c:delete val="0"/>
        <c:axPos val="b"/>
        <c:majorTickMark val="out"/>
        <c:minorTickMark val="none"/>
        <c:tickLblPos val="nextTo"/>
        <c:txPr>
          <a:bodyPr/>
          <a:lstStyle/>
          <a:p>
            <a:pPr>
              <a:defRPr sz="800"/>
            </a:pPr>
            <a:endParaRPr lang="cs-CZ"/>
          </a:p>
        </c:txPr>
        <c:crossAx val="79805440"/>
        <c:crosses val="autoZero"/>
        <c:auto val="1"/>
        <c:lblAlgn val="ctr"/>
        <c:lblOffset val="100"/>
        <c:noMultiLvlLbl val="0"/>
      </c:catAx>
      <c:valAx>
        <c:axId val="79805440"/>
        <c:scaling>
          <c:orientation val="minMax"/>
        </c:scaling>
        <c:delete val="0"/>
        <c:axPos val="l"/>
        <c:majorGridlines/>
        <c:numFmt formatCode="0%" sourceLinked="0"/>
        <c:majorTickMark val="out"/>
        <c:minorTickMark val="none"/>
        <c:tickLblPos val="nextTo"/>
        <c:txPr>
          <a:bodyPr/>
          <a:lstStyle/>
          <a:p>
            <a:pPr>
              <a:defRPr sz="800"/>
            </a:pPr>
            <a:endParaRPr lang="cs-CZ"/>
          </a:p>
        </c:txPr>
        <c:crossAx val="79803904"/>
        <c:crosses val="autoZero"/>
        <c:crossBetween val="between"/>
      </c:valAx>
    </c:plotArea>
    <c:legend>
      <c:legendPos val="r"/>
      <c:layout>
        <c:manualLayout>
          <c:xMode val="edge"/>
          <c:yMode val="edge"/>
          <c:x val="0.79340127112210146"/>
          <c:y val="4.261004034466101E-2"/>
          <c:w val="0.19337889761779203"/>
          <c:h val="0.89505413553178892"/>
        </c:manualLayout>
      </c:layout>
      <c:overlay val="0"/>
      <c:txPr>
        <a:bodyPr/>
        <a:lstStyle/>
        <a:p>
          <a:pPr>
            <a:defRPr sz="800"/>
          </a:pPr>
          <a:endParaRPr lang="cs-CZ"/>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09291639404673E-2"/>
          <c:y val="0.16738603218401593"/>
          <c:w val="0.8768124901292782"/>
          <c:h val="0.61502880035275564"/>
        </c:manualLayout>
      </c:layout>
      <c:barChart>
        <c:barDir val="bar"/>
        <c:grouping val="percentStacked"/>
        <c:varyColors val="0"/>
        <c:ser>
          <c:idx val="0"/>
          <c:order val="0"/>
          <c:tx>
            <c:strRef>
              <c:f>'Doba nezaměstnanosti'!$B$23</c:f>
              <c:strCache>
                <c:ptCount val="1"/>
                <c:pt idx="0">
                  <c:v>do 3M</c:v>
                </c:pt>
              </c:strCache>
            </c:strRef>
          </c:tx>
          <c:spPr>
            <a:solidFill>
              <a:srgbClr val="7ABC32"/>
            </a:solidFill>
          </c:spPr>
          <c:invertIfNegative val="0"/>
          <c:dLbls>
            <c:numFmt formatCode="#,##0" sourceLinked="0"/>
            <c:txPr>
              <a:bodyPr/>
              <a:lstStyle/>
              <a:p>
                <a:pPr>
                  <a:defRPr sz="800"/>
                </a:pPr>
                <a:endParaRPr lang="cs-CZ"/>
              </a:p>
            </c:txPr>
            <c:dLblPos val="ctr"/>
            <c:showLegendKey val="0"/>
            <c:showVal val="1"/>
            <c:showCatName val="0"/>
            <c:showSerName val="0"/>
            <c:showPercent val="0"/>
            <c:showBubbleSize val="0"/>
            <c:showLeaderLines val="0"/>
          </c:dLbls>
          <c:cat>
            <c:strRef>
              <c:f>'Doba nezaměstnanosti'!$A$24:$A$26</c:f>
              <c:strCache>
                <c:ptCount val="3"/>
                <c:pt idx="0">
                  <c:v>ČR 12_15</c:v>
                </c:pt>
                <c:pt idx="1">
                  <c:v>ČR 9_16</c:v>
                </c:pt>
                <c:pt idx="2">
                  <c:v>ČR 12_16</c:v>
                </c:pt>
              </c:strCache>
            </c:strRef>
          </c:cat>
          <c:val>
            <c:numRef>
              <c:f>'Doba nezaměstnanosti'!$B$24:$B$26</c:f>
              <c:numCache>
                <c:formatCode>General</c:formatCode>
                <c:ptCount val="3"/>
                <c:pt idx="0">
                  <c:v>129421</c:v>
                </c:pt>
                <c:pt idx="1">
                  <c:v>105171</c:v>
                </c:pt>
                <c:pt idx="2">
                  <c:v>117961</c:v>
                </c:pt>
              </c:numCache>
            </c:numRef>
          </c:val>
        </c:ser>
        <c:ser>
          <c:idx val="1"/>
          <c:order val="1"/>
          <c:tx>
            <c:strRef>
              <c:f>'Doba nezaměstnanosti'!$C$23</c:f>
              <c:strCache>
                <c:ptCount val="1"/>
                <c:pt idx="0">
                  <c:v>3-6M</c:v>
                </c:pt>
              </c:strCache>
            </c:strRef>
          </c:tx>
          <c:spPr>
            <a:solidFill>
              <a:schemeClr val="accent5">
                <a:lumMod val="40000"/>
                <a:lumOff val="60000"/>
              </a:schemeClr>
            </a:solidFill>
          </c:spPr>
          <c:invertIfNegative val="0"/>
          <c:dLbls>
            <c:numFmt formatCode="#,##0" sourceLinked="0"/>
            <c:txPr>
              <a:bodyPr/>
              <a:lstStyle/>
              <a:p>
                <a:pPr>
                  <a:defRPr sz="800"/>
                </a:pPr>
                <a:endParaRPr lang="cs-CZ"/>
              </a:p>
            </c:txPr>
            <c:dLblPos val="ctr"/>
            <c:showLegendKey val="0"/>
            <c:showVal val="1"/>
            <c:showCatName val="0"/>
            <c:showSerName val="0"/>
            <c:showPercent val="0"/>
            <c:showBubbleSize val="0"/>
            <c:showLeaderLines val="0"/>
          </c:dLbls>
          <c:cat>
            <c:strRef>
              <c:f>'Doba nezaměstnanosti'!$A$24:$A$26</c:f>
              <c:strCache>
                <c:ptCount val="3"/>
                <c:pt idx="0">
                  <c:v>ČR 12_15</c:v>
                </c:pt>
                <c:pt idx="1">
                  <c:v>ČR 9_16</c:v>
                </c:pt>
                <c:pt idx="2">
                  <c:v>ČR 12_16</c:v>
                </c:pt>
              </c:strCache>
            </c:strRef>
          </c:cat>
          <c:val>
            <c:numRef>
              <c:f>'Doba nezaměstnanosti'!$C$24:$C$26</c:f>
              <c:numCache>
                <c:formatCode>General</c:formatCode>
                <c:ptCount val="3"/>
                <c:pt idx="0">
                  <c:v>70362</c:v>
                </c:pt>
                <c:pt idx="1">
                  <c:v>58156</c:v>
                </c:pt>
                <c:pt idx="2">
                  <c:v>61690</c:v>
                </c:pt>
              </c:numCache>
            </c:numRef>
          </c:val>
        </c:ser>
        <c:ser>
          <c:idx val="2"/>
          <c:order val="2"/>
          <c:tx>
            <c:strRef>
              <c:f>'Doba nezaměstnanosti'!$D$23</c:f>
              <c:strCache>
                <c:ptCount val="1"/>
                <c:pt idx="0">
                  <c:v>6-9M</c:v>
                </c:pt>
              </c:strCache>
            </c:strRef>
          </c:tx>
          <c:spPr>
            <a:solidFill>
              <a:schemeClr val="accent5">
                <a:lumMod val="60000"/>
                <a:lumOff val="40000"/>
              </a:schemeClr>
            </a:solidFill>
          </c:spPr>
          <c:invertIfNegative val="0"/>
          <c:dLbls>
            <c:numFmt formatCode="#,##0" sourceLinked="0"/>
            <c:txPr>
              <a:bodyPr/>
              <a:lstStyle/>
              <a:p>
                <a:pPr>
                  <a:defRPr sz="800"/>
                </a:pPr>
                <a:endParaRPr lang="cs-CZ"/>
              </a:p>
            </c:txPr>
            <c:dLblPos val="ctr"/>
            <c:showLegendKey val="0"/>
            <c:showVal val="1"/>
            <c:showCatName val="0"/>
            <c:showSerName val="0"/>
            <c:showPercent val="0"/>
            <c:showBubbleSize val="0"/>
            <c:showLeaderLines val="0"/>
          </c:dLbls>
          <c:cat>
            <c:strRef>
              <c:f>'Doba nezaměstnanosti'!$A$24:$A$26</c:f>
              <c:strCache>
                <c:ptCount val="3"/>
                <c:pt idx="0">
                  <c:v>ČR 12_15</c:v>
                </c:pt>
                <c:pt idx="1">
                  <c:v>ČR 9_16</c:v>
                </c:pt>
                <c:pt idx="2">
                  <c:v>ČR 12_16</c:v>
                </c:pt>
              </c:strCache>
            </c:strRef>
          </c:cat>
          <c:val>
            <c:numRef>
              <c:f>'Doba nezaměstnanosti'!$D$24:$D$26</c:f>
              <c:numCache>
                <c:formatCode>General</c:formatCode>
                <c:ptCount val="3"/>
                <c:pt idx="0">
                  <c:v>37867</c:v>
                </c:pt>
                <c:pt idx="1">
                  <c:v>36824</c:v>
                </c:pt>
                <c:pt idx="2">
                  <c:v>34298</c:v>
                </c:pt>
              </c:numCache>
            </c:numRef>
          </c:val>
        </c:ser>
        <c:ser>
          <c:idx val="3"/>
          <c:order val="3"/>
          <c:tx>
            <c:strRef>
              <c:f>'Doba nezaměstnanosti'!$E$23</c:f>
              <c:strCache>
                <c:ptCount val="1"/>
                <c:pt idx="0">
                  <c:v>9-12M</c:v>
                </c:pt>
              </c:strCache>
            </c:strRef>
          </c:tx>
          <c:spPr>
            <a:solidFill>
              <a:schemeClr val="accent4">
                <a:lumMod val="60000"/>
                <a:lumOff val="40000"/>
              </a:schemeClr>
            </a:solidFill>
          </c:spPr>
          <c:invertIfNegative val="0"/>
          <c:dLbls>
            <c:numFmt formatCode="#,##0" sourceLinked="0"/>
            <c:txPr>
              <a:bodyPr/>
              <a:lstStyle/>
              <a:p>
                <a:pPr>
                  <a:defRPr sz="800"/>
                </a:pPr>
                <a:endParaRPr lang="cs-CZ"/>
              </a:p>
            </c:txPr>
            <c:dLblPos val="ctr"/>
            <c:showLegendKey val="0"/>
            <c:showVal val="1"/>
            <c:showCatName val="0"/>
            <c:showSerName val="0"/>
            <c:showPercent val="0"/>
            <c:showBubbleSize val="0"/>
            <c:showLeaderLines val="0"/>
          </c:dLbls>
          <c:cat>
            <c:strRef>
              <c:f>'Doba nezaměstnanosti'!$A$24:$A$26</c:f>
              <c:strCache>
                <c:ptCount val="3"/>
                <c:pt idx="0">
                  <c:v>ČR 12_15</c:v>
                </c:pt>
                <c:pt idx="1">
                  <c:v>ČR 9_16</c:v>
                </c:pt>
                <c:pt idx="2">
                  <c:v>ČR 12_16</c:v>
                </c:pt>
              </c:strCache>
            </c:strRef>
          </c:cat>
          <c:val>
            <c:numRef>
              <c:f>'Doba nezaměstnanosti'!$E$24:$E$26</c:f>
              <c:numCache>
                <c:formatCode>General</c:formatCode>
                <c:ptCount val="3"/>
                <c:pt idx="0">
                  <c:v>27913</c:v>
                </c:pt>
                <c:pt idx="1">
                  <c:v>23834</c:v>
                </c:pt>
                <c:pt idx="2">
                  <c:v>23261</c:v>
                </c:pt>
              </c:numCache>
            </c:numRef>
          </c:val>
        </c:ser>
        <c:ser>
          <c:idx val="4"/>
          <c:order val="4"/>
          <c:tx>
            <c:strRef>
              <c:f>'Doba nezaměstnanosti'!$F$23</c:f>
              <c:strCache>
                <c:ptCount val="1"/>
                <c:pt idx="0">
                  <c:v>12-24M</c:v>
                </c:pt>
              </c:strCache>
            </c:strRef>
          </c:tx>
          <c:spPr>
            <a:solidFill>
              <a:srgbClr val="FF9999"/>
            </a:solidFill>
          </c:spPr>
          <c:invertIfNegative val="0"/>
          <c:dLbls>
            <c:numFmt formatCode="#,##0" sourceLinked="0"/>
            <c:txPr>
              <a:bodyPr/>
              <a:lstStyle/>
              <a:p>
                <a:pPr>
                  <a:defRPr sz="800"/>
                </a:pPr>
                <a:endParaRPr lang="cs-CZ"/>
              </a:p>
            </c:txPr>
            <c:dLblPos val="ctr"/>
            <c:showLegendKey val="0"/>
            <c:showVal val="1"/>
            <c:showCatName val="0"/>
            <c:showSerName val="0"/>
            <c:showPercent val="0"/>
            <c:showBubbleSize val="0"/>
            <c:showLeaderLines val="0"/>
          </c:dLbls>
          <c:cat>
            <c:strRef>
              <c:f>'Doba nezaměstnanosti'!$A$24:$A$26</c:f>
              <c:strCache>
                <c:ptCount val="3"/>
                <c:pt idx="0">
                  <c:v>ČR 12_15</c:v>
                </c:pt>
                <c:pt idx="1">
                  <c:v>ČR 9_16</c:v>
                </c:pt>
                <c:pt idx="2">
                  <c:v>ČR 12_16</c:v>
                </c:pt>
              </c:strCache>
            </c:strRef>
          </c:cat>
          <c:val>
            <c:numRef>
              <c:f>'Doba nezaměstnanosti'!$F$24:$F$26</c:f>
              <c:numCache>
                <c:formatCode>General</c:formatCode>
                <c:ptCount val="3"/>
                <c:pt idx="0">
                  <c:v>58232</c:v>
                </c:pt>
                <c:pt idx="1">
                  <c:v>47430</c:v>
                </c:pt>
                <c:pt idx="2">
                  <c:v>45253</c:v>
                </c:pt>
              </c:numCache>
            </c:numRef>
          </c:val>
        </c:ser>
        <c:ser>
          <c:idx val="5"/>
          <c:order val="5"/>
          <c:tx>
            <c:strRef>
              <c:f>'Doba nezaměstnanosti'!$G$23</c:f>
              <c:strCache>
                <c:ptCount val="1"/>
                <c:pt idx="0">
                  <c:v>nad 24M</c:v>
                </c:pt>
              </c:strCache>
            </c:strRef>
          </c:tx>
          <c:spPr>
            <a:solidFill>
              <a:srgbClr val="FF6969"/>
            </a:solidFill>
          </c:spPr>
          <c:invertIfNegative val="0"/>
          <c:dLbls>
            <c:numFmt formatCode="#,##0" sourceLinked="0"/>
            <c:txPr>
              <a:bodyPr/>
              <a:lstStyle/>
              <a:p>
                <a:pPr>
                  <a:defRPr sz="800"/>
                </a:pPr>
                <a:endParaRPr lang="cs-CZ"/>
              </a:p>
            </c:txPr>
            <c:dLblPos val="ctr"/>
            <c:showLegendKey val="0"/>
            <c:showVal val="1"/>
            <c:showCatName val="0"/>
            <c:showSerName val="0"/>
            <c:showPercent val="0"/>
            <c:showBubbleSize val="0"/>
            <c:showLeaderLines val="0"/>
          </c:dLbls>
          <c:cat>
            <c:strRef>
              <c:f>'Doba nezaměstnanosti'!$A$24:$A$26</c:f>
              <c:strCache>
                <c:ptCount val="3"/>
                <c:pt idx="0">
                  <c:v>ČR 12_15</c:v>
                </c:pt>
                <c:pt idx="1">
                  <c:v>ČR 9_16</c:v>
                </c:pt>
                <c:pt idx="2">
                  <c:v>ČR 12_16</c:v>
                </c:pt>
              </c:strCache>
            </c:strRef>
          </c:cat>
          <c:val>
            <c:numRef>
              <c:f>'Doba nezaměstnanosti'!$G$24:$G$26</c:f>
              <c:numCache>
                <c:formatCode>General</c:formatCode>
                <c:ptCount val="3"/>
                <c:pt idx="0">
                  <c:v>129323</c:v>
                </c:pt>
                <c:pt idx="1">
                  <c:v>106843</c:v>
                </c:pt>
                <c:pt idx="2">
                  <c:v>98910</c:v>
                </c:pt>
              </c:numCache>
            </c:numRef>
          </c:val>
        </c:ser>
        <c:dLbls>
          <c:dLblPos val="ctr"/>
          <c:showLegendKey val="0"/>
          <c:showVal val="1"/>
          <c:showCatName val="0"/>
          <c:showSerName val="0"/>
          <c:showPercent val="0"/>
          <c:showBubbleSize val="0"/>
        </c:dLbls>
        <c:gapWidth val="150"/>
        <c:overlap val="100"/>
        <c:axId val="81208832"/>
        <c:axId val="81210368"/>
      </c:barChart>
      <c:catAx>
        <c:axId val="81208832"/>
        <c:scaling>
          <c:orientation val="maxMin"/>
        </c:scaling>
        <c:delete val="0"/>
        <c:axPos val="l"/>
        <c:majorTickMark val="out"/>
        <c:minorTickMark val="none"/>
        <c:tickLblPos val="nextTo"/>
        <c:txPr>
          <a:bodyPr/>
          <a:lstStyle/>
          <a:p>
            <a:pPr>
              <a:defRPr sz="800"/>
            </a:pPr>
            <a:endParaRPr lang="cs-CZ"/>
          </a:p>
        </c:txPr>
        <c:crossAx val="81210368"/>
        <c:crosses val="autoZero"/>
        <c:auto val="1"/>
        <c:lblAlgn val="ctr"/>
        <c:lblOffset val="100"/>
        <c:noMultiLvlLbl val="0"/>
      </c:catAx>
      <c:valAx>
        <c:axId val="81210368"/>
        <c:scaling>
          <c:orientation val="minMax"/>
        </c:scaling>
        <c:delete val="0"/>
        <c:axPos val="t"/>
        <c:majorGridlines>
          <c:spPr>
            <a:ln w="12700">
              <a:solidFill>
                <a:schemeClr val="tx1"/>
              </a:solidFill>
            </a:ln>
          </c:spPr>
        </c:majorGridlines>
        <c:minorGridlines/>
        <c:numFmt formatCode="0%" sourceLinked="1"/>
        <c:majorTickMark val="out"/>
        <c:minorTickMark val="none"/>
        <c:tickLblPos val="nextTo"/>
        <c:spPr>
          <a:ln w="12700">
            <a:solidFill>
              <a:schemeClr val="tx1"/>
            </a:solidFill>
          </a:ln>
        </c:spPr>
        <c:txPr>
          <a:bodyPr/>
          <a:lstStyle/>
          <a:p>
            <a:pPr>
              <a:defRPr sz="800"/>
            </a:pPr>
            <a:endParaRPr lang="cs-CZ"/>
          </a:p>
        </c:txPr>
        <c:crossAx val="81208832"/>
        <c:crosses val="autoZero"/>
        <c:crossBetween val="between"/>
        <c:majorUnit val="5.000000000000001E-2"/>
        <c:minorUnit val="1.0000000000000002E-2"/>
      </c:valAx>
    </c:plotArea>
    <c:legend>
      <c:legendPos val="b"/>
      <c:overlay val="0"/>
      <c:txPr>
        <a:bodyPr/>
        <a:lstStyle/>
        <a:p>
          <a:pPr>
            <a:defRPr sz="800"/>
          </a:pPr>
          <a:endParaRPr lang="cs-CZ"/>
        </a:p>
      </c:txPr>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C6B91-812F-469F-A292-FED4CCB8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18</Pages>
  <Words>14215</Words>
  <Characters>83871</Characters>
  <Application>Microsoft Office Word</Application>
  <DocSecurity>0</DocSecurity>
  <Lines>698</Lines>
  <Paragraphs>195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Dudek Pavel Mgr. (MPSV)</dc:creator>
  <cp:lastModifiedBy>Dudek Pavel Mgr. (MPSV)</cp:lastModifiedBy>
  <cp:revision>30</cp:revision>
  <cp:lastPrinted>2017-03-21T13:23:00Z</cp:lastPrinted>
  <dcterms:created xsi:type="dcterms:W3CDTF">2017-03-06T08:41:00Z</dcterms:created>
  <dcterms:modified xsi:type="dcterms:W3CDTF">2017-03-22T08:32:00Z</dcterms:modified>
</cp:coreProperties>
</file>