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1.xml" ContentType="application/vnd.openxmlformats-officedocument.drawingml.chartshapes+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13" w:rsidRDefault="00184D13" w:rsidP="00110B70">
      <w:pPr>
        <w:spacing w:line="240" w:lineRule="auto"/>
        <w:jc w:val="center"/>
      </w:pPr>
      <w:bookmarkStart w:id="0" w:name="_GoBack"/>
      <w:bookmarkEnd w:id="0"/>
      <w:r>
        <w:rPr>
          <w:noProof/>
          <w:lang w:eastAsia="cs-CZ"/>
        </w:rPr>
        <w:drawing>
          <wp:inline distT="0" distB="0" distL="0" distR="0" wp14:anchorId="40F4D7C3" wp14:editId="0C063CAB">
            <wp:extent cx="1009650" cy="971550"/>
            <wp:effectExtent l="0" t="0" r="0" b="0"/>
            <wp:docPr id="519" name="Obrázek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p>
    <w:p w:rsidR="00184D13" w:rsidRDefault="00184D13" w:rsidP="00110B70">
      <w:pPr>
        <w:spacing w:line="240" w:lineRule="auto"/>
        <w:jc w:val="center"/>
      </w:pPr>
    </w:p>
    <w:p w:rsidR="00184D13" w:rsidRDefault="00184D13" w:rsidP="00110B70">
      <w:pPr>
        <w:spacing w:line="240" w:lineRule="auto"/>
        <w:jc w:val="center"/>
      </w:pPr>
    </w:p>
    <w:p w:rsidR="00184D13" w:rsidRDefault="00184D13" w:rsidP="00110B70">
      <w:pPr>
        <w:spacing w:line="240" w:lineRule="auto"/>
        <w:jc w:val="center"/>
      </w:pPr>
    </w:p>
    <w:p w:rsidR="00184D13" w:rsidRPr="006C25CB" w:rsidRDefault="00184D13" w:rsidP="00110B70">
      <w:pPr>
        <w:spacing w:line="240" w:lineRule="auto"/>
        <w:ind w:firstLine="1"/>
        <w:jc w:val="center"/>
        <w:rPr>
          <w:caps/>
          <w:spacing w:val="60"/>
        </w:rPr>
      </w:pPr>
      <w:r w:rsidRPr="006C25CB">
        <w:rPr>
          <w:caps/>
          <w:spacing w:val="60"/>
        </w:rPr>
        <w:t>Ministerstvo práce a sociálních věcí</w:t>
      </w:r>
    </w:p>
    <w:p w:rsidR="00184D13" w:rsidRDefault="00184D13" w:rsidP="00110B70">
      <w:pPr>
        <w:spacing w:line="240" w:lineRule="auto"/>
        <w:jc w:val="center"/>
      </w:pPr>
      <w:r w:rsidRPr="006C25CB">
        <w:rPr>
          <w:noProof/>
          <w:lang w:eastAsia="cs-CZ"/>
        </w:rPr>
        <mc:AlternateContent>
          <mc:Choice Requires="wps">
            <w:drawing>
              <wp:anchor distT="0" distB="0" distL="114300" distR="114300" simplePos="0" relativeHeight="251659264" behindDoc="0" locked="0" layoutInCell="0" allowOverlap="1" wp14:anchorId="46C0D62A" wp14:editId="6EE4DF6C">
                <wp:simplePos x="0" y="0"/>
                <wp:positionH relativeFrom="column">
                  <wp:posOffset>-61595</wp:posOffset>
                </wp:positionH>
                <wp:positionV relativeFrom="paragraph">
                  <wp:posOffset>104140</wp:posOffset>
                </wp:positionV>
                <wp:extent cx="6111875" cy="0"/>
                <wp:effectExtent l="0" t="0" r="22225" b="19050"/>
                <wp:wrapNone/>
                <wp:docPr id="31" name="Přímá spojnic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Přímá spojnic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8.2pt" to="476.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" o:allowincell="f"/>
            </w:pict>
          </mc:Fallback>
        </mc:AlternateContent>
      </w:r>
    </w:p>
    <w:p w:rsidR="00184D13" w:rsidRDefault="00184D13" w:rsidP="00110B70">
      <w:pPr>
        <w:spacing w:line="240" w:lineRule="auto"/>
      </w:pPr>
    </w:p>
    <w:p w:rsidR="00184D13" w:rsidRDefault="00184D13" w:rsidP="00110B70">
      <w:pPr>
        <w:spacing w:line="240" w:lineRule="auto"/>
      </w:pPr>
    </w:p>
    <w:p w:rsidR="00184D13" w:rsidRDefault="00184D13" w:rsidP="00110B70">
      <w:pPr>
        <w:spacing w:line="240" w:lineRule="auto"/>
      </w:pPr>
    </w:p>
    <w:p w:rsidR="00184D13" w:rsidRPr="00B333BD" w:rsidRDefault="00184D13" w:rsidP="00110B70">
      <w:pPr>
        <w:spacing w:line="240" w:lineRule="auto"/>
      </w:pPr>
    </w:p>
    <w:p w:rsidR="00184D13" w:rsidRPr="00B333BD" w:rsidRDefault="00184D13" w:rsidP="00110B70">
      <w:pPr>
        <w:spacing w:line="240" w:lineRule="auto"/>
        <w:jc w:val="center"/>
        <w:rPr>
          <w:b/>
          <w:sz w:val="36"/>
        </w:rPr>
      </w:pPr>
      <w:r>
        <w:rPr>
          <w:b/>
          <w:sz w:val="36"/>
        </w:rPr>
        <w:t>ANALÝZA NABÍDKY A POPTÁVKY NA TRHU PRÁCE</w:t>
      </w:r>
    </w:p>
    <w:p w:rsidR="00184D13" w:rsidRDefault="00184D13" w:rsidP="00110B70">
      <w:pPr>
        <w:spacing w:line="240" w:lineRule="auto"/>
        <w:jc w:val="center"/>
        <w:rPr>
          <w:b/>
          <w:sz w:val="36"/>
        </w:rPr>
      </w:pPr>
    </w:p>
    <w:p w:rsidR="00184D13" w:rsidRDefault="00184D13" w:rsidP="00110B70">
      <w:pPr>
        <w:spacing w:line="240" w:lineRule="auto"/>
        <w:jc w:val="center"/>
        <w:rPr>
          <w:b/>
          <w:sz w:val="36"/>
        </w:rPr>
      </w:pPr>
    </w:p>
    <w:p w:rsidR="00184D13" w:rsidRPr="00B333BD" w:rsidRDefault="00184D13" w:rsidP="00110B70">
      <w:pPr>
        <w:spacing w:line="240" w:lineRule="auto"/>
        <w:jc w:val="center"/>
        <w:rPr>
          <w:b/>
          <w:sz w:val="36"/>
        </w:rPr>
      </w:pPr>
      <w:r>
        <w:rPr>
          <w:b/>
          <w:sz w:val="36"/>
        </w:rPr>
        <w:t>Průběžná zpráva – stav k 3</w:t>
      </w:r>
      <w:r w:rsidR="00EA0889">
        <w:rPr>
          <w:b/>
          <w:sz w:val="36"/>
        </w:rPr>
        <w:t>0</w:t>
      </w:r>
      <w:r>
        <w:rPr>
          <w:b/>
          <w:sz w:val="36"/>
        </w:rPr>
        <w:t xml:space="preserve">. </w:t>
      </w:r>
      <w:r w:rsidR="00EA0889">
        <w:rPr>
          <w:b/>
          <w:sz w:val="36"/>
        </w:rPr>
        <w:t>6</w:t>
      </w:r>
      <w:r>
        <w:rPr>
          <w:b/>
          <w:sz w:val="36"/>
        </w:rPr>
        <w:t>. 201</w:t>
      </w:r>
      <w:r w:rsidR="00EA0889">
        <w:rPr>
          <w:b/>
          <w:sz w:val="36"/>
        </w:rPr>
        <w:t>7</w:t>
      </w:r>
    </w:p>
    <w:p w:rsidR="00184D13" w:rsidRPr="00B333BD" w:rsidRDefault="00184D13" w:rsidP="00110B70">
      <w:pPr>
        <w:spacing w:line="240" w:lineRule="auto"/>
        <w:jc w:val="center"/>
        <w:rPr>
          <w:b/>
          <w:sz w:val="36"/>
        </w:rPr>
      </w:pPr>
    </w:p>
    <w:p w:rsidR="00184D13" w:rsidRPr="00B333BD" w:rsidRDefault="00184D13" w:rsidP="00110B70">
      <w:pPr>
        <w:spacing w:line="240" w:lineRule="auto"/>
        <w:jc w:val="center"/>
        <w:rPr>
          <w:b/>
          <w:sz w:val="36"/>
        </w:rPr>
      </w:pPr>
    </w:p>
    <w:p w:rsidR="00184D13" w:rsidRDefault="00EA0889" w:rsidP="00110B70">
      <w:pPr>
        <w:spacing w:line="240" w:lineRule="auto"/>
        <w:jc w:val="center"/>
        <w:rPr>
          <w:b/>
          <w:sz w:val="36"/>
        </w:rPr>
      </w:pPr>
      <w:r>
        <w:rPr>
          <w:b/>
          <w:sz w:val="36"/>
        </w:rPr>
        <w:t>srpen</w:t>
      </w:r>
      <w:r w:rsidR="00184D13">
        <w:rPr>
          <w:b/>
          <w:sz w:val="36"/>
        </w:rPr>
        <w:t xml:space="preserve"> 2017</w:t>
      </w:r>
    </w:p>
    <w:p w:rsidR="00153127" w:rsidRDefault="00184D13" w:rsidP="00110B70">
      <w:pPr>
        <w:spacing w:after="200" w:line="240" w:lineRule="auto"/>
        <w:jc w:val="left"/>
        <w:rPr>
          <w:b/>
          <w:sz w:val="36"/>
        </w:rPr>
        <w:sectPr w:rsidR="00153127" w:rsidSect="00AB7C96">
          <w:footerReference w:type="default" r:id="rId10"/>
          <w:headerReference w:type="first" r:id="rId11"/>
          <w:pgSz w:w="11906" w:h="16838"/>
          <w:pgMar w:top="1417" w:right="1417" w:bottom="1417" w:left="1417" w:header="708" w:footer="708" w:gutter="0"/>
          <w:pgNumType w:fmt="lowerRoman" w:start="1"/>
          <w:cols w:space="708"/>
          <w:titlePg/>
          <w:docGrid w:linePitch="360"/>
        </w:sectPr>
      </w:pPr>
      <w:r>
        <w:rPr>
          <w:b/>
          <w:sz w:val="36"/>
        </w:rPr>
        <w:br w:type="page"/>
      </w:r>
    </w:p>
    <w:p w:rsidR="00184D13" w:rsidRDefault="00184D13" w:rsidP="00110B70">
      <w:pPr>
        <w:spacing w:after="200" w:line="240" w:lineRule="auto"/>
        <w:jc w:val="left"/>
        <w:rPr>
          <w:b/>
          <w:sz w:val="36"/>
        </w:rPr>
      </w:pPr>
    </w:p>
    <w:sdt>
      <w:sdtPr>
        <w:rPr>
          <w:rFonts w:ascii="Arial" w:eastAsiaTheme="minorHAnsi" w:hAnsi="Arial" w:cstheme="minorBidi"/>
          <w:b w:val="0"/>
          <w:bCs w:val="0"/>
          <w:color w:val="auto"/>
          <w:sz w:val="24"/>
          <w:szCs w:val="22"/>
          <w:lang w:eastAsia="en-US"/>
        </w:rPr>
        <w:id w:val="-1822725733"/>
        <w:docPartObj>
          <w:docPartGallery w:val="Table of Contents"/>
          <w:docPartUnique/>
        </w:docPartObj>
      </w:sdtPr>
      <w:sdtEndPr/>
      <w:sdtContent>
        <w:p w:rsidR="00153127" w:rsidRDefault="00153127" w:rsidP="00110B70">
          <w:pPr>
            <w:pStyle w:val="Nadpisobsahu"/>
            <w:spacing w:line="240" w:lineRule="auto"/>
          </w:pPr>
          <w:r>
            <w:t>Obsah</w:t>
          </w:r>
        </w:p>
        <w:p w:rsidR="000F62D5" w:rsidRPr="00975FB2" w:rsidRDefault="00153127" w:rsidP="00975FB2">
          <w:pPr>
            <w:pStyle w:val="Obsah1"/>
            <w:rPr>
              <w:rFonts w:asciiTheme="minorHAnsi" w:eastAsiaTheme="minorEastAsia" w:hAnsiTheme="minorHAnsi"/>
              <w:sz w:val="22"/>
            </w:rPr>
          </w:pPr>
          <w:r>
            <w:fldChar w:fldCharType="begin"/>
          </w:r>
          <w:r>
            <w:instrText xml:space="preserve"> TOC \o "1-3" \h \z \u </w:instrText>
          </w:r>
          <w:r>
            <w:fldChar w:fldCharType="separate"/>
          </w:r>
          <w:hyperlink w:anchor="_Toc492628579" w:history="1">
            <w:r w:rsidR="000F62D5" w:rsidRPr="00975FB2">
              <w:rPr>
                <w:rStyle w:val="Hypertextovodkaz"/>
                <w:b w:val="0"/>
              </w:rPr>
              <w:t>Seznam grafů, tabulek a zkratek</w:t>
            </w:r>
            <w:r w:rsidR="000F62D5" w:rsidRPr="00975FB2">
              <w:rPr>
                <w:webHidden/>
              </w:rPr>
              <w:tab/>
            </w:r>
            <w:r w:rsidR="000F62D5" w:rsidRPr="00975FB2">
              <w:rPr>
                <w:webHidden/>
              </w:rPr>
              <w:fldChar w:fldCharType="begin"/>
            </w:r>
            <w:r w:rsidR="000F62D5" w:rsidRPr="00975FB2">
              <w:rPr>
                <w:webHidden/>
              </w:rPr>
              <w:instrText xml:space="preserve"> PAGEREF _Toc492628579 \h </w:instrText>
            </w:r>
            <w:r w:rsidR="000F62D5" w:rsidRPr="00975FB2">
              <w:rPr>
                <w:webHidden/>
              </w:rPr>
            </w:r>
            <w:r w:rsidR="000F62D5" w:rsidRPr="00975FB2">
              <w:rPr>
                <w:webHidden/>
              </w:rPr>
              <w:fldChar w:fldCharType="separate"/>
            </w:r>
            <w:r w:rsidR="000F62D5" w:rsidRPr="00975FB2">
              <w:rPr>
                <w:webHidden/>
              </w:rPr>
              <w:t>i</w:t>
            </w:r>
            <w:r w:rsidR="000F62D5" w:rsidRPr="00975FB2">
              <w:rPr>
                <w:webHidden/>
              </w:rPr>
              <w:fldChar w:fldCharType="end"/>
            </w:r>
          </w:hyperlink>
        </w:p>
        <w:p w:rsidR="000F62D5" w:rsidRPr="00975FB2" w:rsidRDefault="00F26E8F" w:rsidP="00975FB2">
          <w:pPr>
            <w:pStyle w:val="Obsah1"/>
            <w:rPr>
              <w:rFonts w:asciiTheme="minorHAnsi" w:eastAsiaTheme="minorEastAsia" w:hAnsiTheme="minorHAnsi"/>
              <w:sz w:val="22"/>
            </w:rPr>
          </w:pPr>
          <w:hyperlink w:anchor="_Toc492628580" w:history="1">
            <w:r w:rsidR="000F62D5" w:rsidRPr="00975FB2">
              <w:rPr>
                <w:rStyle w:val="Hypertextovodkaz"/>
              </w:rPr>
              <w:t>A)</w:t>
            </w:r>
            <w:r w:rsidR="000F62D5" w:rsidRPr="00975FB2">
              <w:rPr>
                <w:rFonts w:asciiTheme="minorHAnsi" w:eastAsiaTheme="minorEastAsia" w:hAnsiTheme="minorHAnsi"/>
                <w:sz w:val="22"/>
              </w:rPr>
              <w:tab/>
            </w:r>
            <w:r w:rsidR="000F62D5" w:rsidRPr="00975FB2">
              <w:rPr>
                <w:rStyle w:val="Hypertextovodkaz"/>
              </w:rPr>
              <w:t>Analýza nabídky a poptávky</w:t>
            </w:r>
            <w:r w:rsidR="000F62D5" w:rsidRPr="00975FB2">
              <w:rPr>
                <w:webHidden/>
              </w:rPr>
              <w:tab/>
            </w:r>
            <w:r w:rsidR="000F62D5" w:rsidRPr="00975FB2">
              <w:rPr>
                <w:webHidden/>
              </w:rPr>
              <w:fldChar w:fldCharType="begin"/>
            </w:r>
            <w:r w:rsidR="000F62D5" w:rsidRPr="00975FB2">
              <w:rPr>
                <w:webHidden/>
              </w:rPr>
              <w:instrText xml:space="preserve"> PAGEREF _Toc492628580 \h </w:instrText>
            </w:r>
            <w:r w:rsidR="000F62D5" w:rsidRPr="00975FB2">
              <w:rPr>
                <w:webHidden/>
              </w:rPr>
            </w:r>
            <w:r w:rsidR="000F62D5" w:rsidRPr="00975FB2">
              <w:rPr>
                <w:webHidden/>
              </w:rPr>
              <w:fldChar w:fldCharType="separate"/>
            </w:r>
            <w:r w:rsidR="000F62D5" w:rsidRPr="00975FB2">
              <w:rPr>
                <w:webHidden/>
              </w:rPr>
              <w:t>1</w:t>
            </w:r>
            <w:r w:rsidR="000F62D5" w:rsidRPr="00975FB2">
              <w:rPr>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581" w:history="1">
            <w:r w:rsidR="000F62D5" w:rsidRPr="005C184C">
              <w:rPr>
                <w:rStyle w:val="Hypertextovodkaz"/>
                <w:noProof/>
              </w:rPr>
              <w:t>1.</w:t>
            </w:r>
            <w:r w:rsidR="000F62D5">
              <w:rPr>
                <w:rFonts w:asciiTheme="minorHAnsi" w:eastAsiaTheme="minorEastAsia" w:hAnsiTheme="minorHAnsi"/>
                <w:noProof/>
                <w:sz w:val="22"/>
                <w:lang w:eastAsia="cs-CZ"/>
              </w:rPr>
              <w:tab/>
            </w:r>
            <w:r w:rsidR="000F62D5" w:rsidRPr="005C184C">
              <w:rPr>
                <w:rStyle w:val="Hypertextovodkaz"/>
                <w:noProof/>
              </w:rPr>
              <w:t>Situace na trhu práce k 30. 6. 2017</w:t>
            </w:r>
            <w:r w:rsidR="000F62D5">
              <w:rPr>
                <w:noProof/>
                <w:webHidden/>
              </w:rPr>
              <w:tab/>
            </w:r>
            <w:r w:rsidR="000F62D5">
              <w:rPr>
                <w:noProof/>
                <w:webHidden/>
              </w:rPr>
              <w:fldChar w:fldCharType="begin"/>
            </w:r>
            <w:r w:rsidR="000F62D5">
              <w:rPr>
                <w:noProof/>
                <w:webHidden/>
              </w:rPr>
              <w:instrText xml:space="preserve"> PAGEREF _Toc492628581 \h </w:instrText>
            </w:r>
            <w:r w:rsidR="000F62D5">
              <w:rPr>
                <w:noProof/>
                <w:webHidden/>
              </w:rPr>
            </w:r>
            <w:r w:rsidR="000F62D5">
              <w:rPr>
                <w:noProof/>
                <w:webHidden/>
              </w:rPr>
              <w:fldChar w:fldCharType="separate"/>
            </w:r>
            <w:r w:rsidR="000F62D5">
              <w:rPr>
                <w:noProof/>
                <w:webHidden/>
              </w:rPr>
              <w:t>1</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582" w:history="1">
            <w:r w:rsidR="000F62D5" w:rsidRPr="005C184C">
              <w:rPr>
                <w:rStyle w:val="Hypertextovodkaz"/>
                <w:noProof/>
              </w:rPr>
              <w:t>2.</w:t>
            </w:r>
            <w:r w:rsidR="000F62D5">
              <w:rPr>
                <w:rFonts w:asciiTheme="minorHAnsi" w:eastAsiaTheme="minorEastAsia" w:hAnsiTheme="minorHAnsi"/>
                <w:noProof/>
                <w:sz w:val="22"/>
                <w:lang w:eastAsia="cs-CZ"/>
              </w:rPr>
              <w:tab/>
            </w:r>
            <w:r w:rsidR="000F62D5" w:rsidRPr="005C184C">
              <w:rPr>
                <w:rStyle w:val="Hypertextovodkaz"/>
                <w:noProof/>
              </w:rPr>
              <w:t>Volná pracovní místa a jejich neobsazenost</w:t>
            </w:r>
            <w:r w:rsidR="000F62D5">
              <w:rPr>
                <w:noProof/>
                <w:webHidden/>
              </w:rPr>
              <w:tab/>
            </w:r>
            <w:r w:rsidR="000F62D5">
              <w:rPr>
                <w:noProof/>
                <w:webHidden/>
              </w:rPr>
              <w:fldChar w:fldCharType="begin"/>
            </w:r>
            <w:r w:rsidR="000F62D5">
              <w:rPr>
                <w:noProof/>
                <w:webHidden/>
              </w:rPr>
              <w:instrText xml:space="preserve"> PAGEREF _Toc492628582 \h </w:instrText>
            </w:r>
            <w:r w:rsidR="000F62D5">
              <w:rPr>
                <w:noProof/>
                <w:webHidden/>
              </w:rPr>
            </w:r>
            <w:r w:rsidR="000F62D5">
              <w:rPr>
                <w:noProof/>
                <w:webHidden/>
              </w:rPr>
              <w:fldChar w:fldCharType="separate"/>
            </w:r>
            <w:r w:rsidR="000F62D5">
              <w:rPr>
                <w:noProof/>
                <w:webHidden/>
              </w:rPr>
              <w:t>2</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84" w:history="1">
            <w:r w:rsidR="000F62D5" w:rsidRPr="005C184C">
              <w:rPr>
                <w:rStyle w:val="Hypertextovodkaz"/>
                <w:noProof/>
                <w14:scene3d>
                  <w14:camera w14:prst="orthographicFront"/>
                  <w14:lightRig w14:rig="threePt" w14:dir="t">
                    <w14:rot w14:lat="0" w14:lon="0" w14:rev="0"/>
                  </w14:lightRig>
                </w14:scene3d>
              </w:rPr>
              <w:t>2.1.</w:t>
            </w:r>
            <w:r w:rsidR="000F62D5">
              <w:rPr>
                <w:rFonts w:asciiTheme="minorHAnsi" w:eastAsiaTheme="minorEastAsia" w:hAnsiTheme="minorHAnsi"/>
                <w:noProof/>
                <w:sz w:val="22"/>
                <w:lang w:eastAsia="cs-CZ"/>
              </w:rPr>
              <w:tab/>
            </w:r>
            <w:r w:rsidR="000F62D5" w:rsidRPr="005C184C">
              <w:rPr>
                <w:rStyle w:val="Hypertextovodkaz"/>
                <w:noProof/>
              </w:rPr>
              <w:t>Struktura VPM podle zaměstnání</w:t>
            </w:r>
            <w:r w:rsidR="000F62D5">
              <w:rPr>
                <w:noProof/>
                <w:webHidden/>
              </w:rPr>
              <w:tab/>
            </w:r>
            <w:r w:rsidR="000F62D5">
              <w:rPr>
                <w:noProof/>
                <w:webHidden/>
              </w:rPr>
              <w:fldChar w:fldCharType="begin"/>
            </w:r>
            <w:r w:rsidR="000F62D5">
              <w:rPr>
                <w:noProof/>
                <w:webHidden/>
              </w:rPr>
              <w:instrText xml:space="preserve"> PAGEREF _Toc492628584 \h </w:instrText>
            </w:r>
            <w:r w:rsidR="000F62D5">
              <w:rPr>
                <w:noProof/>
                <w:webHidden/>
              </w:rPr>
            </w:r>
            <w:r w:rsidR="000F62D5">
              <w:rPr>
                <w:noProof/>
                <w:webHidden/>
              </w:rPr>
              <w:fldChar w:fldCharType="separate"/>
            </w:r>
            <w:r w:rsidR="000F62D5">
              <w:rPr>
                <w:noProof/>
                <w:webHidden/>
              </w:rPr>
              <w:t>3</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85" w:history="1">
            <w:r w:rsidR="000F62D5" w:rsidRPr="005C184C">
              <w:rPr>
                <w:rStyle w:val="Hypertextovodkaz"/>
                <w:noProof/>
                <w14:scene3d>
                  <w14:camera w14:prst="orthographicFront"/>
                  <w14:lightRig w14:rig="threePt" w14:dir="t">
                    <w14:rot w14:lat="0" w14:lon="0" w14:rev="0"/>
                  </w14:lightRig>
                </w14:scene3d>
              </w:rPr>
              <w:t>2.2.</w:t>
            </w:r>
            <w:r w:rsidR="000F62D5">
              <w:rPr>
                <w:rFonts w:asciiTheme="minorHAnsi" w:eastAsiaTheme="minorEastAsia" w:hAnsiTheme="minorHAnsi"/>
                <w:noProof/>
                <w:sz w:val="22"/>
                <w:lang w:eastAsia="cs-CZ"/>
              </w:rPr>
              <w:tab/>
            </w:r>
            <w:r w:rsidR="000F62D5" w:rsidRPr="005C184C">
              <w:rPr>
                <w:rStyle w:val="Hypertextovodkaz"/>
                <w:noProof/>
              </w:rPr>
              <w:t>Struktura VPM podle vzdělání</w:t>
            </w:r>
            <w:r w:rsidR="000F62D5">
              <w:rPr>
                <w:noProof/>
                <w:webHidden/>
              </w:rPr>
              <w:tab/>
            </w:r>
            <w:r w:rsidR="000F62D5">
              <w:rPr>
                <w:noProof/>
                <w:webHidden/>
              </w:rPr>
              <w:fldChar w:fldCharType="begin"/>
            </w:r>
            <w:r w:rsidR="000F62D5">
              <w:rPr>
                <w:noProof/>
                <w:webHidden/>
              </w:rPr>
              <w:instrText xml:space="preserve"> PAGEREF _Toc492628585 \h </w:instrText>
            </w:r>
            <w:r w:rsidR="000F62D5">
              <w:rPr>
                <w:noProof/>
                <w:webHidden/>
              </w:rPr>
            </w:r>
            <w:r w:rsidR="000F62D5">
              <w:rPr>
                <w:noProof/>
                <w:webHidden/>
              </w:rPr>
              <w:fldChar w:fldCharType="separate"/>
            </w:r>
            <w:r w:rsidR="000F62D5">
              <w:rPr>
                <w:noProof/>
                <w:webHidden/>
              </w:rPr>
              <w:t>4</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87" w:history="1">
            <w:r w:rsidR="000F62D5" w:rsidRPr="005C184C">
              <w:rPr>
                <w:rStyle w:val="Hypertextovodkaz"/>
                <w:noProof/>
                <w14:scene3d>
                  <w14:camera w14:prst="orthographicFront"/>
                  <w14:lightRig w14:rig="threePt" w14:dir="t">
                    <w14:rot w14:lat="0" w14:lon="0" w14:rev="0"/>
                  </w14:lightRig>
                </w14:scene3d>
              </w:rPr>
              <w:t>2.3.</w:t>
            </w:r>
            <w:r w:rsidR="000F62D5">
              <w:rPr>
                <w:rFonts w:asciiTheme="minorHAnsi" w:eastAsiaTheme="minorEastAsia" w:hAnsiTheme="minorHAnsi"/>
                <w:noProof/>
                <w:sz w:val="22"/>
                <w:lang w:eastAsia="cs-CZ"/>
              </w:rPr>
              <w:tab/>
            </w:r>
            <w:r w:rsidR="000F62D5" w:rsidRPr="005C184C">
              <w:rPr>
                <w:rStyle w:val="Hypertextovodkaz"/>
                <w:noProof/>
              </w:rPr>
              <w:t>VPM pro specifické skupiny osob</w:t>
            </w:r>
            <w:r w:rsidR="000F62D5">
              <w:rPr>
                <w:noProof/>
                <w:webHidden/>
              </w:rPr>
              <w:tab/>
            </w:r>
            <w:r w:rsidR="000F62D5">
              <w:rPr>
                <w:noProof/>
                <w:webHidden/>
              </w:rPr>
              <w:fldChar w:fldCharType="begin"/>
            </w:r>
            <w:r w:rsidR="000F62D5">
              <w:rPr>
                <w:noProof/>
                <w:webHidden/>
              </w:rPr>
              <w:instrText xml:space="preserve"> PAGEREF _Toc492628587 \h </w:instrText>
            </w:r>
            <w:r w:rsidR="000F62D5">
              <w:rPr>
                <w:noProof/>
                <w:webHidden/>
              </w:rPr>
            </w:r>
            <w:r w:rsidR="000F62D5">
              <w:rPr>
                <w:noProof/>
                <w:webHidden/>
              </w:rPr>
              <w:fldChar w:fldCharType="separate"/>
            </w:r>
            <w:r w:rsidR="000F62D5">
              <w:rPr>
                <w:noProof/>
                <w:webHidden/>
              </w:rPr>
              <w:t>6</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588" w:history="1">
            <w:r w:rsidR="000F62D5" w:rsidRPr="005C184C">
              <w:rPr>
                <w:rStyle w:val="Hypertextovodkaz"/>
                <w:noProof/>
              </w:rPr>
              <w:t>3.</w:t>
            </w:r>
            <w:r w:rsidR="000F62D5">
              <w:rPr>
                <w:rFonts w:asciiTheme="minorHAnsi" w:eastAsiaTheme="minorEastAsia" w:hAnsiTheme="minorHAnsi"/>
                <w:noProof/>
                <w:sz w:val="22"/>
                <w:lang w:eastAsia="cs-CZ"/>
              </w:rPr>
              <w:tab/>
            </w:r>
            <w:r w:rsidR="000F62D5" w:rsidRPr="005C184C">
              <w:rPr>
                <w:rStyle w:val="Hypertextovodkaz"/>
                <w:noProof/>
              </w:rPr>
              <w:t>Průměrné výdělky</w:t>
            </w:r>
            <w:r w:rsidR="000F62D5">
              <w:rPr>
                <w:noProof/>
                <w:webHidden/>
              </w:rPr>
              <w:tab/>
            </w:r>
            <w:r w:rsidR="000F62D5">
              <w:rPr>
                <w:noProof/>
                <w:webHidden/>
              </w:rPr>
              <w:fldChar w:fldCharType="begin"/>
            </w:r>
            <w:r w:rsidR="000F62D5">
              <w:rPr>
                <w:noProof/>
                <w:webHidden/>
              </w:rPr>
              <w:instrText xml:space="preserve"> PAGEREF _Toc492628588 \h </w:instrText>
            </w:r>
            <w:r w:rsidR="000F62D5">
              <w:rPr>
                <w:noProof/>
                <w:webHidden/>
              </w:rPr>
            </w:r>
            <w:r w:rsidR="000F62D5">
              <w:rPr>
                <w:noProof/>
                <w:webHidden/>
              </w:rPr>
              <w:fldChar w:fldCharType="separate"/>
            </w:r>
            <w:r w:rsidR="000F62D5">
              <w:rPr>
                <w:noProof/>
                <w:webHidden/>
              </w:rPr>
              <w:t>7</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90" w:history="1">
            <w:r w:rsidR="000F62D5" w:rsidRPr="005C184C">
              <w:rPr>
                <w:rStyle w:val="Hypertextovodkaz"/>
                <w:noProof/>
                <w14:scene3d>
                  <w14:camera w14:prst="orthographicFront"/>
                  <w14:lightRig w14:rig="threePt" w14:dir="t">
                    <w14:rot w14:lat="0" w14:lon="0" w14:rev="0"/>
                  </w14:lightRig>
                </w14:scene3d>
              </w:rPr>
              <w:t>3.1.</w:t>
            </w:r>
            <w:r w:rsidR="000F62D5">
              <w:rPr>
                <w:rFonts w:asciiTheme="minorHAnsi" w:eastAsiaTheme="minorEastAsia" w:hAnsiTheme="minorHAnsi"/>
                <w:noProof/>
                <w:sz w:val="22"/>
                <w:lang w:eastAsia="cs-CZ"/>
              </w:rPr>
              <w:tab/>
            </w:r>
            <w:r w:rsidR="000F62D5" w:rsidRPr="005C184C">
              <w:rPr>
                <w:rStyle w:val="Hypertextovodkaz"/>
                <w:noProof/>
              </w:rPr>
              <w:t>Mzdová sféra</w:t>
            </w:r>
            <w:r w:rsidR="000F62D5">
              <w:rPr>
                <w:noProof/>
                <w:webHidden/>
              </w:rPr>
              <w:tab/>
            </w:r>
            <w:r w:rsidR="000F62D5">
              <w:rPr>
                <w:noProof/>
                <w:webHidden/>
              </w:rPr>
              <w:fldChar w:fldCharType="begin"/>
            </w:r>
            <w:r w:rsidR="000F62D5">
              <w:rPr>
                <w:noProof/>
                <w:webHidden/>
              </w:rPr>
              <w:instrText xml:space="preserve"> PAGEREF _Toc492628590 \h </w:instrText>
            </w:r>
            <w:r w:rsidR="000F62D5">
              <w:rPr>
                <w:noProof/>
                <w:webHidden/>
              </w:rPr>
            </w:r>
            <w:r w:rsidR="000F62D5">
              <w:rPr>
                <w:noProof/>
                <w:webHidden/>
              </w:rPr>
              <w:fldChar w:fldCharType="separate"/>
            </w:r>
            <w:r w:rsidR="000F62D5">
              <w:rPr>
                <w:noProof/>
                <w:webHidden/>
              </w:rPr>
              <w:t>8</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91" w:history="1">
            <w:r w:rsidR="000F62D5" w:rsidRPr="005C184C">
              <w:rPr>
                <w:rStyle w:val="Hypertextovodkaz"/>
                <w:noProof/>
                <w14:scene3d>
                  <w14:camera w14:prst="orthographicFront"/>
                  <w14:lightRig w14:rig="threePt" w14:dir="t">
                    <w14:rot w14:lat="0" w14:lon="0" w14:rev="0"/>
                  </w14:lightRig>
                </w14:scene3d>
              </w:rPr>
              <w:t>3.2.</w:t>
            </w:r>
            <w:r w:rsidR="000F62D5">
              <w:rPr>
                <w:rFonts w:asciiTheme="minorHAnsi" w:eastAsiaTheme="minorEastAsia" w:hAnsiTheme="minorHAnsi"/>
                <w:noProof/>
                <w:sz w:val="22"/>
                <w:lang w:eastAsia="cs-CZ"/>
              </w:rPr>
              <w:tab/>
            </w:r>
            <w:r w:rsidR="000F62D5" w:rsidRPr="005C184C">
              <w:rPr>
                <w:rStyle w:val="Hypertextovodkaz"/>
                <w:noProof/>
              </w:rPr>
              <w:t>Průměrná „nástupní“ mzda</w:t>
            </w:r>
            <w:r w:rsidR="000F62D5">
              <w:rPr>
                <w:noProof/>
                <w:webHidden/>
              </w:rPr>
              <w:tab/>
            </w:r>
            <w:r w:rsidR="000F62D5">
              <w:rPr>
                <w:noProof/>
                <w:webHidden/>
              </w:rPr>
              <w:fldChar w:fldCharType="begin"/>
            </w:r>
            <w:r w:rsidR="000F62D5">
              <w:rPr>
                <w:noProof/>
                <w:webHidden/>
              </w:rPr>
              <w:instrText xml:space="preserve"> PAGEREF _Toc492628591 \h </w:instrText>
            </w:r>
            <w:r w:rsidR="000F62D5">
              <w:rPr>
                <w:noProof/>
                <w:webHidden/>
              </w:rPr>
            </w:r>
            <w:r w:rsidR="000F62D5">
              <w:rPr>
                <w:noProof/>
                <w:webHidden/>
              </w:rPr>
              <w:fldChar w:fldCharType="separate"/>
            </w:r>
            <w:r w:rsidR="000F62D5">
              <w:rPr>
                <w:noProof/>
                <w:webHidden/>
              </w:rPr>
              <w:t>10</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94" w:history="1">
            <w:r w:rsidR="000F62D5" w:rsidRPr="005C184C">
              <w:rPr>
                <w:rStyle w:val="Hypertextovodkaz"/>
                <w:noProof/>
                <w14:scene3d>
                  <w14:camera w14:prst="orthographicFront"/>
                  <w14:lightRig w14:rig="threePt" w14:dir="t">
                    <w14:rot w14:lat="0" w14:lon="0" w14:rev="0"/>
                  </w14:lightRig>
                </w14:scene3d>
              </w:rPr>
              <w:t>3.3.</w:t>
            </w:r>
            <w:r w:rsidR="000F62D5">
              <w:rPr>
                <w:rFonts w:asciiTheme="minorHAnsi" w:eastAsiaTheme="minorEastAsia" w:hAnsiTheme="minorHAnsi"/>
                <w:noProof/>
                <w:sz w:val="22"/>
                <w:lang w:eastAsia="cs-CZ"/>
              </w:rPr>
              <w:tab/>
            </w:r>
            <w:r w:rsidR="000F62D5" w:rsidRPr="005C184C">
              <w:rPr>
                <w:rStyle w:val="Hypertextovodkaz"/>
                <w:noProof/>
              </w:rPr>
              <w:t>Platová sféra</w:t>
            </w:r>
            <w:r w:rsidR="000F62D5">
              <w:rPr>
                <w:noProof/>
                <w:webHidden/>
              </w:rPr>
              <w:tab/>
            </w:r>
            <w:r w:rsidR="000F62D5">
              <w:rPr>
                <w:noProof/>
                <w:webHidden/>
              </w:rPr>
              <w:fldChar w:fldCharType="begin"/>
            </w:r>
            <w:r w:rsidR="000F62D5">
              <w:rPr>
                <w:noProof/>
                <w:webHidden/>
              </w:rPr>
              <w:instrText xml:space="preserve"> PAGEREF _Toc492628594 \h </w:instrText>
            </w:r>
            <w:r w:rsidR="000F62D5">
              <w:rPr>
                <w:noProof/>
                <w:webHidden/>
              </w:rPr>
            </w:r>
            <w:r w:rsidR="000F62D5">
              <w:rPr>
                <w:noProof/>
                <w:webHidden/>
              </w:rPr>
              <w:fldChar w:fldCharType="separate"/>
            </w:r>
            <w:r w:rsidR="000F62D5">
              <w:rPr>
                <w:noProof/>
                <w:webHidden/>
              </w:rPr>
              <w:t>11</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595" w:history="1">
            <w:r w:rsidR="000F62D5" w:rsidRPr="005C184C">
              <w:rPr>
                <w:rStyle w:val="Hypertextovodkaz"/>
                <w:noProof/>
              </w:rPr>
              <w:t>4.</w:t>
            </w:r>
            <w:r w:rsidR="000F62D5">
              <w:rPr>
                <w:rFonts w:asciiTheme="minorHAnsi" w:eastAsiaTheme="minorEastAsia" w:hAnsiTheme="minorHAnsi"/>
                <w:noProof/>
                <w:sz w:val="22"/>
                <w:lang w:eastAsia="cs-CZ"/>
              </w:rPr>
              <w:tab/>
            </w:r>
            <w:r w:rsidR="000F62D5" w:rsidRPr="005C184C">
              <w:rPr>
                <w:rStyle w:val="Hypertextovodkaz"/>
                <w:noProof/>
              </w:rPr>
              <w:t>Struktura uchazečů o zaměstnání</w:t>
            </w:r>
            <w:r w:rsidR="000F62D5">
              <w:rPr>
                <w:noProof/>
                <w:webHidden/>
              </w:rPr>
              <w:tab/>
            </w:r>
            <w:r w:rsidR="000F62D5">
              <w:rPr>
                <w:noProof/>
                <w:webHidden/>
              </w:rPr>
              <w:fldChar w:fldCharType="begin"/>
            </w:r>
            <w:r w:rsidR="000F62D5">
              <w:rPr>
                <w:noProof/>
                <w:webHidden/>
              </w:rPr>
              <w:instrText xml:space="preserve"> PAGEREF _Toc492628595 \h </w:instrText>
            </w:r>
            <w:r w:rsidR="000F62D5">
              <w:rPr>
                <w:noProof/>
                <w:webHidden/>
              </w:rPr>
            </w:r>
            <w:r w:rsidR="000F62D5">
              <w:rPr>
                <w:noProof/>
                <w:webHidden/>
              </w:rPr>
              <w:fldChar w:fldCharType="separate"/>
            </w:r>
            <w:r w:rsidR="000F62D5">
              <w:rPr>
                <w:noProof/>
                <w:webHidden/>
              </w:rPr>
              <w:t>12</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96" w:history="1">
            <w:r w:rsidR="000F62D5" w:rsidRPr="005C184C">
              <w:rPr>
                <w:rStyle w:val="Hypertextovodkaz"/>
                <w:noProof/>
                <w14:scene3d>
                  <w14:camera w14:prst="orthographicFront"/>
                  <w14:lightRig w14:rig="threePt" w14:dir="t">
                    <w14:rot w14:lat="0" w14:lon="0" w14:rev="0"/>
                  </w14:lightRig>
                </w14:scene3d>
              </w:rPr>
              <w:t>4.1.</w:t>
            </w:r>
            <w:r w:rsidR="000F62D5">
              <w:rPr>
                <w:rFonts w:asciiTheme="minorHAnsi" w:eastAsiaTheme="minorEastAsia" w:hAnsiTheme="minorHAnsi"/>
                <w:noProof/>
                <w:sz w:val="22"/>
                <w:lang w:eastAsia="cs-CZ"/>
              </w:rPr>
              <w:tab/>
            </w:r>
            <w:r w:rsidR="000F62D5" w:rsidRPr="005C184C">
              <w:rPr>
                <w:rStyle w:val="Hypertextovodkaz"/>
                <w:noProof/>
              </w:rPr>
              <w:t>Zastoupení rizikových skupin</w:t>
            </w:r>
            <w:r w:rsidR="000F62D5">
              <w:rPr>
                <w:noProof/>
                <w:webHidden/>
              </w:rPr>
              <w:tab/>
            </w:r>
            <w:r w:rsidR="000F62D5">
              <w:rPr>
                <w:noProof/>
                <w:webHidden/>
              </w:rPr>
              <w:fldChar w:fldCharType="begin"/>
            </w:r>
            <w:r w:rsidR="000F62D5">
              <w:rPr>
                <w:noProof/>
                <w:webHidden/>
              </w:rPr>
              <w:instrText xml:space="preserve"> PAGEREF _Toc492628596 \h </w:instrText>
            </w:r>
            <w:r w:rsidR="000F62D5">
              <w:rPr>
                <w:noProof/>
                <w:webHidden/>
              </w:rPr>
            </w:r>
            <w:r w:rsidR="000F62D5">
              <w:rPr>
                <w:noProof/>
                <w:webHidden/>
              </w:rPr>
              <w:fldChar w:fldCharType="separate"/>
            </w:r>
            <w:r w:rsidR="000F62D5">
              <w:rPr>
                <w:noProof/>
                <w:webHidden/>
              </w:rPr>
              <w:t>12</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97" w:history="1">
            <w:r w:rsidR="000F62D5" w:rsidRPr="005C184C">
              <w:rPr>
                <w:rStyle w:val="Hypertextovodkaz"/>
                <w:noProof/>
                <w14:scene3d>
                  <w14:camera w14:prst="orthographicFront"/>
                  <w14:lightRig w14:rig="threePt" w14:dir="t">
                    <w14:rot w14:lat="0" w14:lon="0" w14:rev="0"/>
                  </w14:lightRig>
                </w14:scene3d>
              </w:rPr>
              <w:t>4.2.</w:t>
            </w:r>
            <w:r w:rsidR="000F62D5">
              <w:rPr>
                <w:rFonts w:asciiTheme="minorHAnsi" w:eastAsiaTheme="minorEastAsia" w:hAnsiTheme="minorHAnsi"/>
                <w:noProof/>
                <w:sz w:val="22"/>
                <w:lang w:eastAsia="cs-CZ"/>
              </w:rPr>
              <w:tab/>
            </w:r>
            <w:r w:rsidR="000F62D5" w:rsidRPr="005C184C">
              <w:rPr>
                <w:rStyle w:val="Hypertextovodkaz"/>
                <w:noProof/>
              </w:rPr>
              <w:t>Vzdělanostní struktura UoZ</w:t>
            </w:r>
            <w:r w:rsidR="000F62D5">
              <w:rPr>
                <w:noProof/>
                <w:webHidden/>
              </w:rPr>
              <w:tab/>
            </w:r>
            <w:r w:rsidR="000F62D5">
              <w:rPr>
                <w:noProof/>
                <w:webHidden/>
              </w:rPr>
              <w:fldChar w:fldCharType="begin"/>
            </w:r>
            <w:r w:rsidR="000F62D5">
              <w:rPr>
                <w:noProof/>
                <w:webHidden/>
              </w:rPr>
              <w:instrText xml:space="preserve"> PAGEREF _Toc492628597 \h </w:instrText>
            </w:r>
            <w:r w:rsidR="000F62D5">
              <w:rPr>
                <w:noProof/>
                <w:webHidden/>
              </w:rPr>
            </w:r>
            <w:r w:rsidR="000F62D5">
              <w:rPr>
                <w:noProof/>
                <w:webHidden/>
              </w:rPr>
              <w:fldChar w:fldCharType="separate"/>
            </w:r>
            <w:r w:rsidR="000F62D5">
              <w:rPr>
                <w:noProof/>
                <w:webHidden/>
              </w:rPr>
              <w:t>15</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599" w:history="1">
            <w:r w:rsidR="000F62D5" w:rsidRPr="005C184C">
              <w:rPr>
                <w:rStyle w:val="Hypertextovodkaz"/>
                <w:noProof/>
                <w14:scene3d>
                  <w14:camera w14:prst="orthographicFront"/>
                  <w14:lightRig w14:rig="threePt" w14:dir="t">
                    <w14:rot w14:lat="0" w14:lon="0" w14:rev="0"/>
                  </w14:lightRig>
                </w14:scene3d>
              </w:rPr>
              <w:t>4.3.</w:t>
            </w:r>
            <w:r w:rsidR="000F62D5">
              <w:rPr>
                <w:rFonts w:asciiTheme="minorHAnsi" w:eastAsiaTheme="minorEastAsia" w:hAnsiTheme="minorHAnsi"/>
                <w:noProof/>
                <w:sz w:val="22"/>
                <w:lang w:eastAsia="cs-CZ"/>
              </w:rPr>
              <w:tab/>
            </w:r>
            <w:r w:rsidR="000F62D5" w:rsidRPr="005C184C">
              <w:rPr>
                <w:rStyle w:val="Hypertextovodkaz"/>
                <w:noProof/>
              </w:rPr>
              <w:t>PvN, nekolidující zaměstnání a dosažitelní UoZ</w:t>
            </w:r>
            <w:r w:rsidR="000F62D5">
              <w:rPr>
                <w:noProof/>
                <w:webHidden/>
              </w:rPr>
              <w:tab/>
            </w:r>
            <w:r w:rsidR="000F62D5">
              <w:rPr>
                <w:noProof/>
                <w:webHidden/>
              </w:rPr>
              <w:fldChar w:fldCharType="begin"/>
            </w:r>
            <w:r w:rsidR="000F62D5">
              <w:rPr>
                <w:noProof/>
                <w:webHidden/>
              </w:rPr>
              <w:instrText xml:space="preserve"> PAGEREF _Toc492628599 \h </w:instrText>
            </w:r>
            <w:r w:rsidR="000F62D5">
              <w:rPr>
                <w:noProof/>
                <w:webHidden/>
              </w:rPr>
            </w:r>
            <w:r w:rsidR="000F62D5">
              <w:rPr>
                <w:noProof/>
                <w:webHidden/>
              </w:rPr>
              <w:fldChar w:fldCharType="separate"/>
            </w:r>
            <w:r w:rsidR="000F62D5">
              <w:rPr>
                <w:noProof/>
                <w:webHidden/>
              </w:rPr>
              <w:t>17</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600" w:history="1">
            <w:r w:rsidR="000F62D5" w:rsidRPr="005C184C">
              <w:rPr>
                <w:rStyle w:val="Hypertextovodkaz"/>
                <w:noProof/>
                <w14:scene3d>
                  <w14:camera w14:prst="orthographicFront"/>
                  <w14:lightRig w14:rig="threePt" w14:dir="t">
                    <w14:rot w14:lat="0" w14:lon="0" w14:rev="0"/>
                  </w14:lightRig>
                </w14:scene3d>
              </w:rPr>
              <w:t>4.4.</w:t>
            </w:r>
            <w:r w:rsidR="000F62D5">
              <w:rPr>
                <w:rFonts w:asciiTheme="minorHAnsi" w:eastAsiaTheme="minorEastAsia" w:hAnsiTheme="minorHAnsi"/>
                <w:noProof/>
                <w:sz w:val="22"/>
                <w:lang w:eastAsia="cs-CZ"/>
              </w:rPr>
              <w:tab/>
            </w:r>
            <w:r w:rsidR="000F62D5" w:rsidRPr="005C184C">
              <w:rPr>
                <w:rStyle w:val="Hypertextovodkaz"/>
                <w:noProof/>
              </w:rPr>
              <w:t>Dlouhodobá nezaměstnanost</w:t>
            </w:r>
            <w:r w:rsidR="000F62D5">
              <w:rPr>
                <w:noProof/>
                <w:webHidden/>
              </w:rPr>
              <w:tab/>
            </w:r>
            <w:r w:rsidR="000F62D5">
              <w:rPr>
                <w:noProof/>
                <w:webHidden/>
              </w:rPr>
              <w:fldChar w:fldCharType="begin"/>
            </w:r>
            <w:r w:rsidR="000F62D5">
              <w:rPr>
                <w:noProof/>
                <w:webHidden/>
              </w:rPr>
              <w:instrText xml:space="preserve"> PAGEREF _Toc492628600 \h </w:instrText>
            </w:r>
            <w:r w:rsidR="000F62D5">
              <w:rPr>
                <w:noProof/>
                <w:webHidden/>
              </w:rPr>
            </w:r>
            <w:r w:rsidR="000F62D5">
              <w:rPr>
                <w:noProof/>
                <w:webHidden/>
              </w:rPr>
              <w:fldChar w:fldCharType="separate"/>
            </w:r>
            <w:r w:rsidR="000F62D5">
              <w:rPr>
                <w:noProof/>
                <w:webHidden/>
              </w:rPr>
              <w:t>20</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601" w:history="1">
            <w:r w:rsidR="000F62D5" w:rsidRPr="005C184C">
              <w:rPr>
                <w:rStyle w:val="Hypertextovodkaz"/>
                <w:noProof/>
              </w:rPr>
              <w:t>5.</w:t>
            </w:r>
            <w:r w:rsidR="000F62D5">
              <w:rPr>
                <w:rFonts w:asciiTheme="minorHAnsi" w:eastAsiaTheme="minorEastAsia" w:hAnsiTheme="minorHAnsi"/>
                <w:noProof/>
                <w:sz w:val="22"/>
                <w:lang w:eastAsia="cs-CZ"/>
              </w:rPr>
              <w:tab/>
            </w:r>
            <w:r w:rsidR="000F62D5" w:rsidRPr="005C184C">
              <w:rPr>
                <w:rStyle w:val="Hypertextovodkaz"/>
                <w:noProof/>
              </w:rPr>
              <w:t>Cizí státní příslušníci na českém trhu práce</w:t>
            </w:r>
            <w:r w:rsidR="000F62D5">
              <w:rPr>
                <w:noProof/>
                <w:webHidden/>
              </w:rPr>
              <w:tab/>
            </w:r>
            <w:r w:rsidR="000F62D5">
              <w:rPr>
                <w:noProof/>
                <w:webHidden/>
              </w:rPr>
              <w:fldChar w:fldCharType="begin"/>
            </w:r>
            <w:r w:rsidR="000F62D5">
              <w:rPr>
                <w:noProof/>
                <w:webHidden/>
              </w:rPr>
              <w:instrText xml:space="preserve"> PAGEREF _Toc492628601 \h </w:instrText>
            </w:r>
            <w:r w:rsidR="000F62D5">
              <w:rPr>
                <w:noProof/>
                <w:webHidden/>
              </w:rPr>
            </w:r>
            <w:r w:rsidR="000F62D5">
              <w:rPr>
                <w:noProof/>
                <w:webHidden/>
              </w:rPr>
              <w:fldChar w:fldCharType="separate"/>
            </w:r>
            <w:r w:rsidR="000F62D5">
              <w:rPr>
                <w:noProof/>
                <w:webHidden/>
              </w:rPr>
              <w:t>21</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602" w:history="1">
            <w:r w:rsidR="000F62D5" w:rsidRPr="005C184C">
              <w:rPr>
                <w:rStyle w:val="Hypertextovodkaz"/>
                <w:noProof/>
                <w14:scene3d>
                  <w14:camera w14:prst="orthographicFront"/>
                  <w14:lightRig w14:rig="threePt" w14:dir="t">
                    <w14:rot w14:lat="0" w14:lon="0" w14:rev="0"/>
                  </w14:lightRig>
                </w14:scene3d>
              </w:rPr>
              <w:t>5.1.</w:t>
            </w:r>
            <w:r w:rsidR="000F62D5">
              <w:rPr>
                <w:rFonts w:asciiTheme="minorHAnsi" w:eastAsiaTheme="minorEastAsia" w:hAnsiTheme="minorHAnsi"/>
                <w:noProof/>
                <w:sz w:val="22"/>
                <w:lang w:eastAsia="cs-CZ"/>
              </w:rPr>
              <w:tab/>
            </w:r>
            <w:r w:rsidR="000F62D5" w:rsidRPr="005C184C">
              <w:rPr>
                <w:rStyle w:val="Hypertextovodkaz"/>
                <w:noProof/>
              </w:rPr>
              <w:t>Cizí státní příslušníci - zaměstnanci</w:t>
            </w:r>
            <w:r w:rsidR="000F62D5">
              <w:rPr>
                <w:noProof/>
                <w:webHidden/>
              </w:rPr>
              <w:tab/>
            </w:r>
            <w:r w:rsidR="000F62D5">
              <w:rPr>
                <w:noProof/>
                <w:webHidden/>
              </w:rPr>
              <w:fldChar w:fldCharType="begin"/>
            </w:r>
            <w:r w:rsidR="000F62D5">
              <w:rPr>
                <w:noProof/>
                <w:webHidden/>
              </w:rPr>
              <w:instrText xml:space="preserve"> PAGEREF _Toc492628602 \h </w:instrText>
            </w:r>
            <w:r w:rsidR="000F62D5">
              <w:rPr>
                <w:noProof/>
                <w:webHidden/>
              </w:rPr>
            </w:r>
            <w:r w:rsidR="000F62D5">
              <w:rPr>
                <w:noProof/>
                <w:webHidden/>
              </w:rPr>
              <w:fldChar w:fldCharType="separate"/>
            </w:r>
            <w:r w:rsidR="000F62D5">
              <w:rPr>
                <w:noProof/>
                <w:webHidden/>
              </w:rPr>
              <w:t>21</w:t>
            </w:r>
            <w:r w:rsidR="000F62D5">
              <w:rPr>
                <w:noProof/>
                <w:webHidden/>
              </w:rPr>
              <w:fldChar w:fldCharType="end"/>
            </w:r>
          </w:hyperlink>
        </w:p>
        <w:p w:rsidR="000F62D5" w:rsidRDefault="00F26E8F">
          <w:pPr>
            <w:pStyle w:val="Obsah3"/>
            <w:tabs>
              <w:tab w:val="left" w:pos="1320"/>
              <w:tab w:val="right" w:leader="dot" w:pos="9062"/>
            </w:tabs>
            <w:rPr>
              <w:rFonts w:asciiTheme="minorHAnsi" w:eastAsiaTheme="minorEastAsia" w:hAnsiTheme="minorHAnsi"/>
              <w:noProof/>
              <w:sz w:val="22"/>
              <w:lang w:eastAsia="cs-CZ"/>
            </w:rPr>
          </w:pPr>
          <w:hyperlink w:anchor="_Toc492628603" w:history="1">
            <w:r w:rsidR="000F62D5" w:rsidRPr="005C184C">
              <w:rPr>
                <w:rStyle w:val="Hypertextovodkaz"/>
                <w:noProof/>
                <w14:scene3d>
                  <w14:camera w14:prst="orthographicFront"/>
                  <w14:lightRig w14:rig="threePt" w14:dir="t">
                    <w14:rot w14:lat="0" w14:lon="0" w14:rev="0"/>
                  </w14:lightRig>
                </w14:scene3d>
              </w:rPr>
              <w:t>5.2.</w:t>
            </w:r>
            <w:r w:rsidR="000F62D5">
              <w:rPr>
                <w:rFonts w:asciiTheme="minorHAnsi" w:eastAsiaTheme="minorEastAsia" w:hAnsiTheme="minorHAnsi"/>
                <w:noProof/>
                <w:sz w:val="22"/>
                <w:lang w:eastAsia="cs-CZ"/>
              </w:rPr>
              <w:tab/>
            </w:r>
            <w:r w:rsidR="000F62D5" w:rsidRPr="005C184C">
              <w:rPr>
                <w:rStyle w:val="Hypertextovodkaz"/>
                <w:noProof/>
              </w:rPr>
              <w:t>Cizí státní příslušníci – držitelé živnostenského oprávnění</w:t>
            </w:r>
            <w:r w:rsidR="000F62D5">
              <w:rPr>
                <w:noProof/>
                <w:webHidden/>
              </w:rPr>
              <w:tab/>
            </w:r>
            <w:r w:rsidR="000F62D5">
              <w:rPr>
                <w:noProof/>
                <w:webHidden/>
              </w:rPr>
              <w:fldChar w:fldCharType="begin"/>
            </w:r>
            <w:r w:rsidR="000F62D5">
              <w:rPr>
                <w:noProof/>
                <w:webHidden/>
              </w:rPr>
              <w:instrText xml:space="preserve"> PAGEREF _Toc492628603 \h </w:instrText>
            </w:r>
            <w:r w:rsidR="000F62D5">
              <w:rPr>
                <w:noProof/>
                <w:webHidden/>
              </w:rPr>
            </w:r>
            <w:r w:rsidR="000F62D5">
              <w:rPr>
                <w:noProof/>
                <w:webHidden/>
              </w:rPr>
              <w:fldChar w:fldCharType="separate"/>
            </w:r>
            <w:r w:rsidR="000F62D5">
              <w:rPr>
                <w:noProof/>
                <w:webHidden/>
              </w:rPr>
              <w:t>22</w:t>
            </w:r>
            <w:r w:rsidR="000F62D5">
              <w:rPr>
                <w:noProof/>
                <w:webHidden/>
              </w:rPr>
              <w:fldChar w:fldCharType="end"/>
            </w:r>
          </w:hyperlink>
        </w:p>
        <w:p w:rsidR="000F62D5" w:rsidRDefault="00F26E8F">
          <w:pPr>
            <w:pStyle w:val="Obsah3"/>
            <w:tabs>
              <w:tab w:val="left" w:pos="1320"/>
              <w:tab w:val="right" w:leader="dot" w:pos="9062"/>
            </w:tabs>
            <w:rPr>
              <w:rStyle w:val="Hypertextovodkaz"/>
              <w:noProof/>
            </w:rPr>
          </w:pPr>
          <w:hyperlink w:anchor="_Toc492628604" w:history="1">
            <w:r w:rsidR="000F62D5" w:rsidRPr="005C184C">
              <w:rPr>
                <w:rStyle w:val="Hypertextovodkaz"/>
                <w:noProof/>
                <w14:scene3d>
                  <w14:camera w14:prst="orthographicFront"/>
                  <w14:lightRig w14:rig="threePt" w14:dir="t">
                    <w14:rot w14:lat="0" w14:lon="0" w14:rev="0"/>
                  </w14:lightRig>
                </w14:scene3d>
              </w:rPr>
              <w:t>5.3.</w:t>
            </w:r>
            <w:r w:rsidR="000F62D5">
              <w:rPr>
                <w:rFonts w:asciiTheme="minorHAnsi" w:eastAsiaTheme="minorEastAsia" w:hAnsiTheme="minorHAnsi"/>
                <w:noProof/>
                <w:sz w:val="22"/>
                <w:lang w:eastAsia="cs-CZ"/>
              </w:rPr>
              <w:tab/>
            </w:r>
            <w:r w:rsidR="000F62D5" w:rsidRPr="005C184C">
              <w:rPr>
                <w:rStyle w:val="Hypertextovodkaz"/>
                <w:noProof/>
              </w:rPr>
              <w:t>Zjednodušení přístupu občanů „třetích států“ na český trh práce</w:t>
            </w:r>
            <w:r w:rsidR="000F62D5">
              <w:rPr>
                <w:noProof/>
                <w:webHidden/>
              </w:rPr>
              <w:tab/>
            </w:r>
            <w:r w:rsidR="000F62D5">
              <w:rPr>
                <w:noProof/>
                <w:webHidden/>
              </w:rPr>
              <w:fldChar w:fldCharType="begin"/>
            </w:r>
            <w:r w:rsidR="000F62D5">
              <w:rPr>
                <w:noProof/>
                <w:webHidden/>
              </w:rPr>
              <w:instrText xml:space="preserve"> PAGEREF _Toc492628604 \h </w:instrText>
            </w:r>
            <w:r w:rsidR="000F62D5">
              <w:rPr>
                <w:noProof/>
                <w:webHidden/>
              </w:rPr>
            </w:r>
            <w:r w:rsidR="000F62D5">
              <w:rPr>
                <w:noProof/>
                <w:webHidden/>
              </w:rPr>
              <w:fldChar w:fldCharType="separate"/>
            </w:r>
            <w:r w:rsidR="000F62D5">
              <w:rPr>
                <w:noProof/>
                <w:webHidden/>
              </w:rPr>
              <w:t>23</w:t>
            </w:r>
            <w:r w:rsidR="000F62D5">
              <w:rPr>
                <w:noProof/>
                <w:webHidden/>
              </w:rPr>
              <w:fldChar w:fldCharType="end"/>
            </w:r>
          </w:hyperlink>
        </w:p>
        <w:p w:rsidR="000F62D5" w:rsidRPr="00975FB2" w:rsidRDefault="000F62D5" w:rsidP="00975FB2"/>
        <w:p w:rsidR="000F62D5" w:rsidRPr="00975FB2" w:rsidRDefault="00F26E8F" w:rsidP="00975FB2">
          <w:pPr>
            <w:pStyle w:val="Obsah1"/>
            <w:rPr>
              <w:rFonts w:asciiTheme="minorHAnsi" w:eastAsiaTheme="minorEastAsia" w:hAnsiTheme="minorHAnsi"/>
              <w:sz w:val="22"/>
            </w:rPr>
          </w:pPr>
          <w:hyperlink w:anchor="_Toc492628605" w:history="1">
            <w:r w:rsidR="000F62D5" w:rsidRPr="00975FB2">
              <w:rPr>
                <w:rStyle w:val="Hypertextovodkaz"/>
              </w:rPr>
              <w:t>B)</w:t>
            </w:r>
            <w:r w:rsidR="000F62D5" w:rsidRPr="00975FB2">
              <w:rPr>
                <w:rFonts w:asciiTheme="minorHAnsi" w:eastAsiaTheme="minorEastAsia" w:hAnsiTheme="minorHAnsi"/>
                <w:sz w:val="22"/>
              </w:rPr>
              <w:tab/>
            </w:r>
            <w:r w:rsidR="000F62D5" w:rsidRPr="00975FB2">
              <w:rPr>
                <w:rStyle w:val="Hypertextovodkaz"/>
              </w:rPr>
              <w:t>Plnění opatření</w:t>
            </w:r>
            <w:r w:rsidR="000F62D5" w:rsidRPr="00975FB2">
              <w:rPr>
                <w:webHidden/>
              </w:rPr>
              <w:tab/>
            </w:r>
            <w:r w:rsidR="000F62D5" w:rsidRPr="00975FB2">
              <w:rPr>
                <w:webHidden/>
              </w:rPr>
              <w:fldChar w:fldCharType="begin"/>
            </w:r>
            <w:r w:rsidR="000F62D5" w:rsidRPr="00975FB2">
              <w:rPr>
                <w:webHidden/>
              </w:rPr>
              <w:instrText xml:space="preserve"> PAGEREF _Toc492628605 \h </w:instrText>
            </w:r>
            <w:r w:rsidR="000F62D5" w:rsidRPr="00975FB2">
              <w:rPr>
                <w:webHidden/>
              </w:rPr>
            </w:r>
            <w:r w:rsidR="000F62D5" w:rsidRPr="00975FB2">
              <w:rPr>
                <w:webHidden/>
              </w:rPr>
              <w:fldChar w:fldCharType="separate"/>
            </w:r>
            <w:r w:rsidR="000F62D5" w:rsidRPr="00975FB2">
              <w:rPr>
                <w:webHidden/>
              </w:rPr>
              <w:t>24</w:t>
            </w:r>
            <w:r w:rsidR="000F62D5" w:rsidRPr="00975FB2">
              <w:rPr>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606" w:history="1">
            <w:r w:rsidR="000F62D5" w:rsidRPr="005C184C">
              <w:rPr>
                <w:rStyle w:val="Hypertextovodkaz"/>
                <w:rFonts w:eastAsia="Times New Roman"/>
                <w:noProof/>
                <w:lang w:eastAsia="cs-CZ"/>
              </w:rPr>
              <w:t>Sk. 1 Zvýšení motivace pracovní síly akceptovat zaměstnání</w:t>
            </w:r>
            <w:r w:rsidR="000F62D5">
              <w:rPr>
                <w:noProof/>
                <w:webHidden/>
              </w:rPr>
              <w:tab/>
            </w:r>
            <w:r w:rsidR="000F62D5">
              <w:rPr>
                <w:noProof/>
                <w:webHidden/>
              </w:rPr>
              <w:fldChar w:fldCharType="begin"/>
            </w:r>
            <w:r w:rsidR="000F62D5">
              <w:rPr>
                <w:noProof/>
                <w:webHidden/>
              </w:rPr>
              <w:instrText xml:space="preserve"> PAGEREF _Toc492628606 \h </w:instrText>
            </w:r>
            <w:r w:rsidR="000F62D5">
              <w:rPr>
                <w:noProof/>
                <w:webHidden/>
              </w:rPr>
            </w:r>
            <w:r w:rsidR="000F62D5">
              <w:rPr>
                <w:noProof/>
                <w:webHidden/>
              </w:rPr>
              <w:fldChar w:fldCharType="separate"/>
            </w:r>
            <w:r w:rsidR="000F62D5">
              <w:rPr>
                <w:noProof/>
                <w:webHidden/>
              </w:rPr>
              <w:t>24</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607" w:history="1">
            <w:r w:rsidR="000F62D5" w:rsidRPr="005C184C">
              <w:rPr>
                <w:rStyle w:val="Hypertextovodkaz"/>
                <w:rFonts w:eastAsia="Times New Roman"/>
                <w:noProof/>
                <w:lang w:eastAsia="cs-CZ"/>
              </w:rPr>
              <w:t>Sk. 2 Motivace zaměstnavatelů zaměstnávat znevýhodněné skupiny osob (intenzivní využití dostupné pracovní síly)</w:t>
            </w:r>
            <w:r w:rsidR="000F62D5">
              <w:rPr>
                <w:noProof/>
                <w:webHidden/>
              </w:rPr>
              <w:tab/>
            </w:r>
            <w:r w:rsidR="000F62D5">
              <w:rPr>
                <w:noProof/>
                <w:webHidden/>
              </w:rPr>
              <w:fldChar w:fldCharType="begin"/>
            </w:r>
            <w:r w:rsidR="000F62D5">
              <w:rPr>
                <w:noProof/>
                <w:webHidden/>
              </w:rPr>
              <w:instrText xml:space="preserve"> PAGEREF _Toc492628607 \h </w:instrText>
            </w:r>
            <w:r w:rsidR="000F62D5">
              <w:rPr>
                <w:noProof/>
                <w:webHidden/>
              </w:rPr>
            </w:r>
            <w:r w:rsidR="000F62D5">
              <w:rPr>
                <w:noProof/>
                <w:webHidden/>
              </w:rPr>
              <w:fldChar w:fldCharType="separate"/>
            </w:r>
            <w:r w:rsidR="000F62D5">
              <w:rPr>
                <w:noProof/>
                <w:webHidden/>
              </w:rPr>
              <w:t>30</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608" w:history="1">
            <w:r w:rsidR="000F62D5" w:rsidRPr="005C184C">
              <w:rPr>
                <w:rStyle w:val="Hypertextovodkaz"/>
                <w:rFonts w:eastAsia="Times New Roman"/>
                <w:noProof/>
                <w:lang w:eastAsia="cs-CZ"/>
              </w:rPr>
              <w:t>Sk. 3 Intenzifikace činnosti ÚP ČR a SUIP</w:t>
            </w:r>
            <w:r w:rsidR="000F62D5">
              <w:rPr>
                <w:noProof/>
                <w:webHidden/>
              </w:rPr>
              <w:tab/>
            </w:r>
            <w:r w:rsidR="000F62D5">
              <w:rPr>
                <w:noProof/>
                <w:webHidden/>
              </w:rPr>
              <w:fldChar w:fldCharType="begin"/>
            </w:r>
            <w:r w:rsidR="000F62D5">
              <w:rPr>
                <w:noProof/>
                <w:webHidden/>
              </w:rPr>
              <w:instrText xml:space="preserve"> PAGEREF _Toc492628608 \h </w:instrText>
            </w:r>
            <w:r w:rsidR="000F62D5">
              <w:rPr>
                <w:noProof/>
                <w:webHidden/>
              </w:rPr>
            </w:r>
            <w:r w:rsidR="000F62D5">
              <w:rPr>
                <w:noProof/>
                <w:webHidden/>
              </w:rPr>
              <w:fldChar w:fldCharType="separate"/>
            </w:r>
            <w:r w:rsidR="000F62D5">
              <w:rPr>
                <w:noProof/>
                <w:webHidden/>
              </w:rPr>
              <w:t>32</w:t>
            </w:r>
            <w:r w:rsidR="000F62D5">
              <w:rPr>
                <w:noProof/>
                <w:webHidden/>
              </w:rPr>
              <w:fldChar w:fldCharType="end"/>
            </w:r>
          </w:hyperlink>
        </w:p>
        <w:p w:rsidR="000F62D5" w:rsidRDefault="00F26E8F" w:rsidP="00975FB2">
          <w:pPr>
            <w:pStyle w:val="Obsah2"/>
            <w:rPr>
              <w:rFonts w:asciiTheme="minorHAnsi" w:eastAsiaTheme="minorEastAsia" w:hAnsiTheme="minorHAnsi"/>
              <w:noProof/>
              <w:sz w:val="22"/>
              <w:lang w:eastAsia="cs-CZ"/>
            </w:rPr>
          </w:pPr>
          <w:hyperlink w:anchor="_Toc492628609" w:history="1">
            <w:r w:rsidR="000F62D5" w:rsidRPr="005C184C">
              <w:rPr>
                <w:rStyle w:val="Hypertextovodkaz"/>
                <w:rFonts w:eastAsia="Times New Roman"/>
                <w:noProof/>
                <w:lang w:eastAsia="cs-CZ"/>
              </w:rPr>
              <w:t>Sk. 4 Zvýšení kvalifikačního souladu na trhu práce</w:t>
            </w:r>
            <w:r w:rsidR="000F62D5">
              <w:rPr>
                <w:noProof/>
                <w:webHidden/>
              </w:rPr>
              <w:tab/>
            </w:r>
            <w:r w:rsidR="000F62D5">
              <w:rPr>
                <w:noProof/>
                <w:webHidden/>
              </w:rPr>
              <w:fldChar w:fldCharType="begin"/>
            </w:r>
            <w:r w:rsidR="000F62D5">
              <w:rPr>
                <w:noProof/>
                <w:webHidden/>
              </w:rPr>
              <w:instrText xml:space="preserve"> PAGEREF _Toc492628609 \h </w:instrText>
            </w:r>
            <w:r w:rsidR="000F62D5">
              <w:rPr>
                <w:noProof/>
                <w:webHidden/>
              </w:rPr>
            </w:r>
            <w:r w:rsidR="000F62D5">
              <w:rPr>
                <w:noProof/>
                <w:webHidden/>
              </w:rPr>
              <w:fldChar w:fldCharType="separate"/>
            </w:r>
            <w:r w:rsidR="000F62D5">
              <w:rPr>
                <w:noProof/>
                <w:webHidden/>
              </w:rPr>
              <w:t>37</w:t>
            </w:r>
            <w:r w:rsidR="000F62D5">
              <w:rPr>
                <w:noProof/>
                <w:webHidden/>
              </w:rPr>
              <w:fldChar w:fldCharType="end"/>
            </w:r>
          </w:hyperlink>
        </w:p>
        <w:p w:rsidR="00153127" w:rsidRDefault="00153127" w:rsidP="00110B70">
          <w:pPr>
            <w:spacing w:line="240" w:lineRule="auto"/>
          </w:pPr>
          <w:r>
            <w:rPr>
              <w:b/>
              <w:bCs/>
            </w:rPr>
            <w:fldChar w:fldCharType="end"/>
          </w:r>
        </w:p>
      </w:sdtContent>
    </w:sdt>
    <w:p w:rsidR="00534DB8" w:rsidRDefault="00534DB8" w:rsidP="00110B70">
      <w:pPr>
        <w:pStyle w:val="Seznamobrzk"/>
        <w:spacing w:line="240" w:lineRule="auto"/>
      </w:pPr>
    </w:p>
    <w:p w:rsidR="00153127" w:rsidRDefault="00153127" w:rsidP="00110B70">
      <w:pPr>
        <w:spacing w:after="200" w:line="240" w:lineRule="auto"/>
        <w:jc w:val="left"/>
        <w:rPr>
          <w:rFonts w:asciiTheme="majorHAnsi" w:eastAsiaTheme="majorEastAsia" w:hAnsiTheme="majorHAnsi" w:cstheme="majorBidi"/>
          <w:b/>
          <w:bCs/>
          <w:color w:val="365F91" w:themeColor="accent1" w:themeShade="BF"/>
          <w:szCs w:val="28"/>
          <w:lang w:eastAsia="cs-CZ"/>
        </w:rPr>
        <w:sectPr w:rsidR="00153127" w:rsidSect="00153127">
          <w:footerReference w:type="default" r:id="rId12"/>
          <w:headerReference w:type="first" r:id="rId13"/>
          <w:pgSz w:w="11906" w:h="16838"/>
          <w:pgMar w:top="1417" w:right="1417" w:bottom="1417" w:left="1417" w:header="708" w:footer="708" w:gutter="0"/>
          <w:pgNumType w:fmt="lowerRoman" w:start="1"/>
          <w:cols w:space="708"/>
          <w:titlePg/>
          <w:docGrid w:linePitch="360"/>
        </w:sectPr>
      </w:pPr>
    </w:p>
    <w:p w:rsidR="00534DB8" w:rsidRPr="00484D3B" w:rsidRDefault="00534DB8" w:rsidP="00110B70">
      <w:pPr>
        <w:pStyle w:val="Nadpis1"/>
        <w:numPr>
          <w:ilvl w:val="0"/>
          <w:numId w:val="0"/>
        </w:numPr>
        <w:spacing w:line="240" w:lineRule="auto"/>
        <w:rPr>
          <w:lang w:eastAsia="cs-CZ"/>
        </w:rPr>
      </w:pPr>
      <w:bookmarkStart w:id="1" w:name="_Toc492628579"/>
      <w:r w:rsidRPr="00484D3B">
        <w:rPr>
          <w:lang w:eastAsia="cs-CZ"/>
        </w:rPr>
        <w:lastRenderedPageBreak/>
        <w:t>Seznam grafů</w:t>
      </w:r>
      <w:r w:rsidR="00484D3B">
        <w:rPr>
          <w:lang w:eastAsia="cs-CZ"/>
        </w:rPr>
        <w:t>,</w:t>
      </w:r>
      <w:r w:rsidRPr="00484D3B">
        <w:rPr>
          <w:lang w:eastAsia="cs-CZ"/>
        </w:rPr>
        <w:t xml:space="preserve"> tabulek</w:t>
      </w:r>
      <w:r w:rsidR="00484D3B">
        <w:rPr>
          <w:lang w:eastAsia="cs-CZ"/>
        </w:rPr>
        <w:t xml:space="preserve"> a zkratek</w:t>
      </w:r>
      <w:bookmarkEnd w:id="1"/>
    </w:p>
    <w:p w:rsidR="00534DB8" w:rsidRPr="00534DB8" w:rsidRDefault="00534DB8" w:rsidP="00110B70">
      <w:pPr>
        <w:spacing w:after="120" w:line="240" w:lineRule="auto"/>
        <w:rPr>
          <w:rFonts w:asciiTheme="majorHAnsi" w:hAnsiTheme="majorHAnsi"/>
          <w:b/>
          <w:color w:val="0070C0"/>
          <w:sz w:val="20"/>
          <w:lang w:eastAsia="cs-CZ"/>
        </w:rPr>
      </w:pPr>
      <w:r w:rsidRPr="00534DB8">
        <w:rPr>
          <w:rFonts w:asciiTheme="majorHAnsi" w:hAnsiTheme="majorHAnsi"/>
          <w:b/>
          <w:color w:val="0070C0"/>
          <w:sz w:val="20"/>
          <w:lang w:eastAsia="cs-CZ"/>
        </w:rPr>
        <w:t>Grafy</w:t>
      </w:r>
    </w:p>
    <w:p w:rsidR="00410665" w:rsidRDefault="00534DB8">
      <w:pPr>
        <w:pStyle w:val="Seznamobrzk"/>
        <w:rPr>
          <w:rFonts w:asciiTheme="minorHAnsi" w:eastAsiaTheme="minorEastAsia" w:hAnsiTheme="minorHAnsi"/>
          <w:sz w:val="22"/>
          <w:szCs w:val="22"/>
          <w:lang w:eastAsia="cs-CZ"/>
        </w:rPr>
      </w:pPr>
      <w:r w:rsidRPr="00EF2D05">
        <w:fldChar w:fldCharType="begin"/>
      </w:r>
      <w:r w:rsidRPr="00525F9E">
        <w:instrText xml:space="preserve"> TOC \h \z \c "Graf č.:" </w:instrText>
      </w:r>
      <w:r w:rsidRPr="00EF2D05">
        <w:fldChar w:fldCharType="separate"/>
      </w:r>
      <w:hyperlink w:anchor="_Toc492555031" w:history="1">
        <w:r w:rsidR="00410665" w:rsidRPr="00CD7B0D">
          <w:rPr>
            <w:rStyle w:val="Hypertextovodkaz"/>
          </w:rPr>
          <w:t>Graf č.: 1 Počty a struktura VPM podle doby neobsazenosti podle hl. tříd zaměstnání k 30. 6. 2017</w:t>
        </w:r>
        <w:r w:rsidR="00410665">
          <w:rPr>
            <w:webHidden/>
          </w:rPr>
          <w:tab/>
        </w:r>
        <w:r w:rsidR="00410665">
          <w:rPr>
            <w:webHidden/>
          </w:rPr>
          <w:fldChar w:fldCharType="begin"/>
        </w:r>
        <w:r w:rsidR="00410665">
          <w:rPr>
            <w:webHidden/>
          </w:rPr>
          <w:instrText xml:space="preserve"> PAGEREF _Toc492555031 \h </w:instrText>
        </w:r>
        <w:r w:rsidR="00410665">
          <w:rPr>
            <w:webHidden/>
          </w:rPr>
        </w:r>
        <w:r w:rsidR="00410665">
          <w:rPr>
            <w:webHidden/>
          </w:rPr>
          <w:fldChar w:fldCharType="separate"/>
        </w:r>
        <w:r w:rsidR="00410665">
          <w:rPr>
            <w:webHidden/>
          </w:rPr>
          <w:t>3</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2" w:history="1">
        <w:r w:rsidR="00410665" w:rsidRPr="00CD7B0D">
          <w:rPr>
            <w:rStyle w:val="Hypertextovodkaz"/>
          </w:rPr>
          <w:t>Graf č.: 2 Struktura VPM podle hl. tříd zaměstnání a doby neobsazenosti</w:t>
        </w:r>
        <w:r w:rsidR="00410665">
          <w:rPr>
            <w:webHidden/>
          </w:rPr>
          <w:tab/>
        </w:r>
        <w:r w:rsidR="00410665">
          <w:rPr>
            <w:webHidden/>
          </w:rPr>
          <w:fldChar w:fldCharType="begin"/>
        </w:r>
        <w:r w:rsidR="00410665">
          <w:rPr>
            <w:webHidden/>
          </w:rPr>
          <w:instrText xml:space="preserve"> PAGEREF _Toc492555032 \h </w:instrText>
        </w:r>
        <w:r w:rsidR="00410665">
          <w:rPr>
            <w:webHidden/>
          </w:rPr>
        </w:r>
        <w:r w:rsidR="00410665">
          <w:rPr>
            <w:webHidden/>
          </w:rPr>
          <w:fldChar w:fldCharType="separate"/>
        </w:r>
        <w:r w:rsidR="00410665">
          <w:rPr>
            <w:webHidden/>
          </w:rPr>
          <w:t>4</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3" w:history="1">
        <w:r w:rsidR="00410665" w:rsidRPr="00CD7B0D">
          <w:rPr>
            <w:rStyle w:val="Hypertextovodkaz"/>
          </w:rPr>
          <w:t>Graf č.: 3 Struktura a počty VPM podle požadovaného vzdělání k 30. 6. 2017</w:t>
        </w:r>
        <w:r w:rsidR="00410665">
          <w:rPr>
            <w:webHidden/>
          </w:rPr>
          <w:tab/>
        </w:r>
        <w:r w:rsidR="00410665">
          <w:rPr>
            <w:webHidden/>
          </w:rPr>
          <w:fldChar w:fldCharType="begin"/>
        </w:r>
        <w:r w:rsidR="00410665">
          <w:rPr>
            <w:webHidden/>
          </w:rPr>
          <w:instrText xml:space="preserve"> PAGEREF _Toc492555033 \h </w:instrText>
        </w:r>
        <w:r w:rsidR="00410665">
          <w:rPr>
            <w:webHidden/>
          </w:rPr>
        </w:r>
        <w:r w:rsidR="00410665">
          <w:rPr>
            <w:webHidden/>
          </w:rPr>
          <w:fldChar w:fldCharType="separate"/>
        </w:r>
        <w:r w:rsidR="00410665">
          <w:rPr>
            <w:webHidden/>
          </w:rPr>
          <w:t>4</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r:id="rId14" w:anchor="_Toc492555034" w:history="1">
        <w:r w:rsidR="00410665" w:rsidRPr="00CD7B0D">
          <w:rPr>
            <w:rStyle w:val="Hypertextovodkaz"/>
          </w:rPr>
          <w:t>Graf č.: 4 Podíly VPM podle vzdělání</w:t>
        </w:r>
        <w:r w:rsidR="00410665">
          <w:rPr>
            <w:webHidden/>
          </w:rPr>
          <w:tab/>
        </w:r>
        <w:r w:rsidR="00410665">
          <w:rPr>
            <w:webHidden/>
          </w:rPr>
          <w:fldChar w:fldCharType="begin"/>
        </w:r>
        <w:r w:rsidR="00410665">
          <w:rPr>
            <w:webHidden/>
          </w:rPr>
          <w:instrText xml:space="preserve"> PAGEREF _Toc492555034 \h </w:instrText>
        </w:r>
        <w:r w:rsidR="00410665">
          <w:rPr>
            <w:webHidden/>
          </w:rPr>
        </w:r>
        <w:r w:rsidR="00410665">
          <w:rPr>
            <w:webHidden/>
          </w:rPr>
          <w:fldChar w:fldCharType="separate"/>
        </w:r>
        <w:r w:rsidR="00410665">
          <w:rPr>
            <w:webHidden/>
          </w:rPr>
          <w:t>5</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5" w:history="1">
        <w:r w:rsidR="00410665" w:rsidRPr="00CD7B0D">
          <w:rPr>
            <w:rStyle w:val="Hypertextovodkaz"/>
          </w:rPr>
          <w:t>Graf č.: 5 Podíly VPM podle vzdělání a doby neobsazenosti k 30. 6. 2017</w:t>
        </w:r>
        <w:r w:rsidR="00410665">
          <w:rPr>
            <w:webHidden/>
          </w:rPr>
          <w:tab/>
        </w:r>
        <w:r w:rsidR="00410665">
          <w:rPr>
            <w:webHidden/>
          </w:rPr>
          <w:fldChar w:fldCharType="begin"/>
        </w:r>
        <w:r w:rsidR="00410665">
          <w:rPr>
            <w:webHidden/>
          </w:rPr>
          <w:instrText xml:space="preserve"> PAGEREF _Toc492555035 \h </w:instrText>
        </w:r>
        <w:r w:rsidR="00410665">
          <w:rPr>
            <w:webHidden/>
          </w:rPr>
        </w:r>
        <w:r w:rsidR="00410665">
          <w:rPr>
            <w:webHidden/>
          </w:rPr>
          <w:fldChar w:fldCharType="separate"/>
        </w:r>
        <w:r w:rsidR="00410665">
          <w:rPr>
            <w:webHidden/>
          </w:rPr>
          <w:t>6</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6" w:history="1">
        <w:r w:rsidR="00410665" w:rsidRPr="00CD7B0D">
          <w:rPr>
            <w:rStyle w:val="Hypertextovodkaz"/>
          </w:rPr>
          <w:t>Graf č.: 6 Podíly VPM podle vzdělání a doby neobsazenosti k 31. 12. 2016</w:t>
        </w:r>
        <w:r w:rsidR="00410665">
          <w:rPr>
            <w:webHidden/>
          </w:rPr>
          <w:tab/>
        </w:r>
        <w:r w:rsidR="00410665">
          <w:rPr>
            <w:webHidden/>
          </w:rPr>
          <w:fldChar w:fldCharType="begin"/>
        </w:r>
        <w:r w:rsidR="00410665">
          <w:rPr>
            <w:webHidden/>
          </w:rPr>
          <w:instrText xml:space="preserve"> PAGEREF _Toc492555036 \h </w:instrText>
        </w:r>
        <w:r w:rsidR="00410665">
          <w:rPr>
            <w:webHidden/>
          </w:rPr>
        </w:r>
        <w:r w:rsidR="00410665">
          <w:rPr>
            <w:webHidden/>
          </w:rPr>
          <w:fldChar w:fldCharType="separate"/>
        </w:r>
        <w:r w:rsidR="00410665">
          <w:rPr>
            <w:webHidden/>
          </w:rPr>
          <w:t>6</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7" w:history="1">
        <w:r w:rsidR="00410665" w:rsidRPr="00CD7B0D">
          <w:rPr>
            <w:rStyle w:val="Hypertextovodkaz"/>
          </w:rPr>
          <w:t>Graf č.: 7 Podíl VPM hlášených jako vhodná pro cizince podle hl. tříd zaměstnání a UoZ/VPM k 30. 6. 2017</w:t>
        </w:r>
        <w:r w:rsidR="00410665">
          <w:rPr>
            <w:webHidden/>
          </w:rPr>
          <w:tab/>
        </w:r>
        <w:r w:rsidR="00410665">
          <w:rPr>
            <w:webHidden/>
          </w:rPr>
          <w:fldChar w:fldCharType="begin"/>
        </w:r>
        <w:r w:rsidR="00410665">
          <w:rPr>
            <w:webHidden/>
          </w:rPr>
          <w:instrText xml:space="preserve"> PAGEREF _Toc492555037 \h </w:instrText>
        </w:r>
        <w:r w:rsidR="00410665">
          <w:rPr>
            <w:webHidden/>
          </w:rPr>
        </w:r>
        <w:r w:rsidR="00410665">
          <w:rPr>
            <w:webHidden/>
          </w:rPr>
          <w:fldChar w:fldCharType="separate"/>
        </w:r>
        <w:r w:rsidR="00410665">
          <w:rPr>
            <w:webHidden/>
          </w:rPr>
          <w:t>6</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8" w:history="1">
        <w:r w:rsidR="00410665" w:rsidRPr="00CD7B0D">
          <w:rPr>
            <w:rStyle w:val="Hypertextovodkaz"/>
          </w:rPr>
          <w:t>Graf č.: 8 Výdělky od r. 2015</w:t>
        </w:r>
        <w:r w:rsidR="00410665">
          <w:rPr>
            <w:webHidden/>
          </w:rPr>
          <w:tab/>
        </w:r>
        <w:r w:rsidR="00410665">
          <w:rPr>
            <w:webHidden/>
          </w:rPr>
          <w:fldChar w:fldCharType="begin"/>
        </w:r>
        <w:r w:rsidR="00410665">
          <w:rPr>
            <w:webHidden/>
          </w:rPr>
          <w:instrText xml:space="preserve"> PAGEREF _Toc492555038 \h </w:instrText>
        </w:r>
        <w:r w:rsidR="00410665">
          <w:rPr>
            <w:webHidden/>
          </w:rPr>
        </w:r>
        <w:r w:rsidR="00410665">
          <w:rPr>
            <w:webHidden/>
          </w:rPr>
          <w:fldChar w:fldCharType="separate"/>
        </w:r>
        <w:r w:rsidR="00410665">
          <w:rPr>
            <w:webHidden/>
          </w:rPr>
          <w:t>8</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39" w:history="1">
        <w:r w:rsidR="00410665" w:rsidRPr="00CD7B0D">
          <w:rPr>
            <w:rStyle w:val="Hypertextovodkaz"/>
          </w:rPr>
          <w:t>Graf č.: 9 Průměrná mzda v roce 2015 a 2016 a její meziroční růst</w:t>
        </w:r>
        <w:r w:rsidR="00410665">
          <w:rPr>
            <w:webHidden/>
          </w:rPr>
          <w:tab/>
        </w:r>
        <w:r w:rsidR="00410665">
          <w:rPr>
            <w:webHidden/>
          </w:rPr>
          <w:fldChar w:fldCharType="begin"/>
        </w:r>
        <w:r w:rsidR="00410665">
          <w:rPr>
            <w:webHidden/>
          </w:rPr>
          <w:instrText xml:space="preserve"> PAGEREF _Toc492555039 \h </w:instrText>
        </w:r>
        <w:r w:rsidR="00410665">
          <w:rPr>
            <w:webHidden/>
          </w:rPr>
        </w:r>
        <w:r w:rsidR="00410665">
          <w:rPr>
            <w:webHidden/>
          </w:rPr>
          <w:fldChar w:fldCharType="separate"/>
        </w:r>
        <w:r w:rsidR="00410665">
          <w:rPr>
            <w:webHidden/>
          </w:rPr>
          <w:t>9</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0" w:history="1">
        <w:r w:rsidR="00410665" w:rsidRPr="00CD7B0D">
          <w:rPr>
            <w:rStyle w:val="Hypertextovodkaz"/>
          </w:rPr>
          <w:t>Graf č.: 10 Vývoj "nástupních" mezd</w:t>
        </w:r>
        <w:r w:rsidR="00410665">
          <w:rPr>
            <w:webHidden/>
          </w:rPr>
          <w:tab/>
        </w:r>
        <w:r w:rsidR="00410665">
          <w:rPr>
            <w:webHidden/>
          </w:rPr>
          <w:fldChar w:fldCharType="begin"/>
        </w:r>
        <w:r w:rsidR="00410665">
          <w:rPr>
            <w:webHidden/>
          </w:rPr>
          <w:instrText xml:space="preserve"> PAGEREF _Toc492555040 \h </w:instrText>
        </w:r>
        <w:r w:rsidR="00410665">
          <w:rPr>
            <w:webHidden/>
          </w:rPr>
        </w:r>
        <w:r w:rsidR="00410665">
          <w:rPr>
            <w:webHidden/>
          </w:rPr>
          <w:fldChar w:fldCharType="separate"/>
        </w:r>
        <w:r w:rsidR="00410665">
          <w:rPr>
            <w:webHidden/>
          </w:rPr>
          <w:t>11</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r:id="rId15" w:anchor="_Toc492555041" w:history="1">
        <w:r w:rsidR="00410665" w:rsidRPr="00CD7B0D">
          <w:rPr>
            <w:rStyle w:val="Hypertextovodkaz"/>
          </w:rPr>
          <w:t>Graf č.: 11 Vývoj platů</w:t>
        </w:r>
        <w:r w:rsidR="00410665">
          <w:rPr>
            <w:webHidden/>
          </w:rPr>
          <w:tab/>
        </w:r>
        <w:r w:rsidR="00410665">
          <w:rPr>
            <w:webHidden/>
          </w:rPr>
          <w:fldChar w:fldCharType="begin"/>
        </w:r>
        <w:r w:rsidR="00410665">
          <w:rPr>
            <w:webHidden/>
          </w:rPr>
          <w:instrText xml:space="preserve"> PAGEREF _Toc492555041 \h </w:instrText>
        </w:r>
        <w:r w:rsidR="00410665">
          <w:rPr>
            <w:webHidden/>
          </w:rPr>
        </w:r>
        <w:r w:rsidR="00410665">
          <w:rPr>
            <w:webHidden/>
          </w:rPr>
          <w:fldChar w:fldCharType="separate"/>
        </w:r>
        <w:r w:rsidR="00410665">
          <w:rPr>
            <w:webHidden/>
          </w:rPr>
          <w:t>11</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2" w:history="1">
        <w:r w:rsidR="00410665" w:rsidRPr="00CD7B0D">
          <w:rPr>
            <w:rStyle w:val="Hypertextovodkaz"/>
          </w:rPr>
          <w:t>Graf č.: 12 Meziroční změna mezd a platů mezi lety 2015 a 2016</w:t>
        </w:r>
        <w:r w:rsidR="00410665">
          <w:rPr>
            <w:webHidden/>
          </w:rPr>
          <w:tab/>
        </w:r>
        <w:r w:rsidR="00410665">
          <w:rPr>
            <w:webHidden/>
          </w:rPr>
          <w:fldChar w:fldCharType="begin"/>
        </w:r>
        <w:r w:rsidR="00410665">
          <w:rPr>
            <w:webHidden/>
          </w:rPr>
          <w:instrText xml:space="preserve"> PAGEREF _Toc492555042 \h </w:instrText>
        </w:r>
        <w:r w:rsidR="00410665">
          <w:rPr>
            <w:webHidden/>
          </w:rPr>
        </w:r>
        <w:r w:rsidR="00410665">
          <w:rPr>
            <w:webHidden/>
          </w:rPr>
          <w:fldChar w:fldCharType="separate"/>
        </w:r>
        <w:r w:rsidR="00410665">
          <w:rPr>
            <w:webHidden/>
          </w:rPr>
          <w:t>12</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3" w:history="1">
        <w:r w:rsidR="00410665" w:rsidRPr="00CD7B0D">
          <w:rPr>
            <w:rStyle w:val="Hypertextovodkaz"/>
          </w:rPr>
          <w:t>Graf č.: 13 Podíly znevýhodněných UoZ v krajích k 30. 6. 2017 (kumulovaně)</w:t>
        </w:r>
        <w:r w:rsidR="00410665">
          <w:rPr>
            <w:webHidden/>
          </w:rPr>
          <w:tab/>
        </w:r>
        <w:r w:rsidR="00410665">
          <w:rPr>
            <w:webHidden/>
          </w:rPr>
          <w:fldChar w:fldCharType="begin"/>
        </w:r>
        <w:r w:rsidR="00410665">
          <w:rPr>
            <w:webHidden/>
          </w:rPr>
          <w:instrText xml:space="preserve"> PAGEREF _Toc492555043 \h </w:instrText>
        </w:r>
        <w:r w:rsidR="00410665">
          <w:rPr>
            <w:webHidden/>
          </w:rPr>
        </w:r>
        <w:r w:rsidR="00410665">
          <w:rPr>
            <w:webHidden/>
          </w:rPr>
          <w:fldChar w:fldCharType="separate"/>
        </w:r>
        <w:r w:rsidR="00410665">
          <w:rPr>
            <w:webHidden/>
          </w:rPr>
          <w:t>15</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4" w:history="1">
        <w:r w:rsidR="00410665" w:rsidRPr="00CD7B0D">
          <w:rPr>
            <w:rStyle w:val="Hypertextovodkaz"/>
          </w:rPr>
          <w:t>Graf č.: 14 Struktura UoZ podle délky nezaměstnanosti (srovnání ČR a kraje)</w:t>
        </w:r>
        <w:r w:rsidR="00410665">
          <w:rPr>
            <w:webHidden/>
          </w:rPr>
          <w:tab/>
        </w:r>
        <w:r w:rsidR="00410665">
          <w:rPr>
            <w:webHidden/>
          </w:rPr>
          <w:fldChar w:fldCharType="begin"/>
        </w:r>
        <w:r w:rsidR="00410665">
          <w:rPr>
            <w:webHidden/>
          </w:rPr>
          <w:instrText xml:space="preserve"> PAGEREF _Toc492555044 \h </w:instrText>
        </w:r>
        <w:r w:rsidR="00410665">
          <w:rPr>
            <w:webHidden/>
          </w:rPr>
        </w:r>
        <w:r w:rsidR="00410665">
          <w:rPr>
            <w:webHidden/>
          </w:rPr>
          <w:fldChar w:fldCharType="separate"/>
        </w:r>
        <w:r w:rsidR="00410665">
          <w:rPr>
            <w:webHidden/>
          </w:rPr>
          <w:t>16</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5" w:history="1">
        <w:r w:rsidR="00410665" w:rsidRPr="00CD7B0D">
          <w:rPr>
            <w:rStyle w:val="Hypertextovodkaz"/>
          </w:rPr>
          <w:t>Graf č.: 15 Struktura UoZ podle vzdělání v krajích k 30. 6. 2017</w:t>
        </w:r>
        <w:r w:rsidR="00410665">
          <w:rPr>
            <w:webHidden/>
          </w:rPr>
          <w:tab/>
        </w:r>
        <w:r w:rsidR="00410665">
          <w:rPr>
            <w:webHidden/>
          </w:rPr>
          <w:fldChar w:fldCharType="begin"/>
        </w:r>
        <w:r w:rsidR="00410665">
          <w:rPr>
            <w:webHidden/>
          </w:rPr>
          <w:instrText xml:space="preserve"> PAGEREF _Toc492555045 \h </w:instrText>
        </w:r>
        <w:r w:rsidR="00410665">
          <w:rPr>
            <w:webHidden/>
          </w:rPr>
        </w:r>
        <w:r w:rsidR="00410665">
          <w:rPr>
            <w:webHidden/>
          </w:rPr>
          <w:fldChar w:fldCharType="separate"/>
        </w:r>
        <w:r w:rsidR="00410665">
          <w:rPr>
            <w:webHidden/>
          </w:rPr>
          <w:t>17</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6" w:history="1">
        <w:r w:rsidR="00410665" w:rsidRPr="00CD7B0D">
          <w:rPr>
            <w:rStyle w:val="Hypertextovodkaz"/>
          </w:rPr>
          <w:t>Graf č.: 16 Počet UoZ a VPM k 30. 6. 2017 a počtu UoZ/VPM k 30. 6. 2017 a 31. 12. 2016 podle vzdělání</w:t>
        </w:r>
        <w:r w:rsidR="00410665">
          <w:rPr>
            <w:webHidden/>
          </w:rPr>
          <w:tab/>
        </w:r>
        <w:r w:rsidR="00410665">
          <w:rPr>
            <w:webHidden/>
          </w:rPr>
          <w:fldChar w:fldCharType="begin"/>
        </w:r>
        <w:r w:rsidR="00410665">
          <w:rPr>
            <w:webHidden/>
          </w:rPr>
          <w:instrText xml:space="preserve"> PAGEREF _Toc492555046 \h </w:instrText>
        </w:r>
        <w:r w:rsidR="00410665">
          <w:rPr>
            <w:webHidden/>
          </w:rPr>
        </w:r>
        <w:r w:rsidR="00410665">
          <w:rPr>
            <w:webHidden/>
          </w:rPr>
          <w:fldChar w:fldCharType="separate"/>
        </w:r>
        <w:r w:rsidR="00410665">
          <w:rPr>
            <w:webHidden/>
          </w:rPr>
          <w:t>18</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7" w:history="1">
        <w:r w:rsidR="00410665" w:rsidRPr="00CD7B0D">
          <w:rPr>
            <w:rStyle w:val="Hypertextovodkaz"/>
          </w:rPr>
          <w:t>Graf č.: 17 Vývoj počtu UoZ vykonávajících nekolidující zaměstnání a jejich podílu na UoZ</w:t>
        </w:r>
        <w:r w:rsidR="00410665">
          <w:rPr>
            <w:webHidden/>
          </w:rPr>
          <w:tab/>
        </w:r>
        <w:r w:rsidR="00410665">
          <w:rPr>
            <w:webHidden/>
          </w:rPr>
          <w:fldChar w:fldCharType="begin"/>
        </w:r>
        <w:r w:rsidR="00410665">
          <w:rPr>
            <w:webHidden/>
          </w:rPr>
          <w:instrText xml:space="preserve"> PAGEREF _Toc492555047 \h </w:instrText>
        </w:r>
        <w:r w:rsidR="00410665">
          <w:rPr>
            <w:webHidden/>
          </w:rPr>
        </w:r>
        <w:r w:rsidR="00410665">
          <w:rPr>
            <w:webHidden/>
          </w:rPr>
          <w:fldChar w:fldCharType="separate"/>
        </w:r>
        <w:r w:rsidR="00410665">
          <w:rPr>
            <w:webHidden/>
          </w:rPr>
          <w:t>19</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8" w:history="1">
        <w:r w:rsidR="00410665" w:rsidRPr="00CD7B0D">
          <w:rPr>
            <w:rStyle w:val="Hypertextovodkaz"/>
          </w:rPr>
          <w:t>Graf č.: 18 Vývoj dosažitelných UoZ (měsíčně) od ledna 2016</w:t>
        </w:r>
        <w:r w:rsidR="00410665">
          <w:rPr>
            <w:webHidden/>
          </w:rPr>
          <w:tab/>
        </w:r>
        <w:r w:rsidR="00410665">
          <w:rPr>
            <w:webHidden/>
          </w:rPr>
          <w:fldChar w:fldCharType="begin"/>
        </w:r>
        <w:r w:rsidR="00410665">
          <w:rPr>
            <w:webHidden/>
          </w:rPr>
          <w:instrText xml:space="preserve"> PAGEREF _Toc492555048 \h </w:instrText>
        </w:r>
        <w:r w:rsidR="00410665">
          <w:rPr>
            <w:webHidden/>
          </w:rPr>
        </w:r>
        <w:r w:rsidR="00410665">
          <w:rPr>
            <w:webHidden/>
          </w:rPr>
          <w:fldChar w:fldCharType="separate"/>
        </w:r>
        <w:r w:rsidR="00410665">
          <w:rPr>
            <w:webHidden/>
          </w:rPr>
          <w:t>20</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49" w:history="1">
        <w:r w:rsidR="00410665" w:rsidRPr="00CD7B0D">
          <w:rPr>
            <w:rStyle w:val="Hypertextovodkaz"/>
          </w:rPr>
          <w:t>Graf č.: 19 Vývoj počtu UoZ podle doby evidence</w:t>
        </w:r>
        <w:r w:rsidR="00410665">
          <w:rPr>
            <w:webHidden/>
          </w:rPr>
          <w:tab/>
        </w:r>
        <w:r w:rsidR="00410665">
          <w:rPr>
            <w:webHidden/>
          </w:rPr>
          <w:fldChar w:fldCharType="begin"/>
        </w:r>
        <w:r w:rsidR="00410665">
          <w:rPr>
            <w:webHidden/>
          </w:rPr>
          <w:instrText xml:space="preserve"> PAGEREF _Toc492555049 \h </w:instrText>
        </w:r>
        <w:r w:rsidR="00410665">
          <w:rPr>
            <w:webHidden/>
          </w:rPr>
        </w:r>
        <w:r w:rsidR="00410665">
          <w:rPr>
            <w:webHidden/>
          </w:rPr>
          <w:fldChar w:fldCharType="separate"/>
        </w:r>
        <w:r w:rsidR="00410665">
          <w:rPr>
            <w:webHidden/>
          </w:rPr>
          <w:t>21</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r:id="rId16" w:anchor="_Toc492555050" w:history="1">
        <w:r w:rsidR="00410665" w:rsidRPr="00CD7B0D">
          <w:rPr>
            <w:rStyle w:val="Hypertextovodkaz"/>
          </w:rPr>
          <w:t>Graf č.: 20 Vývoj dynamiky změny počtu UoZ podle doby evidence</w:t>
        </w:r>
        <w:r w:rsidR="00410665">
          <w:rPr>
            <w:webHidden/>
          </w:rPr>
          <w:tab/>
        </w:r>
        <w:r w:rsidR="00410665">
          <w:rPr>
            <w:webHidden/>
          </w:rPr>
          <w:fldChar w:fldCharType="begin"/>
        </w:r>
        <w:r w:rsidR="00410665">
          <w:rPr>
            <w:webHidden/>
          </w:rPr>
          <w:instrText xml:space="preserve"> PAGEREF _Toc492555050 \h </w:instrText>
        </w:r>
        <w:r w:rsidR="00410665">
          <w:rPr>
            <w:webHidden/>
          </w:rPr>
        </w:r>
        <w:r w:rsidR="00410665">
          <w:rPr>
            <w:webHidden/>
          </w:rPr>
          <w:fldChar w:fldCharType="separate"/>
        </w:r>
        <w:r w:rsidR="00410665">
          <w:rPr>
            <w:webHidden/>
          </w:rPr>
          <w:t>21</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1" w:history="1">
        <w:r w:rsidR="00410665" w:rsidRPr="00CD7B0D">
          <w:rPr>
            <w:rStyle w:val="Hypertextovodkaz"/>
          </w:rPr>
          <w:t>Graf č.: 21 Vývoj počtu cizích státních příslušníků v postavení zaměstnanci podle státní příslušnosti</w:t>
        </w:r>
        <w:r w:rsidR="00410665">
          <w:rPr>
            <w:webHidden/>
          </w:rPr>
          <w:tab/>
        </w:r>
        <w:r w:rsidR="00410665">
          <w:rPr>
            <w:webHidden/>
          </w:rPr>
          <w:fldChar w:fldCharType="begin"/>
        </w:r>
        <w:r w:rsidR="00410665">
          <w:rPr>
            <w:webHidden/>
          </w:rPr>
          <w:instrText xml:space="preserve"> PAGEREF _Toc492555051 \h </w:instrText>
        </w:r>
        <w:r w:rsidR="00410665">
          <w:rPr>
            <w:webHidden/>
          </w:rPr>
        </w:r>
        <w:r w:rsidR="00410665">
          <w:rPr>
            <w:webHidden/>
          </w:rPr>
          <w:fldChar w:fldCharType="separate"/>
        </w:r>
        <w:r w:rsidR="00410665">
          <w:rPr>
            <w:webHidden/>
          </w:rPr>
          <w:t>22</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2" w:history="1">
        <w:r w:rsidR="00410665" w:rsidRPr="00CD7B0D">
          <w:rPr>
            <w:rStyle w:val="Hypertextovodkaz"/>
          </w:rPr>
          <w:t>Graf č.: 22 Vývoj struktury cizinců evidovaných ÚP ČR (zaměstnanci) podle státního občanství</w:t>
        </w:r>
        <w:r w:rsidR="00410665">
          <w:rPr>
            <w:webHidden/>
          </w:rPr>
          <w:tab/>
        </w:r>
        <w:r w:rsidR="00410665">
          <w:rPr>
            <w:webHidden/>
          </w:rPr>
          <w:fldChar w:fldCharType="begin"/>
        </w:r>
        <w:r w:rsidR="00410665">
          <w:rPr>
            <w:webHidden/>
          </w:rPr>
          <w:instrText xml:space="preserve"> PAGEREF _Toc492555052 \h </w:instrText>
        </w:r>
        <w:r w:rsidR="00410665">
          <w:rPr>
            <w:webHidden/>
          </w:rPr>
        </w:r>
        <w:r w:rsidR="00410665">
          <w:rPr>
            <w:webHidden/>
          </w:rPr>
          <w:fldChar w:fldCharType="separate"/>
        </w:r>
        <w:r w:rsidR="00410665">
          <w:rPr>
            <w:webHidden/>
          </w:rPr>
          <w:t>23</w:t>
        </w:r>
        <w:r w:rsidR="00410665">
          <w:rPr>
            <w:webHidden/>
          </w:rPr>
          <w:fldChar w:fldCharType="end"/>
        </w:r>
      </w:hyperlink>
    </w:p>
    <w:p w:rsidR="00410665" w:rsidRDefault="00534DB8">
      <w:pPr>
        <w:pStyle w:val="Seznamobrzk"/>
        <w:rPr>
          <w:rFonts w:asciiTheme="majorHAnsi" w:hAnsiTheme="majorHAnsi"/>
          <w:b/>
          <w:color w:val="0070C0"/>
          <w:sz w:val="20"/>
          <w:lang w:eastAsia="cs-CZ"/>
        </w:rPr>
      </w:pPr>
      <w:r w:rsidRPr="00EF2D05">
        <w:fldChar w:fldCharType="end"/>
      </w:r>
      <w:r w:rsidRPr="00EF2D05">
        <w:rPr>
          <w:rFonts w:asciiTheme="majorHAnsi" w:hAnsiTheme="majorHAnsi"/>
          <w:b/>
          <w:color w:val="0070C0"/>
          <w:sz w:val="20"/>
          <w:lang w:eastAsia="cs-CZ"/>
        </w:rPr>
        <w:t>Tabulky</w:t>
      </w:r>
    </w:p>
    <w:p w:rsidR="00410665" w:rsidRDefault="00534DB8">
      <w:pPr>
        <w:pStyle w:val="Seznamobrzk"/>
        <w:rPr>
          <w:rFonts w:asciiTheme="minorHAnsi" w:eastAsiaTheme="minorEastAsia" w:hAnsiTheme="minorHAnsi"/>
          <w:sz w:val="22"/>
          <w:szCs w:val="22"/>
          <w:lang w:eastAsia="cs-CZ"/>
        </w:rPr>
      </w:pPr>
      <w:r w:rsidRPr="00EF2D05">
        <w:rPr>
          <w:rFonts w:asciiTheme="majorHAnsi" w:hAnsiTheme="majorHAnsi"/>
          <w:b/>
          <w:color w:val="0070C0"/>
          <w:lang w:eastAsia="cs-CZ"/>
        </w:rPr>
        <w:fldChar w:fldCharType="begin"/>
      </w:r>
      <w:r w:rsidRPr="00EF2D05">
        <w:rPr>
          <w:rFonts w:asciiTheme="majorHAnsi" w:hAnsiTheme="majorHAnsi"/>
          <w:b/>
          <w:color w:val="0070C0"/>
          <w:lang w:eastAsia="cs-CZ"/>
        </w:rPr>
        <w:instrText xml:space="preserve"> TOC \h \z \c "Tabulka" </w:instrText>
      </w:r>
      <w:r w:rsidRPr="00EF2D05">
        <w:rPr>
          <w:rFonts w:asciiTheme="majorHAnsi" w:hAnsiTheme="majorHAnsi"/>
          <w:b/>
          <w:color w:val="0070C0"/>
          <w:lang w:eastAsia="cs-CZ"/>
        </w:rPr>
        <w:fldChar w:fldCharType="separate"/>
      </w:r>
      <w:hyperlink w:anchor="_Toc492555053" w:history="1">
        <w:r w:rsidR="00410665" w:rsidRPr="00510DB8">
          <w:rPr>
            <w:rStyle w:val="Hypertextovodkaz"/>
          </w:rPr>
          <w:t>Tabulka 1 Základní ukazatele nezaměstnanosti k 30. 6. 2017 v krajích ČR</w:t>
        </w:r>
        <w:r w:rsidR="00410665">
          <w:rPr>
            <w:webHidden/>
          </w:rPr>
          <w:tab/>
        </w:r>
        <w:r w:rsidR="00410665">
          <w:rPr>
            <w:webHidden/>
          </w:rPr>
          <w:fldChar w:fldCharType="begin"/>
        </w:r>
        <w:r w:rsidR="00410665">
          <w:rPr>
            <w:webHidden/>
          </w:rPr>
          <w:instrText xml:space="preserve"> PAGEREF _Toc492555053 \h </w:instrText>
        </w:r>
        <w:r w:rsidR="00410665">
          <w:rPr>
            <w:webHidden/>
          </w:rPr>
        </w:r>
        <w:r w:rsidR="00410665">
          <w:rPr>
            <w:webHidden/>
          </w:rPr>
          <w:fldChar w:fldCharType="separate"/>
        </w:r>
        <w:r w:rsidR="00410665">
          <w:rPr>
            <w:webHidden/>
          </w:rPr>
          <w:t>1</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4" w:history="1">
        <w:r w:rsidR="00410665" w:rsidRPr="00510DB8">
          <w:rPr>
            <w:rStyle w:val="Hypertextovodkaz"/>
          </w:rPr>
          <w:t>Tabulka 2 Podíly VPM podle doby neobsazenosti</w:t>
        </w:r>
        <w:r w:rsidR="00410665">
          <w:rPr>
            <w:webHidden/>
          </w:rPr>
          <w:tab/>
        </w:r>
        <w:r w:rsidR="00410665">
          <w:rPr>
            <w:webHidden/>
          </w:rPr>
          <w:fldChar w:fldCharType="begin"/>
        </w:r>
        <w:r w:rsidR="00410665">
          <w:rPr>
            <w:webHidden/>
          </w:rPr>
          <w:instrText xml:space="preserve"> PAGEREF _Toc492555054 \h </w:instrText>
        </w:r>
        <w:r w:rsidR="00410665">
          <w:rPr>
            <w:webHidden/>
          </w:rPr>
        </w:r>
        <w:r w:rsidR="00410665">
          <w:rPr>
            <w:webHidden/>
          </w:rPr>
          <w:fldChar w:fldCharType="separate"/>
        </w:r>
        <w:r w:rsidR="00410665">
          <w:rPr>
            <w:webHidden/>
          </w:rPr>
          <w:t>2</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5" w:history="1">
        <w:r w:rsidR="00410665" w:rsidRPr="00510DB8">
          <w:rPr>
            <w:rStyle w:val="Hypertextovodkaz"/>
          </w:rPr>
          <w:t>Tabulka 3 Základní ukazatele výdělků</w:t>
        </w:r>
        <w:r w:rsidR="00410665">
          <w:rPr>
            <w:webHidden/>
          </w:rPr>
          <w:tab/>
        </w:r>
        <w:r w:rsidR="00410665">
          <w:rPr>
            <w:webHidden/>
          </w:rPr>
          <w:fldChar w:fldCharType="begin"/>
        </w:r>
        <w:r w:rsidR="00410665">
          <w:rPr>
            <w:webHidden/>
          </w:rPr>
          <w:instrText xml:space="preserve"> PAGEREF _Toc492555055 \h </w:instrText>
        </w:r>
        <w:r w:rsidR="00410665">
          <w:rPr>
            <w:webHidden/>
          </w:rPr>
        </w:r>
        <w:r w:rsidR="00410665">
          <w:rPr>
            <w:webHidden/>
          </w:rPr>
          <w:fldChar w:fldCharType="separate"/>
        </w:r>
        <w:r w:rsidR="00410665">
          <w:rPr>
            <w:webHidden/>
          </w:rPr>
          <w:t>8</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6" w:history="1">
        <w:r w:rsidR="00410665" w:rsidRPr="00510DB8">
          <w:rPr>
            <w:rStyle w:val="Hypertextovodkaz"/>
          </w:rPr>
          <w:t>Tabulka 4 Označení sekcí CZ-NACE</w:t>
        </w:r>
        <w:r w:rsidR="00410665">
          <w:rPr>
            <w:webHidden/>
          </w:rPr>
          <w:tab/>
        </w:r>
        <w:r w:rsidR="00410665">
          <w:rPr>
            <w:webHidden/>
          </w:rPr>
          <w:fldChar w:fldCharType="begin"/>
        </w:r>
        <w:r w:rsidR="00410665">
          <w:rPr>
            <w:webHidden/>
          </w:rPr>
          <w:instrText xml:space="preserve"> PAGEREF _Toc492555056 \h </w:instrText>
        </w:r>
        <w:r w:rsidR="00410665">
          <w:rPr>
            <w:webHidden/>
          </w:rPr>
        </w:r>
        <w:r w:rsidR="00410665">
          <w:rPr>
            <w:webHidden/>
          </w:rPr>
          <w:fldChar w:fldCharType="separate"/>
        </w:r>
        <w:r w:rsidR="00410665">
          <w:rPr>
            <w:webHidden/>
          </w:rPr>
          <w:t>9</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7" w:history="1">
        <w:r w:rsidR="00410665" w:rsidRPr="00510DB8">
          <w:rPr>
            <w:rStyle w:val="Hypertextovodkaz"/>
          </w:rPr>
          <w:t>Tabulka 5 Počty znevýhodněných UoZ k 30. 6. 2017 v ČR a krajích</w:t>
        </w:r>
        <w:r w:rsidR="00410665">
          <w:rPr>
            <w:webHidden/>
          </w:rPr>
          <w:tab/>
        </w:r>
        <w:r w:rsidR="00410665">
          <w:rPr>
            <w:webHidden/>
          </w:rPr>
          <w:fldChar w:fldCharType="begin"/>
        </w:r>
        <w:r w:rsidR="00410665">
          <w:rPr>
            <w:webHidden/>
          </w:rPr>
          <w:instrText xml:space="preserve"> PAGEREF _Toc492555057 \h </w:instrText>
        </w:r>
        <w:r w:rsidR="00410665">
          <w:rPr>
            <w:webHidden/>
          </w:rPr>
        </w:r>
        <w:r w:rsidR="00410665">
          <w:rPr>
            <w:webHidden/>
          </w:rPr>
          <w:fldChar w:fldCharType="separate"/>
        </w:r>
        <w:r w:rsidR="00410665">
          <w:rPr>
            <w:webHidden/>
          </w:rPr>
          <w:t>13</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8" w:history="1">
        <w:r w:rsidR="00410665" w:rsidRPr="00510DB8">
          <w:rPr>
            <w:rStyle w:val="Hypertextovodkaz"/>
          </w:rPr>
          <w:t>Tabulka 6 Podíly znevýhodněných osob v krajích k 30. 6. 2017</w:t>
        </w:r>
        <w:r w:rsidR="00410665">
          <w:rPr>
            <w:webHidden/>
          </w:rPr>
          <w:tab/>
        </w:r>
        <w:r w:rsidR="00410665">
          <w:rPr>
            <w:webHidden/>
          </w:rPr>
          <w:fldChar w:fldCharType="begin"/>
        </w:r>
        <w:r w:rsidR="00410665">
          <w:rPr>
            <w:webHidden/>
          </w:rPr>
          <w:instrText xml:space="preserve"> PAGEREF _Toc492555058 \h </w:instrText>
        </w:r>
        <w:r w:rsidR="00410665">
          <w:rPr>
            <w:webHidden/>
          </w:rPr>
        </w:r>
        <w:r w:rsidR="00410665">
          <w:rPr>
            <w:webHidden/>
          </w:rPr>
          <w:fldChar w:fldCharType="separate"/>
        </w:r>
        <w:r w:rsidR="00410665">
          <w:rPr>
            <w:webHidden/>
          </w:rPr>
          <w:t>13</w:t>
        </w:r>
        <w:r w:rsidR="00410665">
          <w:rPr>
            <w:webHidden/>
          </w:rPr>
          <w:fldChar w:fldCharType="end"/>
        </w:r>
      </w:hyperlink>
    </w:p>
    <w:p w:rsidR="00410665" w:rsidRDefault="00F26E8F">
      <w:pPr>
        <w:pStyle w:val="Seznamobrzk"/>
        <w:rPr>
          <w:rFonts w:asciiTheme="minorHAnsi" w:eastAsiaTheme="minorEastAsia" w:hAnsiTheme="minorHAnsi"/>
          <w:sz w:val="22"/>
          <w:szCs w:val="22"/>
          <w:lang w:eastAsia="cs-CZ"/>
        </w:rPr>
      </w:pPr>
      <w:hyperlink w:anchor="_Toc492555059" w:history="1">
        <w:r w:rsidR="00410665" w:rsidRPr="00510DB8">
          <w:rPr>
            <w:rStyle w:val="Hypertextovodkaz"/>
          </w:rPr>
          <w:t>Tabulka 7 Počet a podíl UoZ vykonávajících nekolidující zaměstnání k 30. 6. 2017 a 31. 12. 2016</w:t>
        </w:r>
        <w:r w:rsidR="00410665">
          <w:rPr>
            <w:webHidden/>
          </w:rPr>
          <w:tab/>
        </w:r>
        <w:r w:rsidR="00410665">
          <w:rPr>
            <w:webHidden/>
          </w:rPr>
          <w:fldChar w:fldCharType="begin"/>
        </w:r>
        <w:r w:rsidR="00410665">
          <w:rPr>
            <w:webHidden/>
          </w:rPr>
          <w:instrText xml:space="preserve"> PAGEREF _Toc492555059 \h </w:instrText>
        </w:r>
        <w:r w:rsidR="00410665">
          <w:rPr>
            <w:webHidden/>
          </w:rPr>
        </w:r>
        <w:r w:rsidR="00410665">
          <w:rPr>
            <w:webHidden/>
          </w:rPr>
          <w:fldChar w:fldCharType="separate"/>
        </w:r>
        <w:r w:rsidR="00410665">
          <w:rPr>
            <w:webHidden/>
          </w:rPr>
          <w:t>18</w:t>
        </w:r>
        <w:r w:rsidR="00410665">
          <w:rPr>
            <w:webHidden/>
          </w:rPr>
          <w:fldChar w:fldCharType="end"/>
        </w:r>
      </w:hyperlink>
    </w:p>
    <w:p w:rsidR="00484D3B" w:rsidRDefault="00534DB8" w:rsidP="00110B70">
      <w:pPr>
        <w:spacing w:before="240" w:line="240" w:lineRule="auto"/>
        <w:jc w:val="left"/>
        <w:rPr>
          <w:rFonts w:asciiTheme="majorHAnsi" w:hAnsiTheme="majorHAnsi"/>
          <w:b/>
          <w:color w:val="0070C0"/>
          <w:sz w:val="20"/>
          <w:lang w:eastAsia="cs-CZ"/>
        </w:rPr>
      </w:pPr>
      <w:r w:rsidRPr="00EF2D05">
        <w:rPr>
          <w:sz w:val="16"/>
          <w:szCs w:val="16"/>
        </w:rPr>
        <w:fldChar w:fldCharType="end"/>
      </w:r>
      <w:r w:rsidR="00484D3B" w:rsidRPr="00484D3B">
        <w:rPr>
          <w:rFonts w:asciiTheme="majorHAnsi" w:hAnsiTheme="majorHAnsi"/>
          <w:b/>
          <w:color w:val="0070C0"/>
          <w:sz w:val="20"/>
          <w:lang w:eastAsia="cs-CZ"/>
        </w:rPr>
        <w:t>Zkratky</w:t>
      </w:r>
    </w:p>
    <w:p w:rsidR="000D749F" w:rsidRDefault="000D749F" w:rsidP="00110B70">
      <w:pPr>
        <w:spacing w:after="120" w:line="240" w:lineRule="auto"/>
        <w:jc w:val="left"/>
        <w:rPr>
          <w:sz w:val="16"/>
        </w:rPr>
        <w:sectPr w:rsidR="000D749F" w:rsidSect="00153127">
          <w:footerReference w:type="first" r:id="rId17"/>
          <w:pgSz w:w="11906" w:h="16838"/>
          <w:pgMar w:top="1417" w:right="1417" w:bottom="1417" w:left="1417" w:header="708" w:footer="708" w:gutter="0"/>
          <w:pgNumType w:fmt="lowerRoman" w:start="1"/>
          <w:cols w:space="708"/>
          <w:titlePg/>
          <w:docGrid w:linePitch="360"/>
        </w:sectPr>
      </w:pPr>
    </w:p>
    <w:tbl>
      <w:tblPr>
        <w:tblStyle w:val="Mkatabulky"/>
        <w:tblW w:w="498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3563"/>
      </w:tblGrid>
      <w:tr w:rsidR="00193EA4" w:rsidTr="008E3E49">
        <w:trPr>
          <w:trHeight w:val="241"/>
        </w:trPr>
        <w:tc>
          <w:tcPr>
            <w:tcW w:w="1424" w:type="dxa"/>
            <w:vAlign w:val="center"/>
          </w:tcPr>
          <w:p w:rsidR="00193EA4" w:rsidRPr="00E17CFD" w:rsidRDefault="00193EA4" w:rsidP="00110B70">
            <w:pPr>
              <w:spacing w:before="20" w:afterLines="20" w:after="48"/>
              <w:ind w:left="-43"/>
              <w:jc w:val="right"/>
              <w:rPr>
                <w:sz w:val="16"/>
                <w:szCs w:val="16"/>
              </w:rPr>
            </w:pPr>
            <w:r>
              <w:rPr>
                <w:sz w:val="16"/>
                <w:szCs w:val="16"/>
              </w:rPr>
              <w:lastRenderedPageBreak/>
              <w:t>APZ</w:t>
            </w:r>
          </w:p>
        </w:tc>
        <w:tc>
          <w:tcPr>
            <w:tcW w:w="3563" w:type="dxa"/>
          </w:tcPr>
          <w:p w:rsidR="00193EA4" w:rsidRPr="00E17CFD" w:rsidRDefault="00F332CA" w:rsidP="00110B70">
            <w:pPr>
              <w:spacing w:before="20" w:afterLines="20" w:after="48"/>
              <w:ind w:left="34"/>
              <w:rPr>
                <w:sz w:val="16"/>
                <w:szCs w:val="16"/>
              </w:rPr>
            </w:pPr>
            <w:r>
              <w:rPr>
                <w:sz w:val="16"/>
                <w:szCs w:val="16"/>
              </w:rPr>
              <w:t>A</w:t>
            </w:r>
            <w:r w:rsidR="00193EA4">
              <w:rPr>
                <w:sz w:val="16"/>
                <w:szCs w:val="16"/>
              </w:rPr>
              <w:t>ktivní politika zaměstnanosti</w:t>
            </w:r>
          </w:p>
        </w:tc>
      </w:tr>
      <w:tr w:rsidR="00193EA4" w:rsidTr="008E3E49">
        <w:trPr>
          <w:trHeight w:val="224"/>
        </w:trPr>
        <w:tc>
          <w:tcPr>
            <w:tcW w:w="1424" w:type="dxa"/>
            <w:vAlign w:val="center"/>
          </w:tcPr>
          <w:p w:rsidR="00193EA4" w:rsidRDefault="00193EA4" w:rsidP="00110B70">
            <w:pPr>
              <w:spacing w:before="20" w:afterLines="20" w:after="48"/>
              <w:ind w:left="-43"/>
              <w:jc w:val="right"/>
              <w:rPr>
                <w:sz w:val="16"/>
              </w:rPr>
            </w:pPr>
            <w:r>
              <w:rPr>
                <w:sz w:val="16"/>
              </w:rPr>
              <w:t>ČSÚ</w:t>
            </w:r>
          </w:p>
        </w:tc>
        <w:tc>
          <w:tcPr>
            <w:tcW w:w="3563" w:type="dxa"/>
            <w:vAlign w:val="center"/>
          </w:tcPr>
          <w:p w:rsidR="00193EA4" w:rsidRDefault="00193EA4" w:rsidP="00110B70">
            <w:pPr>
              <w:spacing w:before="20" w:afterLines="20" w:after="48"/>
              <w:ind w:left="34"/>
              <w:rPr>
                <w:sz w:val="16"/>
              </w:rPr>
            </w:pPr>
            <w:r>
              <w:rPr>
                <w:sz w:val="16"/>
              </w:rPr>
              <w:t>Český statistický úřad</w:t>
            </w:r>
          </w:p>
        </w:tc>
      </w:tr>
      <w:tr w:rsidR="008E3E49" w:rsidTr="008E3E49">
        <w:trPr>
          <w:trHeight w:val="241"/>
        </w:trPr>
        <w:tc>
          <w:tcPr>
            <w:tcW w:w="1424" w:type="dxa"/>
            <w:vAlign w:val="center"/>
          </w:tcPr>
          <w:p w:rsidR="008E3E49" w:rsidRPr="00E17CFD" w:rsidRDefault="008E3E49" w:rsidP="00110B70">
            <w:pPr>
              <w:spacing w:before="20" w:afterLines="20" w:after="48"/>
              <w:ind w:left="-43"/>
              <w:jc w:val="right"/>
              <w:rPr>
                <w:sz w:val="16"/>
                <w:szCs w:val="16"/>
              </w:rPr>
            </w:pPr>
            <w:r>
              <w:rPr>
                <w:sz w:val="16"/>
                <w:szCs w:val="16"/>
              </w:rPr>
              <w:t>FDV</w:t>
            </w:r>
          </w:p>
        </w:tc>
        <w:tc>
          <w:tcPr>
            <w:tcW w:w="3563" w:type="dxa"/>
          </w:tcPr>
          <w:p w:rsidR="008E3E49" w:rsidRPr="00E17CFD" w:rsidRDefault="008E3E49" w:rsidP="00110B70">
            <w:pPr>
              <w:spacing w:before="20" w:afterLines="20" w:after="48"/>
              <w:ind w:left="34"/>
              <w:rPr>
                <w:sz w:val="16"/>
                <w:szCs w:val="16"/>
              </w:rPr>
            </w:pPr>
            <w:r>
              <w:rPr>
                <w:sz w:val="16"/>
                <w:szCs w:val="16"/>
              </w:rPr>
              <w:t>Fond dalšího vzdělávání</w:t>
            </w:r>
          </w:p>
        </w:tc>
      </w:tr>
      <w:tr w:rsidR="008E3E49" w:rsidTr="00DD51F7">
        <w:trPr>
          <w:trHeight w:val="241"/>
        </w:trPr>
        <w:tc>
          <w:tcPr>
            <w:tcW w:w="1424" w:type="dxa"/>
            <w:vAlign w:val="center"/>
          </w:tcPr>
          <w:p w:rsidR="008E3E49" w:rsidRDefault="008E3E49" w:rsidP="00110B70">
            <w:pPr>
              <w:spacing w:before="20" w:afterLines="20" w:after="48"/>
              <w:ind w:left="-43"/>
              <w:jc w:val="right"/>
              <w:rPr>
                <w:sz w:val="16"/>
                <w:szCs w:val="16"/>
              </w:rPr>
            </w:pPr>
            <w:r>
              <w:rPr>
                <w:sz w:val="16"/>
                <w:szCs w:val="16"/>
              </w:rPr>
              <w:t>IAP</w:t>
            </w:r>
          </w:p>
        </w:tc>
        <w:tc>
          <w:tcPr>
            <w:tcW w:w="3563" w:type="dxa"/>
            <w:vAlign w:val="center"/>
          </w:tcPr>
          <w:p w:rsidR="008E3E49" w:rsidRDefault="008E3E49" w:rsidP="00110B70">
            <w:pPr>
              <w:spacing w:before="20" w:afterLines="20" w:after="48"/>
              <w:ind w:left="34"/>
              <w:rPr>
                <w:sz w:val="16"/>
                <w:szCs w:val="16"/>
              </w:rPr>
            </w:pPr>
            <w:r>
              <w:rPr>
                <w:sz w:val="16"/>
                <w:szCs w:val="16"/>
              </w:rPr>
              <w:t>Individuální akční plán</w:t>
            </w:r>
          </w:p>
        </w:tc>
      </w:tr>
      <w:tr w:rsidR="008E3E49" w:rsidTr="00DD51F7">
        <w:trPr>
          <w:trHeight w:val="396"/>
        </w:trPr>
        <w:tc>
          <w:tcPr>
            <w:tcW w:w="1424" w:type="dxa"/>
            <w:vAlign w:val="center"/>
          </w:tcPr>
          <w:p w:rsidR="008E3E49" w:rsidRPr="00E17CFD" w:rsidRDefault="008E3E49" w:rsidP="00110B70">
            <w:pPr>
              <w:spacing w:before="20" w:afterLines="20" w:after="48"/>
              <w:ind w:left="-43"/>
              <w:jc w:val="right"/>
              <w:rPr>
                <w:sz w:val="16"/>
                <w:szCs w:val="16"/>
              </w:rPr>
            </w:pPr>
            <w:r>
              <w:rPr>
                <w:sz w:val="16"/>
                <w:szCs w:val="16"/>
              </w:rPr>
              <w:t>IPS</w:t>
            </w:r>
          </w:p>
        </w:tc>
        <w:tc>
          <w:tcPr>
            <w:tcW w:w="3563" w:type="dxa"/>
          </w:tcPr>
          <w:p w:rsidR="008E3E49" w:rsidRPr="00E17CFD" w:rsidRDefault="008E3E49" w:rsidP="008E3E49">
            <w:pPr>
              <w:spacing w:before="20" w:afterLines="20" w:after="48"/>
              <w:ind w:left="34"/>
              <w:jc w:val="left"/>
              <w:rPr>
                <w:sz w:val="16"/>
                <w:szCs w:val="16"/>
              </w:rPr>
            </w:pPr>
            <w:r>
              <w:rPr>
                <w:sz w:val="16"/>
                <w:szCs w:val="16"/>
              </w:rPr>
              <w:t xml:space="preserve">Informační a poradenské středisko </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szCs w:val="16"/>
              </w:rPr>
            </w:pPr>
            <w:r>
              <w:rPr>
                <w:sz w:val="16"/>
              </w:rPr>
              <w:t>ISPV</w:t>
            </w:r>
          </w:p>
        </w:tc>
        <w:tc>
          <w:tcPr>
            <w:tcW w:w="3563" w:type="dxa"/>
            <w:vAlign w:val="center"/>
          </w:tcPr>
          <w:p w:rsidR="008E3E49" w:rsidRPr="00E17CFD" w:rsidRDefault="008E3E49" w:rsidP="00110B70">
            <w:pPr>
              <w:spacing w:before="20" w:afterLines="20" w:after="48"/>
              <w:ind w:left="34"/>
              <w:rPr>
                <w:sz w:val="16"/>
                <w:szCs w:val="16"/>
              </w:rPr>
            </w:pPr>
            <w:r>
              <w:rPr>
                <w:sz w:val="16"/>
              </w:rPr>
              <w:t>Informační systém o průměrném výdělku</w:t>
            </w:r>
          </w:p>
        </w:tc>
      </w:tr>
      <w:tr w:rsidR="008E3E49" w:rsidTr="00DD51F7">
        <w:trPr>
          <w:trHeight w:val="396"/>
        </w:trPr>
        <w:tc>
          <w:tcPr>
            <w:tcW w:w="1424" w:type="dxa"/>
          </w:tcPr>
          <w:p w:rsidR="008E3E49" w:rsidRPr="00E17CFD" w:rsidRDefault="008E3E49" w:rsidP="00110B70">
            <w:pPr>
              <w:spacing w:before="20" w:afterLines="20" w:after="48"/>
              <w:ind w:left="-43"/>
              <w:jc w:val="right"/>
              <w:rPr>
                <w:sz w:val="16"/>
                <w:szCs w:val="16"/>
              </w:rPr>
            </w:pPr>
            <w:r w:rsidRPr="00E17CFD">
              <w:rPr>
                <w:sz w:val="16"/>
              </w:rPr>
              <w:t>JČK</w:t>
            </w:r>
          </w:p>
        </w:tc>
        <w:tc>
          <w:tcPr>
            <w:tcW w:w="3563" w:type="dxa"/>
            <w:vAlign w:val="center"/>
          </w:tcPr>
          <w:p w:rsidR="008E3E49" w:rsidRPr="00E17CFD" w:rsidRDefault="008E3E49" w:rsidP="008E3E49">
            <w:pPr>
              <w:spacing w:before="20" w:afterLines="20" w:after="48"/>
              <w:ind w:left="34"/>
              <w:rPr>
                <w:sz w:val="16"/>
                <w:szCs w:val="16"/>
              </w:rPr>
            </w:pPr>
            <w:r>
              <w:rPr>
                <w:sz w:val="16"/>
              </w:rPr>
              <w:t>Jihočeský kraj</w:t>
            </w:r>
          </w:p>
        </w:tc>
      </w:tr>
      <w:tr w:rsidR="008E3E49" w:rsidTr="00DD51F7">
        <w:trPr>
          <w:trHeight w:val="224"/>
        </w:trPr>
        <w:tc>
          <w:tcPr>
            <w:tcW w:w="1424" w:type="dxa"/>
          </w:tcPr>
          <w:p w:rsidR="008E3E49" w:rsidRDefault="008E3E49" w:rsidP="00110B70">
            <w:pPr>
              <w:spacing w:before="20" w:afterLines="20" w:after="48"/>
              <w:ind w:left="-43"/>
              <w:jc w:val="right"/>
              <w:rPr>
                <w:sz w:val="16"/>
              </w:rPr>
            </w:pPr>
            <w:r w:rsidRPr="00E17CFD">
              <w:rPr>
                <w:sz w:val="16"/>
              </w:rPr>
              <w:t>JMK</w:t>
            </w:r>
          </w:p>
        </w:tc>
        <w:tc>
          <w:tcPr>
            <w:tcW w:w="3563" w:type="dxa"/>
          </w:tcPr>
          <w:p w:rsidR="008E3E49" w:rsidRDefault="008E3E49" w:rsidP="00110B70">
            <w:pPr>
              <w:spacing w:before="20" w:afterLines="20" w:after="48"/>
              <w:ind w:left="34"/>
              <w:rPr>
                <w:sz w:val="16"/>
              </w:rPr>
            </w:pPr>
            <w:r w:rsidRPr="00E17CFD">
              <w:rPr>
                <w:sz w:val="16"/>
              </w:rPr>
              <w:t>Jihomoravský kraj</w:t>
            </w:r>
          </w:p>
        </w:tc>
      </w:tr>
      <w:tr w:rsidR="008E3E49" w:rsidTr="00DD51F7">
        <w:trPr>
          <w:trHeight w:val="241"/>
        </w:trPr>
        <w:tc>
          <w:tcPr>
            <w:tcW w:w="1424" w:type="dxa"/>
          </w:tcPr>
          <w:p w:rsidR="008E3E49" w:rsidRPr="00E17CFD" w:rsidRDefault="008E3E49" w:rsidP="00110B70">
            <w:pPr>
              <w:spacing w:before="20" w:afterLines="20" w:after="48"/>
              <w:ind w:left="-43"/>
              <w:jc w:val="right"/>
              <w:rPr>
                <w:sz w:val="16"/>
              </w:rPr>
            </w:pPr>
            <w:r w:rsidRPr="00E17CFD">
              <w:rPr>
                <w:sz w:val="16"/>
              </w:rPr>
              <w:t>KHK</w:t>
            </w:r>
          </w:p>
        </w:tc>
        <w:tc>
          <w:tcPr>
            <w:tcW w:w="3563" w:type="dxa"/>
          </w:tcPr>
          <w:p w:rsidR="008E3E49" w:rsidRPr="00E17CFD" w:rsidRDefault="008E3E49" w:rsidP="00110B70">
            <w:pPr>
              <w:spacing w:before="20" w:afterLines="20" w:after="48"/>
              <w:ind w:left="34"/>
              <w:rPr>
                <w:sz w:val="16"/>
              </w:rPr>
            </w:pPr>
            <w:r w:rsidRPr="00E17CFD">
              <w:rPr>
                <w:sz w:val="16"/>
              </w:rPr>
              <w:t>Královehradecký kraj</w:t>
            </w:r>
          </w:p>
        </w:tc>
      </w:tr>
      <w:tr w:rsidR="008E3E49" w:rsidTr="008E3E49">
        <w:trPr>
          <w:trHeight w:val="224"/>
        </w:trPr>
        <w:tc>
          <w:tcPr>
            <w:tcW w:w="1424" w:type="dxa"/>
          </w:tcPr>
          <w:p w:rsidR="008E3E49" w:rsidRPr="00E17CFD" w:rsidRDefault="008E3E49" w:rsidP="00110B70">
            <w:pPr>
              <w:spacing w:before="20" w:afterLines="20" w:after="48"/>
              <w:ind w:left="-43"/>
              <w:jc w:val="right"/>
              <w:rPr>
                <w:sz w:val="16"/>
              </w:rPr>
            </w:pPr>
            <w:r>
              <w:rPr>
                <w:sz w:val="16"/>
              </w:rPr>
              <w:t>KoP</w:t>
            </w:r>
          </w:p>
        </w:tc>
        <w:tc>
          <w:tcPr>
            <w:tcW w:w="3563" w:type="dxa"/>
          </w:tcPr>
          <w:p w:rsidR="008E3E49" w:rsidRPr="00E17CFD" w:rsidRDefault="008E3E49" w:rsidP="00110B70">
            <w:pPr>
              <w:spacing w:before="20" w:afterLines="20" w:after="48"/>
              <w:ind w:left="34"/>
              <w:rPr>
                <w:sz w:val="16"/>
              </w:rPr>
            </w:pPr>
            <w:r>
              <w:rPr>
                <w:sz w:val="16"/>
              </w:rPr>
              <w:t>Kontaktní pracoviště (UP ČR</w:t>
            </w:r>
          </w:p>
        </w:tc>
      </w:tr>
      <w:tr w:rsidR="008E3E49" w:rsidTr="008E3E49">
        <w:trPr>
          <w:trHeight w:val="241"/>
        </w:trPr>
        <w:tc>
          <w:tcPr>
            <w:tcW w:w="1424" w:type="dxa"/>
          </w:tcPr>
          <w:p w:rsidR="008E3E49" w:rsidRPr="00E17CFD" w:rsidRDefault="008E3E49" w:rsidP="00110B70">
            <w:pPr>
              <w:spacing w:before="20" w:afterLines="20" w:after="48"/>
              <w:ind w:left="-43"/>
              <w:jc w:val="right"/>
              <w:rPr>
                <w:sz w:val="16"/>
              </w:rPr>
            </w:pPr>
            <w:r>
              <w:rPr>
                <w:sz w:val="16"/>
              </w:rPr>
              <w:t>KrP</w:t>
            </w:r>
          </w:p>
        </w:tc>
        <w:tc>
          <w:tcPr>
            <w:tcW w:w="3563" w:type="dxa"/>
          </w:tcPr>
          <w:p w:rsidR="008E3E49" w:rsidRPr="00E17CFD" w:rsidRDefault="008E3E49" w:rsidP="00110B70">
            <w:pPr>
              <w:spacing w:before="20" w:afterLines="20" w:after="48"/>
              <w:ind w:left="34"/>
              <w:rPr>
                <w:sz w:val="16"/>
              </w:rPr>
            </w:pPr>
            <w:r>
              <w:rPr>
                <w:sz w:val="16"/>
              </w:rPr>
              <w:t>Krajská pobočka (UP ČR)</w:t>
            </w:r>
          </w:p>
        </w:tc>
      </w:tr>
      <w:tr w:rsidR="008E3E49" w:rsidTr="008E3E49">
        <w:trPr>
          <w:trHeight w:val="241"/>
        </w:trPr>
        <w:tc>
          <w:tcPr>
            <w:tcW w:w="1424" w:type="dxa"/>
          </w:tcPr>
          <w:p w:rsidR="008E3E49" w:rsidRPr="00E17CFD" w:rsidRDefault="008E3E49" w:rsidP="00110B70">
            <w:pPr>
              <w:spacing w:before="20" w:afterLines="20" w:after="48"/>
              <w:ind w:left="-43"/>
              <w:jc w:val="right"/>
              <w:rPr>
                <w:sz w:val="16"/>
              </w:rPr>
            </w:pPr>
            <w:r w:rsidRPr="00E17CFD">
              <w:rPr>
                <w:sz w:val="16"/>
              </w:rPr>
              <w:t>KVK</w:t>
            </w:r>
          </w:p>
        </w:tc>
        <w:tc>
          <w:tcPr>
            <w:tcW w:w="3563" w:type="dxa"/>
          </w:tcPr>
          <w:p w:rsidR="008E3E49" w:rsidRPr="00E17CFD" w:rsidRDefault="008E3E49" w:rsidP="00110B70">
            <w:pPr>
              <w:spacing w:before="20" w:afterLines="20" w:after="48"/>
              <w:ind w:left="34"/>
              <w:rPr>
                <w:sz w:val="16"/>
              </w:rPr>
            </w:pPr>
            <w:r w:rsidRPr="00E17CFD">
              <w:rPr>
                <w:sz w:val="16"/>
              </w:rPr>
              <w:t>Karlovarský kraj</w:t>
            </w:r>
          </w:p>
        </w:tc>
      </w:tr>
      <w:tr w:rsidR="008E3E49" w:rsidTr="008E3E49">
        <w:trPr>
          <w:trHeight w:val="241"/>
        </w:trPr>
        <w:tc>
          <w:tcPr>
            <w:tcW w:w="1424" w:type="dxa"/>
          </w:tcPr>
          <w:p w:rsidR="008E3E49" w:rsidRPr="00E17CFD" w:rsidRDefault="008E3E49" w:rsidP="00110B70">
            <w:pPr>
              <w:spacing w:before="20" w:afterLines="20" w:after="48"/>
              <w:ind w:left="-43"/>
              <w:jc w:val="right"/>
              <w:rPr>
                <w:sz w:val="16"/>
              </w:rPr>
            </w:pPr>
            <w:r w:rsidRPr="00E17CFD">
              <w:rPr>
                <w:sz w:val="16"/>
              </w:rPr>
              <w:t>LBK</w:t>
            </w:r>
          </w:p>
        </w:tc>
        <w:tc>
          <w:tcPr>
            <w:tcW w:w="3563" w:type="dxa"/>
          </w:tcPr>
          <w:p w:rsidR="008E3E49" w:rsidRPr="00E17CFD" w:rsidRDefault="008E3E49" w:rsidP="00110B70">
            <w:pPr>
              <w:spacing w:before="20" w:afterLines="20" w:after="48"/>
              <w:ind w:left="34"/>
              <w:rPr>
                <w:sz w:val="16"/>
              </w:rPr>
            </w:pPr>
            <w:r w:rsidRPr="00E17CFD">
              <w:rPr>
                <w:sz w:val="16"/>
              </w:rPr>
              <w:t>Liberecký kraj</w:t>
            </w:r>
          </w:p>
        </w:tc>
      </w:tr>
      <w:tr w:rsidR="008E3E49" w:rsidTr="00DD51F7">
        <w:trPr>
          <w:trHeight w:val="224"/>
        </w:trPr>
        <w:tc>
          <w:tcPr>
            <w:tcW w:w="1424" w:type="dxa"/>
            <w:vAlign w:val="center"/>
          </w:tcPr>
          <w:p w:rsidR="008E3E49" w:rsidRPr="00E17CFD" w:rsidRDefault="008E3E49" w:rsidP="00110B70">
            <w:pPr>
              <w:spacing w:before="20" w:afterLines="20" w:after="48"/>
              <w:ind w:left="-43"/>
              <w:jc w:val="right"/>
              <w:rPr>
                <w:sz w:val="16"/>
              </w:rPr>
            </w:pPr>
            <w:r>
              <w:rPr>
                <w:sz w:val="16"/>
              </w:rPr>
              <w:t>MPSV</w:t>
            </w:r>
          </w:p>
        </w:tc>
        <w:tc>
          <w:tcPr>
            <w:tcW w:w="3563" w:type="dxa"/>
            <w:vAlign w:val="center"/>
          </w:tcPr>
          <w:p w:rsidR="008E3E49" w:rsidRPr="00E17CFD" w:rsidRDefault="008E3E49" w:rsidP="00110B70">
            <w:pPr>
              <w:spacing w:before="20" w:afterLines="20" w:after="48"/>
              <w:ind w:left="34"/>
              <w:rPr>
                <w:sz w:val="16"/>
              </w:rPr>
            </w:pPr>
            <w:r>
              <w:rPr>
                <w:sz w:val="16"/>
              </w:rPr>
              <w:t>Ministerstvo práce a sociálních věcí</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rPr>
            </w:pPr>
            <w:r>
              <w:rPr>
                <w:sz w:val="16"/>
              </w:rPr>
              <w:t>MSK</w:t>
            </w:r>
          </w:p>
        </w:tc>
        <w:tc>
          <w:tcPr>
            <w:tcW w:w="3563" w:type="dxa"/>
            <w:vAlign w:val="center"/>
          </w:tcPr>
          <w:p w:rsidR="008E3E49" w:rsidRPr="00E17CFD" w:rsidRDefault="008E3E49" w:rsidP="00110B70">
            <w:pPr>
              <w:spacing w:before="20" w:afterLines="20" w:after="48"/>
              <w:ind w:left="34"/>
              <w:rPr>
                <w:sz w:val="16"/>
              </w:rPr>
            </w:pPr>
            <w:r>
              <w:rPr>
                <w:sz w:val="16"/>
              </w:rPr>
              <w:t>Moravskoslezský kraj</w:t>
            </w:r>
          </w:p>
        </w:tc>
      </w:tr>
      <w:tr w:rsidR="008E3E49" w:rsidTr="00DD51F7">
        <w:trPr>
          <w:trHeight w:val="224"/>
        </w:trPr>
        <w:tc>
          <w:tcPr>
            <w:tcW w:w="1424" w:type="dxa"/>
            <w:vAlign w:val="center"/>
          </w:tcPr>
          <w:p w:rsidR="008E3E49" w:rsidRPr="00484D3B" w:rsidRDefault="008E3E49" w:rsidP="00110B70">
            <w:pPr>
              <w:spacing w:before="20" w:afterLines="20" w:after="48"/>
              <w:ind w:left="-43"/>
              <w:jc w:val="right"/>
              <w:rPr>
                <w:sz w:val="16"/>
              </w:rPr>
            </w:pPr>
            <w:r>
              <w:rPr>
                <w:sz w:val="16"/>
                <w:szCs w:val="16"/>
              </w:rPr>
              <w:t>NSK</w:t>
            </w:r>
          </w:p>
        </w:tc>
        <w:tc>
          <w:tcPr>
            <w:tcW w:w="3563" w:type="dxa"/>
          </w:tcPr>
          <w:p w:rsidR="008E3E49" w:rsidRPr="00484D3B" w:rsidRDefault="008E3E49" w:rsidP="00110B70">
            <w:pPr>
              <w:tabs>
                <w:tab w:val="left" w:pos="151"/>
              </w:tabs>
              <w:spacing w:before="20" w:afterLines="20" w:after="48"/>
              <w:ind w:left="34"/>
              <w:rPr>
                <w:sz w:val="16"/>
              </w:rPr>
            </w:pPr>
            <w:r>
              <w:rPr>
                <w:sz w:val="16"/>
                <w:szCs w:val="16"/>
              </w:rPr>
              <w:t>Národní soustava kvalifikací</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rPr>
            </w:pPr>
            <w:r>
              <w:rPr>
                <w:sz w:val="16"/>
                <w:szCs w:val="16"/>
              </w:rPr>
              <w:t>NSP</w:t>
            </w:r>
          </w:p>
        </w:tc>
        <w:tc>
          <w:tcPr>
            <w:tcW w:w="3563" w:type="dxa"/>
          </w:tcPr>
          <w:p w:rsidR="008E3E49" w:rsidRPr="00E17CFD" w:rsidRDefault="008E3E49" w:rsidP="00110B70">
            <w:pPr>
              <w:spacing w:before="20" w:afterLines="20" w:after="48"/>
              <w:ind w:left="34"/>
              <w:rPr>
                <w:sz w:val="16"/>
              </w:rPr>
            </w:pPr>
            <w:r>
              <w:rPr>
                <w:sz w:val="16"/>
                <w:szCs w:val="16"/>
              </w:rPr>
              <w:t>Národní soustava povolání</w:t>
            </w:r>
          </w:p>
        </w:tc>
      </w:tr>
      <w:tr w:rsidR="008E3E49" w:rsidTr="00DD51F7">
        <w:trPr>
          <w:trHeight w:val="224"/>
        </w:trPr>
        <w:tc>
          <w:tcPr>
            <w:tcW w:w="1424" w:type="dxa"/>
          </w:tcPr>
          <w:p w:rsidR="008E3E49" w:rsidRPr="00E17CFD" w:rsidRDefault="008E3E49" w:rsidP="00110B70">
            <w:pPr>
              <w:spacing w:before="20" w:afterLines="20" w:after="48"/>
              <w:ind w:left="-43"/>
              <w:jc w:val="right"/>
              <w:rPr>
                <w:sz w:val="16"/>
                <w:szCs w:val="16"/>
              </w:rPr>
            </w:pPr>
            <w:r w:rsidRPr="00E17CFD">
              <w:rPr>
                <w:sz w:val="16"/>
              </w:rPr>
              <w:t>OLK</w:t>
            </w:r>
          </w:p>
        </w:tc>
        <w:tc>
          <w:tcPr>
            <w:tcW w:w="3563" w:type="dxa"/>
          </w:tcPr>
          <w:p w:rsidR="008E3E49" w:rsidRPr="00E17CFD" w:rsidRDefault="008E3E49" w:rsidP="00110B70">
            <w:pPr>
              <w:spacing w:before="20" w:afterLines="20" w:after="48"/>
              <w:ind w:left="34"/>
              <w:rPr>
                <w:sz w:val="16"/>
                <w:szCs w:val="16"/>
              </w:rPr>
            </w:pPr>
            <w:r w:rsidRPr="00E17CFD">
              <w:rPr>
                <w:sz w:val="16"/>
              </w:rPr>
              <w:t>Olomoucký kraj</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szCs w:val="16"/>
              </w:rPr>
            </w:pPr>
            <w:r>
              <w:rPr>
                <w:sz w:val="16"/>
                <w:szCs w:val="16"/>
              </w:rPr>
              <w:t>OP Z</w:t>
            </w:r>
          </w:p>
        </w:tc>
        <w:tc>
          <w:tcPr>
            <w:tcW w:w="3563" w:type="dxa"/>
          </w:tcPr>
          <w:p w:rsidR="008E3E49" w:rsidRPr="00E17CFD" w:rsidRDefault="008E3E49" w:rsidP="00110B70">
            <w:pPr>
              <w:spacing w:before="20" w:afterLines="20" w:after="48"/>
              <w:ind w:left="34"/>
              <w:rPr>
                <w:sz w:val="16"/>
                <w:szCs w:val="16"/>
              </w:rPr>
            </w:pPr>
            <w:r>
              <w:rPr>
                <w:sz w:val="16"/>
                <w:szCs w:val="16"/>
              </w:rPr>
              <w:t>Operační program Zaměstnanost</w:t>
            </w:r>
          </w:p>
        </w:tc>
      </w:tr>
      <w:tr w:rsidR="008E3E49" w:rsidTr="00DD51F7">
        <w:trPr>
          <w:trHeight w:val="224"/>
        </w:trPr>
        <w:tc>
          <w:tcPr>
            <w:tcW w:w="1424" w:type="dxa"/>
            <w:vAlign w:val="center"/>
          </w:tcPr>
          <w:p w:rsidR="008E3E49" w:rsidRPr="00E17CFD" w:rsidRDefault="008E3E49" w:rsidP="00110B70">
            <w:pPr>
              <w:spacing w:before="20" w:afterLines="20" w:after="48"/>
              <w:ind w:left="-43"/>
              <w:jc w:val="right"/>
              <w:rPr>
                <w:sz w:val="16"/>
              </w:rPr>
            </w:pPr>
            <w:r>
              <w:rPr>
                <w:sz w:val="16"/>
              </w:rPr>
              <w:t>OZP</w:t>
            </w:r>
          </w:p>
        </w:tc>
        <w:tc>
          <w:tcPr>
            <w:tcW w:w="3563" w:type="dxa"/>
            <w:vAlign w:val="center"/>
          </w:tcPr>
          <w:p w:rsidR="008E3E49" w:rsidRPr="00E17CFD" w:rsidRDefault="008E3E49" w:rsidP="00110B70">
            <w:pPr>
              <w:spacing w:before="20" w:afterLines="20" w:after="48"/>
              <w:ind w:left="34"/>
              <w:rPr>
                <w:sz w:val="16"/>
              </w:rPr>
            </w:pPr>
            <w:r>
              <w:rPr>
                <w:sz w:val="16"/>
              </w:rPr>
              <w:t>Osoby se zdravotním postižením</w:t>
            </w:r>
          </w:p>
        </w:tc>
      </w:tr>
      <w:tr w:rsidR="008E3E49" w:rsidTr="00DD51F7">
        <w:trPr>
          <w:trHeight w:val="241"/>
        </w:trPr>
        <w:tc>
          <w:tcPr>
            <w:tcW w:w="1424" w:type="dxa"/>
          </w:tcPr>
          <w:p w:rsidR="008E3E49" w:rsidRPr="00E17CFD" w:rsidRDefault="008E3E49" w:rsidP="00110B70">
            <w:pPr>
              <w:spacing w:before="20" w:afterLines="20" w:after="48"/>
              <w:ind w:left="-43"/>
              <w:jc w:val="right"/>
              <w:rPr>
                <w:sz w:val="16"/>
                <w:szCs w:val="16"/>
              </w:rPr>
            </w:pPr>
            <w:r w:rsidRPr="00E17CFD">
              <w:rPr>
                <w:sz w:val="16"/>
              </w:rPr>
              <w:t>PBK</w:t>
            </w:r>
          </w:p>
        </w:tc>
        <w:tc>
          <w:tcPr>
            <w:tcW w:w="3563" w:type="dxa"/>
          </w:tcPr>
          <w:p w:rsidR="008E3E49" w:rsidRPr="00E17CFD" w:rsidRDefault="008E3E49" w:rsidP="00110B70">
            <w:pPr>
              <w:spacing w:before="20" w:afterLines="20" w:after="48"/>
              <w:ind w:left="34"/>
              <w:rPr>
                <w:sz w:val="16"/>
                <w:szCs w:val="16"/>
              </w:rPr>
            </w:pPr>
            <w:r w:rsidRPr="00E17CFD">
              <w:rPr>
                <w:sz w:val="16"/>
              </w:rPr>
              <w:t>Pardubický kraj</w:t>
            </w:r>
          </w:p>
        </w:tc>
      </w:tr>
      <w:tr w:rsidR="008E3E49" w:rsidTr="00DD51F7">
        <w:trPr>
          <w:trHeight w:val="224"/>
        </w:trPr>
        <w:tc>
          <w:tcPr>
            <w:tcW w:w="1424" w:type="dxa"/>
          </w:tcPr>
          <w:p w:rsidR="008E3E49" w:rsidRDefault="008E3E49" w:rsidP="00110B70">
            <w:pPr>
              <w:spacing w:before="20" w:afterLines="20" w:after="48"/>
              <w:ind w:left="-43"/>
              <w:jc w:val="right"/>
              <w:rPr>
                <w:sz w:val="16"/>
              </w:rPr>
            </w:pPr>
            <w:r w:rsidRPr="00E17CFD">
              <w:rPr>
                <w:sz w:val="16"/>
              </w:rPr>
              <w:t>PLK</w:t>
            </w:r>
          </w:p>
        </w:tc>
        <w:tc>
          <w:tcPr>
            <w:tcW w:w="3563" w:type="dxa"/>
            <w:vAlign w:val="center"/>
          </w:tcPr>
          <w:p w:rsidR="008E3E49" w:rsidRDefault="008E3E49" w:rsidP="00110B70">
            <w:pPr>
              <w:spacing w:before="20" w:afterLines="20" w:after="48"/>
              <w:ind w:left="34"/>
              <w:rPr>
                <w:sz w:val="16"/>
              </w:rPr>
            </w:pPr>
            <w:r>
              <w:rPr>
                <w:sz w:val="16"/>
              </w:rPr>
              <w:t>Plzeňský kraj</w:t>
            </w:r>
          </w:p>
        </w:tc>
      </w:tr>
      <w:tr w:rsidR="008E3E49" w:rsidTr="00DD51F7">
        <w:trPr>
          <w:trHeight w:val="241"/>
        </w:trPr>
        <w:tc>
          <w:tcPr>
            <w:tcW w:w="1424" w:type="dxa"/>
          </w:tcPr>
          <w:p w:rsidR="008E3E49" w:rsidRPr="00E17CFD" w:rsidRDefault="008E3E49" w:rsidP="00110B70">
            <w:pPr>
              <w:spacing w:before="20" w:afterLines="20" w:after="48"/>
              <w:ind w:left="-43"/>
              <w:jc w:val="right"/>
              <w:rPr>
                <w:sz w:val="16"/>
              </w:rPr>
            </w:pPr>
            <w:r w:rsidRPr="00E17CFD">
              <w:rPr>
                <w:sz w:val="16"/>
              </w:rPr>
              <w:t>PRA</w:t>
            </w:r>
          </w:p>
        </w:tc>
        <w:tc>
          <w:tcPr>
            <w:tcW w:w="3563" w:type="dxa"/>
            <w:vAlign w:val="center"/>
          </w:tcPr>
          <w:p w:rsidR="008E3E49" w:rsidRPr="00E17CFD" w:rsidRDefault="008E3E49" w:rsidP="00110B70">
            <w:pPr>
              <w:spacing w:before="20" w:afterLines="20" w:after="48"/>
              <w:ind w:left="34"/>
              <w:rPr>
                <w:sz w:val="16"/>
              </w:rPr>
            </w:pPr>
            <w:r>
              <w:rPr>
                <w:sz w:val="16"/>
              </w:rPr>
              <w:t>Hl. m. Praha</w:t>
            </w:r>
          </w:p>
        </w:tc>
      </w:tr>
      <w:tr w:rsidR="008E3E49" w:rsidTr="00DD51F7">
        <w:trPr>
          <w:trHeight w:val="224"/>
        </w:trPr>
        <w:tc>
          <w:tcPr>
            <w:tcW w:w="1424" w:type="dxa"/>
            <w:vAlign w:val="center"/>
          </w:tcPr>
          <w:p w:rsidR="008E3E49" w:rsidRPr="00E17CFD" w:rsidRDefault="008E3E49" w:rsidP="00110B70">
            <w:pPr>
              <w:spacing w:before="20" w:afterLines="20" w:after="48"/>
              <w:ind w:left="-43"/>
              <w:jc w:val="right"/>
              <w:rPr>
                <w:sz w:val="16"/>
              </w:rPr>
            </w:pPr>
            <w:r>
              <w:rPr>
                <w:sz w:val="16"/>
                <w:szCs w:val="16"/>
              </w:rPr>
              <w:lastRenderedPageBreak/>
              <w:t>PS PČR</w:t>
            </w:r>
          </w:p>
        </w:tc>
        <w:tc>
          <w:tcPr>
            <w:tcW w:w="3563" w:type="dxa"/>
          </w:tcPr>
          <w:p w:rsidR="008E3E49" w:rsidRPr="00E17CFD" w:rsidRDefault="008E3E49" w:rsidP="00110B70">
            <w:pPr>
              <w:spacing w:before="20" w:afterLines="20" w:after="48"/>
              <w:ind w:left="34"/>
              <w:rPr>
                <w:sz w:val="16"/>
              </w:rPr>
            </w:pPr>
            <w:r>
              <w:rPr>
                <w:sz w:val="16"/>
                <w:szCs w:val="16"/>
              </w:rPr>
              <w:t>Poslanecká sněmovna Parlamentu České republiky</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rPr>
            </w:pPr>
            <w:r>
              <w:rPr>
                <w:sz w:val="16"/>
              </w:rPr>
              <w:t xml:space="preserve">PvN   </w:t>
            </w:r>
          </w:p>
        </w:tc>
        <w:tc>
          <w:tcPr>
            <w:tcW w:w="3563" w:type="dxa"/>
            <w:vAlign w:val="center"/>
          </w:tcPr>
          <w:p w:rsidR="008E3E49" w:rsidRPr="00E17CFD" w:rsidRDefault="008E3E49" w:rsidP="00110B70">
            <w:pPr>
              <w:spacing w:before="20" w:afterLines="20" w:after="48"/>
              <w:ind w:left="34"/>
              <w:rPr>
                <w:sz w:val="16"/>
              </w:rPr>
            </w:pPr>
            <w:r>
              <w:rPr>
                <w:sz w:val="16"/>
              </w:rPr>
              <w:t>Podpora v nezaměstnanosti</w:t>
            </w:r>
          </w:p>
        </w:tc>
      </w:tr>
      <w:tr w:rsidR="008E3E49" w:rsidTr="00DD51F7">
        <w:trPr>
          <w:trHeight w:val="396"/>
        </w:trPr>
        <w:tc>
          <w:tcPr>
            <w:tcW w:w="1424" w:type="dxa"/>
            <w:vAlign w:val="center"/>
          </w:tcPr>
          <w:p w:rsidR="008E3E49" w:rsidRPr="00E17CFD" w:rsidRDefault="008E3E49" w:rsidP="00110B70">
            <w:pPr>
              <w:spacing w:before="20" w:afterLines="20" w:after="48"/>
              <w:ind w:left="-43"/>
              <w:jc w:val="right"/>
              <w:rPr>
                <w:sz w:val="16"/>
                <w:szCs w:val="16"/>
              </w:rPr>
            </w:pPr>
            <w:r>
              <w:rPr>
                <w:sz w:val="16"/>
                <w:szCs w:val="16"/>
              </w:rPr>
              <w:t>RIP</w:t>
            </w:r>
          </w:p>
        </w:tc>
        <w:tc>
          <w:tcPr>
            <w:tcW w:w="3563" w:type="dxa"/>
          </w:tcPr>
          <w:p w:rsidR="008E3E49" w:rsidRPr="00E17CFD" w:rsidRDefault="008E3E49" w:rsidP="00110B70">
            <w:pPr>
              <w:spacing w:before="20" w:afterLines="20" w:after="48"/>
              <w:ind w:left="34"/>
              <w:rPr>
                <w:sz w:val="16"/>
                <w:szCs w:val="16"/>
              </w:rPr>
            </w:pPr>
            <w:r>
              <w:rPr>
                <w:sz w:val="16"/>
                <w:szCs w:val="16"/>
              </w:rPr>
              <w:t>Regionální individuální projekt (projekty OPZ realizované krajskými pobočkami UP ČR</w:t>
            </w:r>
          </w:p>
        </w:tc>
      </w:tr>
      <w:tr w:rsidR="008E3E49" w:rsidTr="00DD51F7">
        <w:trPr>
          <w:trHeight w:val="241"/>
        </w:trPr>
        <w:tc>
          <w:tcPr>
            <w:tcW w:w="1424" w:type="dxa"/>
          </w:tcPr>
          <w:p w:rsidR="008E3E49" w:rsidRPr="00484D3B" w:rsidRDefault="008E3E49" w:rsidP="00110B70">
            <w:pPr>
              <w:spacing w:before="20" w:afterLines="20" w:after="48"/>
              <w:ind w:left="-43"/>
              <w:jc w:val="right"/>
              <w:rPr>
                <w:sz w:val="16"/>
              </w:rPr>
            </w:pPr>
            <w:r w:rsidRPr="00E17CFD">
              <w:rPr>
                <w:sz w:val="16"/>
              </w:rPr>
              <w:t>SČK</w:t>
            </w:r>
          </w:p>
        </w:tc>
        <w:tc>
          <w:tcPr>
            <w:tcW w:w="3563" w:type="dxa"/>
            <w:vAlign w:val="center"/>
          </w:tcPr>
          <w:p w:rsidR="008E3E49" w:rsidRPr="00484D3B" w:rsidRDefault="008E3E49" w:rsidP="00110B70">
            <w:pPr>
              <w:tabs>
                <w:tab w:val="left" w:pos="151"/>
              </w:tabs>
              <w:spacing w:before="20" w:afterLines="20" w:after="48"/>
              <w:ind w:left="34"/>
              <w:jc w:val="left"/>
              <w:rPr>
                <w:sz w:val="16"/>
              </w:rPr>
            </w:pPr>
            <w:r>
              <w:rPr>
                <w:sz w:val="16"/>
              </w:rPr>
              <w:t>Středočeský kraj</w:t>
            </w:r>
          </w:p>
        </w:tc>
      </w:tr>
      <w:tr w:rsidR="008E3E49" w:rsidTr="00DD51F7">
        <w:trPr>
          <w:trHeight w:val="241"/>
        </w:trPr>
        <w:tc>
          <w:tcPr>
            <w:tcW w:w="1424" w:type="dxa"/>
            <w:vAlign w:val="center"/>
          </w:tcPr>
          <w:p w:rsidR="008E3E49" w:rsidRDefault="008E3E49" w:rsidP="00110B70">
            <w:pPr>
              <w:spacing w:before="20" w:afterLines="20" w:after="48"/>
              <w:ind w:left="-43"/>
              <w:jc w:val="right"/>
              <w:rPr>
                <w:sz w:val="16"/>
              </w:rPr>
            </w:pPr>
            <w:r>
              <w:rPr>
                <w:sz w:val="16"/>
              </w:rPr>
              <w:t>SŠ</w:t>
            </w:r>
          </w:p>
        </w:tc>
        <w:tc>
          <w:tcPr>
            <w:tcW w:w="3563" w:type="dxa"/>
            <w:vAlign w:val="center"/>
          </w:tcPr>
          <w:p w:rsidR="008E3E49" w:rsidRDefault="008E3E49" w:rsidP="00110B70">
            <w:pPr>
              <w:tabs>
                <w:tab w:val="left" w:pos="151"/>
              </w:tabs>
              <w:spacing w:before="20" w:afterLines="20" w:after="48"/>
              <w:ind w:left="34"/>
              <w:jc w:val="left"/>
              <w:rPr>
                <w:sz w:val="16"/>
              </w:rPr>
            </w:pPr>
            <w:r>
              <w:rPr>
                <w:sz w:val="16"/>
              </w:rPr>
              <w:t>Střední škola, středoškolské vzdělání</w:t>
            </w:r>
          </w:p>
        </w:tc>
      </w:tr>
      <w:tr w:rsidR="008E3E49" w:rsidTr="00DD51F7">
        <w:trPr>
          <w:trHeight w:val="224"/>
        </w:trPr>
        <w:tc>
          <w:tcPr>
            <w:tcW w:w="1424" w:type="dxa"/>
            <w:vAlign w:val="center"/>
          </w:tcPr>
          <w:p w:rsidR="008E3E49" w:rsidRPr="00E17CFD" w:rsidRDefault="008E3E49" w:rsidP="00110B70">
            <w:pPr>
              <w:spacing w:before="20" w:afterLines="20" w:after="48"/>
              <w:ind w:left="-43"/>
              <w:jc w:val="right"/>
              <w:rPr>
                <w:sz w:val="16"/>
                <w:szCs w:val="16"/>
              </w:rPr>
            </w:pPr>
            <w:r>
              <w:rPr>
                <w:sz w:val="16"/>
              </w:rPr>
              <w:t>SUIP</w:t>
            </w:r>
          </w:p>
        </w:tc>
        <w:tc>
          <w:tcPr>
            <w:tcW w:w="3563" w:type="dxa"/>
            <w:vAlign w:val="center"/>
          </w:tcPr>
          <w:p w:rsidR="008E3E49" w:rsidRPr="00E17CFD" w:rsidRDefault="008E3E49" w:rsidP="00110B70">
            <w:pPr>
              <w:spacing w:before="20" w:afterLines="20" w:after="48"/>
              <w:ind w:left="34"/>
              <w:rPr>
                <w:sz w:val="16"/>
                <w:szCs w:val="16"/>
              </w:rPr>
            </w:pPr>
            <w:r>
              <w:rPr>
                <w:sz w:val="16"/>
              </w:rPr>
              <w:t>Státní úřad inspekce práce</w:t>
            </w:r>
          </w:p>
        </w:tc>
      </w:tr>
      <w:tr w:rsidR="008E3E49" w:rsidTr="00DD51F7">
        <w:trPr>
          <w:trHeight w:val="396"/>
        </w:trPr>
        <w:tc>
          <w:tcPr>
            <w:tcW w:w="1424" w:type="dxa"/>
            <w:vAlign w:val="center"/>
          </w:tcPr>
          <w:p w:rsidR="008E3E49" w:rsidRPr="00E17CFD" w:rsidRDefault="008E3E49" w:rsidP="00110B70">
            <w:pPr>
              <w:spacing w:before="20" w:afterLines="20" w:after="48"/>
              <w:ind w:left="-43"/>
              <w:jc w:val="right"/>
              <w:rPr>
                <w:sz w:val="16"/>
                <w:szCs w:val="16"/>
              </w:rPr>
            </w:pPr>
            <w:r>
              <w:rPr>
                <w:sz w:val="16"/>
                <w:szCs w:val="16"/>
              </w:rPr>
              <w:t>SÚPM</w:t>
            </w:r>
          </w:p>
        </w:tc>
        <w:tc>
          <w:tcPr>
            <w:tcW w:w="3563" w:type="dxa"/>
          </w:tcPr>
          <w:p w:rsidR="008E3E49" w:rsidRPr="00E17CFD" w:rsidRDefault="008E3E49" w:rsidP="00110B70">
            <w:pPr>
              <w:spacing w:before="20" w:afterLines="20" w:after="48"/>
              <w:ind w:left="34"/>
              <w:rPr>
                <w:sz w:val="16"/>
                <w:szCs w:val="16"/>
              </w:rPr>
            </w:pPr>
            <w:r>
              <w:rPr>
                <w:sz w:val="16"/>
                <w:szCs w:val="16"/>
              </w:rPr>
              <w:t>Společensky účelné pracovní místo (§ 113 ZoZ)</w:t>
            </w:r>
          </w:p>
        </w:tc>
      </w:tr>
      <w:tr w:rsidR="008E3E49" w:rsidTr="00DD51F7">
        <w:trPr>
          <w:trHeight w:val="241"/>
        </w:trPr>
        <w:tc>
          <w:tcPr>
            <w:tcW w:w="1424" w:type="dxa"/>
          </w:tcPr>
          <w:p w:rsidR="008E3E49" w:rsidRPr="00E17CFD" w:rsidRDefault="008E3E49" w:rsidP="00110B70">
            <w:pPr>
              <w:spacing w:before="20" w:afterLines="20" w:after="48"/>
              <w:ind w:left="-43"/>
              <w:jc w:val="right"/>
              <w:rPr>
                <w:sz w:val="16"/>
              </w:rPr>
            </w:pPr>
            <w:r w:rsidRPr="00E17CFD">
              <w:rPr>
                <w:sz w:val="16"/>
              </w:rPr>
              <w:t>ULK</w:t>
            </w:r>
          </w:p>
        </w:tc>
        <w:tc>
          <w:tcPr>
            <w:tcW w:w="3563" w:type="dxa"/>
          </w:tcPr>
          <w:p w:rsidR="008E3E49" w:rsidRPr="00E17CFD" w:rsidRDefault="008E3E49" w:rsidP="00110B70">
            <w:pPr>
              <w:spacing w:before="20" w:afterLines="20" w:after="48"/>
              <w:ind w:left="34"/>
              <w:rPr>
                <w:sz w:val="16"/>
              </w:rPr>
            </w:pPr>
            <w:r w:rsidRPr="00E17CFD">
              <w:rPr>
                <w:sz w:val="16"/>
              </w:rPr>
              <w:t>Ústecký kraj</w:t>
            </w:r>
          </w:p>
        </w:tc>
      </w:tr>
      <w:tr w:rsidR="008E3E49" w:rsidTr="00DD51F7">
        <w:trPr>
          <w:trHeight w:val="224"/>
        </w:trPr>
        <w:tc>
          <w:tcPr>
            <w:tcW w:w="1424" w:type="dxa"/>
            <w:vAlign w:val="center"/>
          </w:tcPr>
          <w:p w:rsidR="008E3E49" w:rsidRPr="00484D3B" w:rsidRDefault="008E3E49" w:rsidP="00110B70">
            <w:pPr>
              <w:spacing w:before="20" w:afterLines="20" w:after="48"/>
              <w:ind w:left="-43"/>
              <w:jc w:val="right"/>
              <w:rPr>
                <w:sz w:val="16"/>
              </w:rPr>
            </w:pPr>
            <w:r>
              <w:rPr>
                <w:sz w:val="16"/>
              </w:rPr>
              <w:t>UoZ</w:t>
            </w:r>
          </w:p>
        </w:tc>
        <w:tc>
          <w:tcPr>
            <w:tcW w:w="3563" w:type="dxa"/>
            <w:vAlign w:val="center"/>
          </w:tcPr>
          <w:p w:rsidR="008E3E49" w:rsidRPr="00484D3B" w:rsidRDefault="008E3E49" w:rsidP="00110B70">
            <w:pPr>
              <w:tabs>
                <w:tab w:val="left" w:pos="151"/>
              </w:tabs>
              <w:spacing w:before="20" w:afterLines="20" w:after="48"/>
              <w:ind w:left="34"/>
              <w:rPr>
                <w:sz w:val="16"/>
              </w:rPr>
            </w:pPr>
            <w:r>
              <w:rPr>
                <w:sz w:val="16"/>
              </w:rPr>
              <w:t>Uchazeč o zaměstnání</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rPr>
            </w:pPr>
            <w:r>
              <w:rPr>
                <w:sz w:val="16"/>
              </w:rPr>
              <w:t>ÚP ČR</w:t>
            </w:r>
          </w:p>
        </w:tc>
        <w:tc>
          <w:tcPr>
            <w:tcW w:w="3563" w:type="dxa"/>
            <w:vAlign w:val="center"/>
          </w:tcPr>
          <w:p w:rsidR="008E3E49" w:rsidRPr="00E17CFD" w:rsidRDefault="008E3E49" w:rsidP="00110B70">
            <w:pPr>
              <w:spacing w:before="20" w:afterLines="20" w:after="48"/>
              <w:ind w:left="34"/>
              <w:rPr>
                <w:sz w:val="16"/>
              </w:rPr>
            </w:pPr>
            <w:r>
              <w:rPr>
                <w:sz w:val="16"/>
              </w:rPr>
              <w:t>Úřad práce České republiky</w:t>
            </w:r>
          </w:p>
        </w:tc>
      </w:tr>
      <w:tr w:rsidR="008E3E49" w:rsidTr="00DD51F7">
        <w:trPr>
          <w:trHeight w:val="396"/>
        </w:trPr>
        <w:tc>
          <w:tcPr>
            <w:tcW w:w="1424" w:type="dxa"/>
            <w:vAlign w:val="center"/>
          </w:tcPr>
          <w:p w:rsidR="008E3E49" w:rsidRPr="00E17CFD" w:rsidRDefault="008E3E49" w:rsidP="00110B70">
            <w:pPr>
              <w:spacing w:before="20" w:afterLines="20" w:after="48"/>
              <w:ind w:left="-43"/>
              <w:jc w:val="right"/>
              <w:rPr>
                <w:sz w:val="16"/>
                <w:szCs w:val="16"/>
              </w:rPr>
            </w:pPr>
            <w:r>
              <w:rPr>
                <w:sz w:val="16"/>
              </w:rPr>
              <w:t>VPM</w:t>
            </w:r>
          </w:p>
        </w:tc>
        <w:tc>
          <w:tcPr>
            <w:tcW w:w="3563" w:type="dxa"/>
            <w:vAlign w:val="center"/>
          </w:tcPr>
          <w:p w:rsidR="008E3E49" w:rsidRPr="00E17CFD" w:rsidRDefault="008E3E49" w:rsidP="00110B70">
            <w:pPr>
              <w:spacing w:before="20" w:afterLines="20" w:after="48"/>
              <w:ind w:left="34"/>
              <w:rPr>
                <w:sz w:val="16"/>
                <w:szCs w:val="16"/>
              </w:rPr>
            </w:pPr>
            <w:r>
              <w:rPr>
                <w:sz w:val="16"/>
              </w:rPr>
              <w:t>Volné pracovní místo</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rPr>
            </w:pPr>
            <w:r>
              <w:rPr>
                <w:sz w:val="16"/>
                <w:szCs w:val="16"/>
              </w:rPr>
              <w:t>VPP</w:t>
            </w:r>
          </w:p>
        </w:tc>
        <w:tc>
          <w:tcPr>
            <w:tcW w:w="3563" w:type="dxa"/>
          </w:tcPr>
          <w:p w:rsidR="008E3E49" w:rsidRPr="00E17CFD" w:rsidRDefault="008E3E49" w:rsidP="00110B70">
            <w:pPr>
              <w:spacing w:before="20" w:afterLines="20" w:after="48"/>
              <w:ind w:left="34"/>
              <w:rPr>
                <w:sz w:val="16"/>
              </w:rPr>
            </w:pPr>
            <w:r>
              <w:rPr>
                <w:sz w:val="16"/>
                <w:szCs w:val="16"/>
              </w:rPr>
              <w:t>Veřejně prospěné práce (§112 ZoZ)</w:t>
            </w:r>
          </w:p>
        </w:tc>
      </w:tr>
      <w:tr w:rsidR="008E3E49" w:rsidTr="00DD51F7">
        <w:trPr>
          <w:trHeight w:val="224"/>
        </w:trPr>
        <w:tc>
          <w:tcPr>
            <w:tcW w:w="1424" w:type="dxa"/>
            <w:vAlign w:val="center"/>
          </w:tcPr>
          <w:p w:rsidR="008E3E49" w:rsidRPr="00484D3B" w:rsidRDefault="008E3E49" w:rsidP="00110B70">
            <w:pPr>
              <w:spacing w:before="20" w:afterLines="20" w:after="48"/>
              <w:ind w:left="-43"/>
              <w:jc w:val="right"/>
              <w:rPr>
                <w:sz w:val="16"/>
              </w:rPr>
            </w:pPr>
            <w:r>
              <w:rPr>
                <w:sz w:val="16"/>
              </w:rPr>
              <w:t>VŠ</w:t>
            </w:r>
          </w:p>
        </w:tc>
        <w:tc>
          <w:tcPr>
            <w:tcW w:w="3563" w:type="dxa"/>
            <w:vAlign w:val="center"/>
          </w:tcPr>
          <w:p w:rsidR="008E3E49" w:rsidRPr="00484D3B" w:rsidRDefault="008E3E49" w:rsidP="00110B70">
            <w:pPr>
              <w:tabs>
                <w:tab w:val="left" w:pos="151"/>
              </w:tabs>
              <w:spacing w:before="20" w:afterLines="20" w:after="48"/>
              <w:ind w:left="34"/>
              <w:rPr>
                <w:sz w:val="16"/>
              </w:rPr>
            </w:pPr>
            <w:r>
              <w:rPr>
                <w:sz w:val="16"/>
              </w:rPr>
              <w:t>vysoká škola, vysokoškolské vzdělání</w:t>
            </w:r>
          </w:p>
        </w:tc>
      </w:tr>
      <w:tr w:rsidR="008E3E49" w:rsidTr="00DD51F7">
        <w:trPr>
          <w:trHeight w:val="241"/>
        </w:trPr>
        <w:tc>
          <w:tcPr>
            <w:tcW w:w="1424" w:type="dxa"/>
            <w:vAlign w:val="center"/>
          </w:tcPr>
          <w:p w:rsidR="008E3E49" w:rsidRPr="00484D3B" w:rsidRDefault="008E3E49" w:rsidP="00110B70">
            <w:pPr>
              <w:spacing w:before="20" w:afterLines="20" w:after="48"/>
              <w:ind w:left="-43"/>
              <w:jc w:val="right"/>
              <w:rPr>
                <w:sz w:val="16"/>
              </w:rPr>
            </w:pPr>
            <w:r>
              <w:rPr>
                <w:sz w:val="16"/>
              </w:rPr>
              <w:t>VÚPSV</w:t>
            </w:r>
          </w:p>
        </w:tc>
        <w:tc>
          <w:tcPr>
            <w:tcW w:w="3563" w:type="dxa"/>
            <w:vAlign w:val="center"/>
          </w:tcPr>
          <w:p w:rsidR="008E3E49" w:rsidRPr="00484D3B" w:rsidRDefault="008E3E49" w:rsidP="00110B70">
            <w:pPr>
              <w:tabs>
                <w:tab w:val="left" w:pos="151"/>
              </w:tabs>
              <w:spacing w:before="20" w:afterLines="20" w:after="48"/>
              <w:ind w:left="34"/>
              <w:rPr>
                <w:sz w:val="16"/>
              </w:rPr>
            </w:pPr>
            <w:r>
              <w:rPr>
                <w:sz w:val="16"/>
              </w:rPr>
              <w:t>Výzkumný ústav práce a sociálních věcí, v.v.i</w:t>
            </w:r>
          </w:p>
        </w:tc>
      </w:tr>
      <w:tr w:rsidR="008E3E49" w:rsidTr="00DD51F7">
        <w:trPr>
          <w:trHeight w:val="224"/>
        </w:trPr>
        <w:tc>
          <w:tcPr>
            <w:tcW w:w="1424" w:type="dxa"/>
          </w:tcPr>
          <w:p w:rsidR="008E3E49" w:rsidRPr="00484D3B" w:rsidRDefault="008E3E49" w:rsidP="00110B70">
            <w:pPr>
              <w:spacing w:before="20" w:afterLines="20" w:after="48"/>
              <w:ind w:left="-43"/>
              <w:jc w:val="right"/>
              <w:rPr>
                <w:sz w:val="16"/>
              </w:rPr>
            </w:pPr>
            <w:r w:rsidRPr="00E17CFD">
              <w:rPr>
                <w:sz w:val="16"/>
              </w:rPr>
              <w:t>VYS</w:t>
            </w:r>
          </w:p>
        </w:tc>
        <w:tc>
          <w:tcPr>
            <w:tcW w:w="3563" w:type="dxa"/>
          </w:tcPr>
          <w:p w:rsidR="008E3E49" w:rsidRPr="00484D3B" w:rsidRDefault="008E3E49" w:rsidP="00110B70">
            <w:pPr>
              <w:tabs>
                <w:tab w:val="left" w:pos="151"/>
              </w:tabs>
              <w:spacing w:before="20" w:afterLines="20" w:after="48"/>
              <w:ind w:left="34"/>
              <w:rPr>
                <w:sz w:val="16"/>
              </w:rPr>
            </w:pPr>
            <w:r w:rsidRPr="00E17CFD">
              <w:rPr>
                <w:sz w:val="16"/>
              </w:rPr>
              <w:t>Kraj Vysočina</w:t>
            </w:r>
          </w:p>
        </w:tc>
      </w:tr>
      <w:tr w:rsidR="008E3E49" w:rsidTr="00DD51F7">
        <w:trPr>
          <w:trHeight w:val="241"/>
        </w:trPr>
        <w:tc>
          <w:tcPr>
            <w:tcW w:w="1424" w:type="dxa"/>
            <w:vAlign w:val="center"/>
          </w:tcPr>
          <w:p w:rsidR="008E3E49" w:rsidRPr="00E17CFD" w:rsidRDefault="008E3E49" w:rsidP="00110B70">
            <w:pPr>
              <w:spacing w:before="20" w:afterLines="20" w:after="48"/>
              <w:ind w:left="-43"/>
              <w:jc w:val="right"/>
              <w:rPr>
                <w:sz w:val="16"/>
                <w:szCs w:val="16"/>
              </w:rPr>
            </w:pPr>
            <w:r>
              <w:rPr>
                <w:sz w:val="16"/>
              </w:rPr>
              <w:t>ZLK</w:t>
            </w:r>
          </w:p>
        </w:tc>
        <w:tc>
          <w:tcPr>
            <w:tcW w:w="3563" w:type="dxa"/>
            <w:vAlign w:val="center"/>
          </w:tcPr>
          <w:p w:rsidR="008E3E49" w:rsidRPr="00E17CFD" w:rsidRDefault="008E3E49" w:rsidP="00110B70">
            <w:pPr>
              <w:spacing w:before="20" w:afterLines="20" w:after="48"/>
              <w:ind w:left="34"/>
              <w:rPr>
                <w:sz w:val="16"/>
                <w:szCs w:val="16"/>
              </w:rPr>
            </w:pPr>
            <w:r>
              <w:rPr>
                <w:sz w:val="16"/>
              </w:rPr>
              <w:t>Zlínský kraj</w:t>
            </w:r>
          </w:p>
        </w:tc>
      </w:tr>
      <w:tr w:rsidR="008E3E49" w:rsidTr="00DD51F7">
        <w:trPr>
          <w:trHeight w:val="224"/>
        </w:trPr>
        <w:tc>
          <w:tcPr>
            <w:tcW w:w="1424" w:type="dxa"/>
            <w:vAlign w:val="center"/>
          </w:tcPr>
          <w:p w:rsidR="008E3E49" w:rsidRDefault="008E3E49" w:rsidP="00110B70">
            <w:pPr>
              <w:spacing w:before="20" w:afterLines="20" w:after="48"/>
              <w:ind w:left="-43"/>
              <w:jc w:val="right"/>
              <w:rPr>
                <w:sz w:val="16"/>
              </w:rPr>
            </w:pPr>
            <w:r>
              <w:rPr>
                <w:sz w:val="16"/>
              </w:rPr>
              <w:t>ZoZ</w:t>
            </w:r>
          </w:p>
        </w:tc>
        <w:tc>
          <w:tcPr>
            <w:tcW w:w="3563" w:type="dxa"/>
            <w:vAlign w:val="center"/>
          </w:tcPr>
          <w:p w:rsidR="008E3E49" w:rsidRDefault="008E3E49" w:rsidP="00110B70">
            <w:pPr>
              <w:spacing w:before="20" w:afterLines="20" w:after="48"/>
              <w:ind w:left="34"/>
              <w:rPr>
                <w:sz w:val="16"/>
              </w:rPr>
            </w:pPr>
            <w:r>
              <w:rPr>
                <w:sz w:val="16"/>
              </w:rPr>
              <w:t>Zákon č. 435/2004 Sb., o zaměstnanosti, ve znění pozdějších předpisů (rovněž jako „zákon o zaměstnanosti“)</w:t>
            </w:r>
          </w:p>
        </w:tc>
      </w:tr>
      <w:tr w:rsidR="008E3E49" w:rsidTr="00DD51F7">
        <w:trPr>
          <w:trHeight w:val="224"/>
        </w:trPr>
        <w:tc>
          <w:tcPr>
            <w:tcW w:w="1424" w:type="dxa"/>
            <w:vAlign w:val="center"/>
          </w:tcPr>
          <w:p w:rsidR="008E3E49" w:rsidRDefault="008E3E49" w:rsidP="00110B70">
            <w:pPr>
              <w:spacing w:before="20" w:afterLines="20" w:after="48"/>
              <w:ind w:left="-43"/>
              <w:jc w:val="right"/>
              <w:rPr>
                <w:sz w:val="16"/>
              </w:rPr>
            </w:pPr>
            <w:r>
              <w:rPr>
                <w:sz w:val="16"/>
              </w:rPr>
              <w:t>ZŠ</w:t>
            </w:r>
          </w:p>
        </w:tc>
        <w:tc>
          <w:tcPr>
            <w:tcW w:w="3563" w:type="dxa"/>
            <w:vAlign w:val="center"/>
          </w:tcPr>
          <w:p w:rsidR="008E3E49" w:rsidRDefault="008E3E49" w:rsidP="00110B70">
            <w:pPr>
              <w:spacing w:before="20" w:afterLines="20" w:after="48"/>
              <w:ind w:left="34"/>
              <w:rPr>
                <w:sz w:val="16"/>
              </w:rPr>
            </w:pPr>
            <w:r>
              <w:rPr>
                <w:sz w:val="16"/>
              </w:rPr>
              <w:t>Základní škola, základní vzdělání</w:t>
            </w:r>
          </w:p>
        </w:tc>
      </w:tr>
    </w:tbl>
    <w:p w:rsidR="009E44F5" w:rsidRPr="009E44F5" w:rsidRDefault="009E44F5" w:rsidP="00110B70">
      <w:pPr>
        <w:spacing w:after="120" w:line="240" w:lineRule="auto"/>
        <w:ind w:left="-284"/>
        <w:jc w:val="right"/>
        <w:sectPr w:rsidR="009E44F5" w:rsidRPr="009E44F5" w:rsidSect="000D749F">
          <w:type w:val="continuous"/>
          <w:pgSz w:w="11906" w:h="16838"/>
          <w:pgMar w:top="1417" w:right="1417" w:bottom="1417" w:left="1417" w:header="708" w:footer="708" w:gutter="0"/>
          <w:pgNumType w:start="0"/>
          <w:cols w:num="2" w:space="708"/>
          <w:titlePg/>
          <w:docGrid w:linePitch="360"/>
        </w:sectPr>
      </w:pPr>
    </w:p>
    <w:p w:rsidR="00184D13" w:rsidRPr="00184D13" w:rsidRDefault="00184D13" w:rsidP="00110B70">
      <w:pPr>
        <w:pStyle w:val="Nadpis1"/>
        <w:spacing w:line="240" w:lineRule="auto"/>
      </w:pPr>
      <w:bookmarkStart w:id="2" w:name="_Toc492628580"/>
      <w:r w:rsidRPr="00184D13">
        <w:lastRenderedPageBreak/>
        <w:t>Analýza nabídky a poptávky</w:t>
      </w:r>
      <w:bookmarkEnd w:id="2"/>
    </w:p>
    <w:p w:rsidR="00184D13" w:rsidRDefault="00184D13" w:rsidP="00110B70">
      <w:pPr>
        <w:spacing w:after="200" w:line="240" w:lineRule="auto"/>
        <w:jc w:val="left"/>
        <w:rPr>
          <w:b/>
        </w:rPr>
      </w:pPr>
    </w:p>
    <w:p w:rsidR="00184D13" w:rsidRDefault="00184D13" w:rsidP="00110B70">
      <w:pPr>
        <w:pStyle w:val="Nadpis2"/>
        <w:spacing w:line="240" w:lineRule="auto"/>
      </w:pPr>
      <w:bookmarkStart w:id="3" w:name="_Toc492628581"/>
      <w:r w:rsidRPr="00E47A50">
        <w:t>Situace na trhu práce k 3</w:t>
      </w:r>
      <w:r w:rsidR="00EA0889">
        <w:t>0</w:t>
      </w:r>
      <w:r w:rsidRPr="00E47A50">
        <w:t xml:space="preserve">. </w:t>
      </w:r>
      <w:r w:rsidR="00EA0889">
        <w:t>6</w:t>
      </w:r>
      <w:r w:rsidRPr="00E47A50">
        <w:t>. 201</w:t>
      </w:r>
      <w:r w:rsidR="00EA0889">
        <w:t>7</w:t>
      </w:r>
      <w:bookmarkEnd w:id="3"/>
    </w:p>
    <w:p w:rsidR="00EA0889" w:rsidRDefault="00EA0889" w:rsidP="00110B70">
      <w:pPr>
        <w:spacing w:line="240" w:lineRule="auto"/>
      </w:pPr>
      <w:r>
        <w:t xml:space="preserve">K 30. červnu 2017 evidoval Úřad práce České republiky (ÚP ČR) </w:t>
      </w:r>
      <w:r>
        <w:rPr>
          <w:b/>
        </w:rPr>
        <w:t>297</w:t>
      </w:r>
      <w:r w:rsidR="004403D7">
        <w:rPr>
          <w:b/>
        </w:rPr>
        <w:t xml:space="preserve"> </w:t>
      </w:r>
      <w:r>
        <w:rPr>
          <w:b/>
        </w:rPr>
        <w:t>439 uchazečů o zaměstnání</w:t>
      </w:r>
      <w:r>
        <w:t xml:space="preserve"> (UoZ), což bylo o </w:t>
      </w:r>
      <w:r w:rsidR="001F7A7A">
        <w:t xml:space="preserve">11 082 osob méně než v květnu a o 86 899 osob méně než koncem června 2016. Rovněž </w:t>
      </w:r>
      <w:r w:rsidR="001F7A7A" w:rsidRPr="001F7A7A">
        <w:rPr>
          <w:b/>
        </w:rPr>
        <w:t>podíl nezaměstnaných osob</w:t>
      </w:r>
      <w:r w:rsidR="001F7A7A">
        <w:t xml:space="preserve"> poklesl jak v meziměsíčním (o 0,1 p. b.), tak meziročním srovnání (o 1,1 p. b.), a to na hodnotu </w:t>
      </w:r>
      <w:r w:rsidR="001F7A7A" w:rsidRPr="001F7A7A">
        <w:rPr>
          <w:b/>
        </w:rPr>
        <w:t>4,0 %.</w:t>
      </w:r>
      <w:r w:rsidR="001F7A7A">
        <w:t xml:space="preserve"> Zároveň ke sledovanému datu evidoval ÚP ČR celkem </w:t>
      </w:r>
      <w:r w:rsidR="001F7A7A" w:rsidRPr="001F7A7A">
        <w:rPr>
          <w:b/>
        </w:rPr>
        <w:t>183 500 hlášených volných pracovních míst</w:t>
      </w:r>
      <w:r w:rsidR="001F7A7A">
        <w:rPr>
          <w:b/>
        </w:rPr>
        <w:t xml:space="preserve"> </w:t>
      </w:r>
      <w:r w:rsidR="001F7A7A">
        <w:t>(VPM), což je historicky nejvyšší evidovaná hodnota. Na jedno VPM tak připadalo v průměru v ČR 1,6 UoZ.</w:t>
      </w:r>
    </w:p>
    <w:p w:rsidR="001F7A7A" w:rsidRDefault="001F7A7A" w:rsidP="00110B70">
      <w:pPr>
        <w:spacing w:line="240" w:lineRule="auto"/>
      </w:pPr>
    </w:p>
    <w:p w:rsidR="001F7A7A" w:rsidRPr="00EA0889" w:rsidRDefault="001F7A7A" w:rsidP="00110B70">
      <w:pPr>
        <w:spacing w:line="240" w:lineRule="auto"/>
      </w:pPr>
      <w:r>
        <w:t>Přes tyto pozitivní ukazatele však v ČR existuje výrazná regionální disproporce jak na regionální (krajské), tak zejména lokální (okresní) úrovni, a to v dlouhodobější perspektivě</w:t>
      </w:r>
      <w:r w:rsidR="0029115F">
        <w:t xml:space="preserve">. </w:t>
      </w:r>
      <w:r w:rsidR="004403D7">
        <w:t>Na r</w:t>
      </w:r>
      <w:r w:rsidR="0029115F">
        <w:t xml:space="preserve">egionální disproporce </w:t>
      </w:r>
      <w:r w:rsidR="004403D7">
        <w:t>poukazuje</w:t>
      </w:r>
      <w:r w:rsidR="0029115F">
        <w:t xml:space="preserve"> níže uveden</w:t>
      </w:r>
      <w:r w:rsidR="004403D7">
        <w:t>á</w:t>
      </w:r>
      <w:r w:rsidR="0029115F">
        <w:t xml:space="preserve"> </w:t>
      </w:r>
      <w:r w:rsidR="004C3100">
        <w:fldChar w:fldCharType="begin"/>
      </w:r>
      <w:r w:rsidR="004C3100">
        <w:instrText xml:space="preserve"> REF _Ref489605727 \h </w:instrText>
      </w:r>
      <w:r w:rsidR="0053604C">
        <w:instrText xml:space="preserve"> \* MERGEFORMAT </w:instrText>
      </w:r>
      <w:r w:rsidR="004C3100">
        <w:fldChar w:fldCharType="separate"/>
      </w:r>
      <w:r w:rsidR="00410665">
        <w:t xml:space="preserve">Tabulka </w:t>
      </w:r>
      <w:r w:rsidR="00410665">
        <w:rPr>
          <w:noProof/>
        </w:rPr>
        <w:t>1</w:t>
      </w:r>
      <w:r w:rsidR="004C3100">
        <w:fldChar w:fldCharType="end"/>
      </w:r>
      <w:r w:rsidR="004C3100">
        <w:t>.</w:t>
      </w:r>
    </w:p>
    <w:p w:rsidR="00EA0889" w:rsidRPr="00EA0889" w:rsidRDefault="00EA0889" w:rsidP="00110B70">
      <w:pPr>
        <w:spacing w:line="240" w:lineRule="auto"/>
      </w:pPr>
    </w:p>
    <w:p w:rsidR="008828D3" w:rsidRDefault="004C3100" w:rsidP="00110B70">
      <w:pPr>
        <w:pStyle w:val="Titulek"/>
        <w:keepNext/>
      </w:pPr>
      <w:bookmarkStart w:id="4" w:name="_Ref489605727"/>
      <w:bookmarkStart w:id="5" w:name="_Toc492555053"/>
      <w:r>
        <w:t>T</w:t>
      </w:r>
      <w:r w:rsidR="008828D3">
        <w:t xml:space="preserve">abulka </w:t>
      </w:r>
      <w:fldSimple w:instr=" SEQ Tabulka \* ARABIC ">
        <w:r w:rsidR="00410665">
          <w:rPr>
            <w:noProof/>
          </w:rPr>
          <w:t>1</w:t>
        </w:r>
      </w:fldSimple>
      <w:bookmarkEnd w:id="4"/>
      <w:r w:rsidR="008828D3">
        <w:t xml:space="preserve"> Základní ukazatele nezaměstnanosti k </w:t>
      </w:r>
      <w:r w:rsidR="002D3AE4">
        <w:t>3</w:t>
      </w:r>
      <w:r w:rsidR="00931EB7">
        <w:t>0</w:t>
      </w:r>
      <w:r w:rsidR="008828D3">
        <w:t xml:space="preserve">. </w:t>
      </w:r>
      <w:r w:rsidR="00931EB7">
        <w:t>6</w:t>
      </w:r>
      <w:r w:rsidR="008828D3">
        <w:t>. 201</w:t>
      </w:r>
      <w:r w:rsidR="00931EB7">
        <w:t>7</w:t>
      </w:r>
      <w:r w:rsidR="008828D3">
        <w:t xml:space="preserve"> v krajích ČR</w:t>
      </w:r>
      <w:bookmarkEnd w:id="5"/>
    </w:p>
    <w:tbl>
      <w:tblPr>
        <w:tblStyle w:val="Mkatabulky"/>
        <w:tblW w:w="9100" w:type="dxa"/>
        <w:tblInd w:w="108" w:type="dxa"/>
        <w:tblBorders>
          <w:insideH w:val="none" w:sz="0" w:space="0" w:color="auto"/>
        </w:tblBorders>
        <w:tblLook w:val="04A0" w:firstRow="1" w:lastRow="0" w:firstColumn="1" w:lastColumn="0" w:noHBand="0" w:noVBand="1"/>
      </w:tblPr>
      <w:tblGrid>
        <w:gridCol w:w="2693"/>
        <w:gridCol w:w="1416"/>
        <w:gridCol w:w="1701"/>
        <w:gridCol w:w="1842"/>
        <w:gridCol w:w="1448"/>
      </w:tblGrid>
      <w:tr w:rsidR="0017309F" w:rsidTr="00193EA4">
        <w:trPr>
          <w:trHeight w:val="390"/>
        </w:trPr>
        <w:tc>
          <w:tcPr>
            <w:tcW w:w="2693" w:type="dxa"/>
            <w:tcBorders>
              <w:top w:val="single" w:sz="4" w:space="0" w:color="auto"/>
              <w:bottom w:val="single" w:sz="4" w:space="0" w:color="auto"/>
            </w:tcBorders>
            <w:vAlign w:val="center"/>
          </w:tcPr>
          <w:p w:rsidR="0017309F" w:rsidRPr="008828D3" w:rsidRDefault="0017309F" w:rsidP="00110B70">
            <w:pPr>
              <w:jc w:val="left"/>
              <w:rPr>
                <w:rFonts w:cs="Arial"/>
                <w:b/>
                <w:sz w:val="20"/>
                <w:szCs w:val="20"/>
              </w:rPr>
            </w:pPr>
            <w:r w:rsidRPr="008828D3">
              <w:rPr>
                <w:rFonts w:cs="Arial"/>
                <w:b/>
                <w:sz w:val="20"/>
                <w:szCs w:val="20"/>
              </w:rPr>
              <w:t>Kraj</w:t>
            </w:r>
          </w:p>
        </w:tc>
        <w:tc>
          <w:tcPr>
            <w:tcW w:w="1416" w:type="dxa"/>
            <w:tcBorders>
              <w:top w:val="single" w:sz="4" w:space="0" w:color="auto"/>
              <w:bottom w:val="single" w:sz="4" w:space="0" w:color="auto"/>
            </w:tcBorders>
            <w:vAlign w:val="center"/>
          </w:tcPr>
          <w:p w:rsidR="0017309F" w:rsidRPr="008828D3" w:rsidRDefault="00983B04" w:rsidP="00110B70">
            <w:pPr>
              <w:jc w:val="center"/>
              <w:rPr>
                <w:rFonts w:cs="Arial"/>
                <w:b/>
                <w:sz w:val="20"/>
                <w:szCs w:val="20"/>
              </w:rPr>
            </w:pPr>
            <w:r w:rsidRPr="008828D3">
              <w:rPr>
                <w:rFonts w:cs="Arial"/>
                <w:b/>
                <w:sz w:val="20"/>
                <w:szCs w:val="20"/>
              </w:rPr>
              <w:t>PNO (%)</w:t>
            </w:r>
          </w:p>
        </w:tc>
        <w:tc>
          <w:tcPr>
            <w:tcW w:w="1701" w:type="dxa"/>
            <w:tcBorders>
              <w:top w:val="single" w:sz="4" w:space="0" w:color="auto"/>
              <w:bottom w:val="single" w:sz="4" w:space="0" w:color="auto"/>
            </w:tcBorders>
            <w:vAlign w:val="center"/>
          </w:tcPr>
          <w:p w:rsidR="0017309F" w:rsidRPr="008828D3" w:rsidRDefault="00983B04" w:rsidP="00110B70">
            <w:pPr>
              <w:jc w:val="center"/>
              <w:rPr>
                <w:rFonts w:cs="Arial"/>
                <w:b/>
                <w:sz w:val="20"/>
                <w:szCs w:val="20"/>
              </w:rPr>
            </w:pPr>
            <w:r w:rsidRPr="008828D3">
              <w:rPr>
                <w:rFonts w:cs="Arial"/>
                <w:b/>
                <w:sz w:val="20"/>
                <w:szCs w:val="20"/>
              </w:rPr>
              <w:t>Počet UoZ</w:t>
            </w:r>
          </w:p>
        </w:tc>
        <w:tc>
          <w:tcPr>
            <w:tcW w:w="1842" w:type="dxa"/>
            <w:tcBorders>
              <w:top w:val="single" w:sz="4" w:space="0" w:color="auto"/>
              <w:bottom w:val="single" w:sz="4" w:space="0" w:color="auto"/>
            </w:tcBorders>
            <w:vAlign w:val="center"/>
          </w:tcPr>
          <w:p w:rsidR="0017309F" w:rsidRPr="008828D3" w:rsidRDefault="00983B04" w:rsidP="00110B70">
            <w:pPr>
              <w:jc w:val="center"/>
              <w:rPr>
                <w:rFonts w:cs="Arial"/>
                <w:b/>
                <w:sz w:val="20"/>
                <w:szCs w:val="20"/>
              </w:rPr>
            </w:pPr>
            <w:r w:rsidRPr="008828D3">
              <w:rPr>
                <w:rFonts w:cs="Arial"/>
                <w:b/>
                <w:sz w:val="20"/>
                <w:szCs w:val="20"/>
              </w:rPr>
              <w:t>Počet VPM</w:t>
            </w:r>
          </w:p>
        </w:tc>
        <w:tc>
          <w:tcPr>
            <w:tcW w:w="1448" w:type="dxa"/>
            <w:tcBorders>
              <w:top w:val="single" w:sz="4" w:space="0" w:color="auto"/>
              <w:bottom w:val="single" w:sz="4" w:space="0" w:color="auto"/>
            </w:tcBorders>
            <w:vAlign w:val="center"/>
          </w:tcPr>
          <w:p w:rsidR="0017309F" w:rsidRPr="008828D3" w:rsidRDefault="00983B04" w:rsidP="00110B70">
            <w:pPr>
              <w:jc w:val="center"/>
              <w:rPr>
                <w:rFonts w:cs="Arial"/>
                <w:b/>
                <w:sz w:val="20"/>
                <w:szCs w:val="20"/>
              </w:rPr>
            </w:pPr>
            <w:r w:rsidRPr="008828D3">
              <w:rPr>
                <w:rFonts w:cs="Arial"/>
                <w:b/>
                <w:sz w:val="20"/>
                <w:szCs w:val="20"/>
              </w:rPr>
              <w:t>UoZ/VPM</w:t>
            </w:r>
          </w:p>
        </w:tc>
      </w:tr>
      <w:tr w:rsidR="00A404B5" w:rsidTr="00A404B5">
        <w:trPr>
          <w:trHeight w:val="390"/>
        </w:trPr>
        <w:tc>
          <w:tcPr>
            <w:tcW w:w="2693" w:type="dxa"/>
            <w:tcBorders>
              <w:top w:val="single" w:sz="4" w:space="0" w:color="auto"/>
            </w:tcBorders>
            <w:vAlign w:val="center"/>
          </w:tcPr>
          <w:p w:rsidR="00A404B5" w:rsidRPr="008828D3" w:rsidRDefault="00A404B5" w:rsidP="00110B70">
            <w:pPr>
              <w:jc w:val="left"/>
              <w:rPr>
                <w:rFonts w:cs="Arial"/>
                <w:sz w:val="20"/>
                <w:szCs w:val="20"/>
              </w:rPr>
            </w:pPr>
            <w:r w:rsidRPr="008828D3">
              <w:rPr>
                <w:rFonts w:cs="Arial"/>
                <w:sz w:val="20"/>
                <w:szCs w:val="20"/>
              </w:rPr>
              <w:t>Hl. m. Praha</w:t>
            </w:r>
          </w:p>
        </w:tc>
        <w:tc>
          <w:tcPr>
            <w:tcW w:w="1416" w:type="dxa"/>
            <w:tcBorders>
              <w:top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2,9</w:t>
            </w:r>
          </w:p>
        </w:tc>
        <w:tc>
          <w:tcPr>
            <w:tcW w:w="1701" w:type="dxa"/>
            <w:tcBorders>
              <w:top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26 208</w:t>
            </w:r>
          </w:p>
        </w:tc>
        <w:tc>
          <w:tcPr>
            <w:tcW w:w="1842" w:type="dxa"/>
            <w:tcBorders>
              <w:top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35 483</w:t>
            </w:r>
          </w:p>
        </w:tc>
        <w:tc>
          <w:tcPr>
            <w:tcW w:w="1448" w:type="dxa"/>
            <w:tcBorders>
              <w:top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0,7</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Středočeský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3,3</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30 861</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23 673</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1,3</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Jihočeský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2,7</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12 938</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12 310</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1,1</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Plzeňský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2,5</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10 687</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13 937</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0,8</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Karlovarský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4,0</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8 674</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5 479</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1,6</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Ústecký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6,4</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36 723</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10 069</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3,6</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Liberecký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4,1</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12 821</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7 674</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1,7</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Královehradecký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2,7</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10 562</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8 337</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1,3</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Pardubický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2,6</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9 783</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14 507</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0,7</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Kraj Vysočina</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3,5</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11 966</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6 766</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1,8</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Jihomoravský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4,7</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38 043</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15 481</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2,5</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Olomoucký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4,4</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19 902</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8 672</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2,3</w:t>
            </w:r>
          </w:p>
        </w:tc>
      </w:tr>
      <w:tr w:rsidR="00A404B5" w:rsidTr="00A404B5">
        <w:trPr>
          <w:trHeight w:val="390"/>
        </w:trPr>
        <w:tc>
          <w:tcPr>
            <w:tcW w:w="2693" w:type="dxa"/>
            <w:vAlign w:val="center"/>
          </w:tcPr>
          <w:p w:rsidR="00A404B5" w:rsidRPr="008828D3" w:rsidRDefault="00A404B5" w:rsidP="00110B70">
            <w:pPr>
              <w:jc w:val="left"/>
              <w:rPr>
                <w:rFonts w:cs="Arial"/>
                <w:sz w:val="20"/>
                <w:szCs w:val="20"/>
              </w:rPr>
            </w:pPr>
            <w:r w:rsidRPr="008828D3">
              <w:rPr>
                <w:rFonts w:cs="Arial"/>
                <w:sz w:val="20"/>
                <w:szCs w:val="20"/>
              </w:rPr>
              <w:t>Zlínský kraj</w:t>
            </w:r>
          </w:p>
        </w:tc>
        <w:tc>
          <w:tcPr>
            <w:tcW w:w="1416"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3,5</w:t>
            </w:r>
          </w:p>
        </w:tc>
        <w:tc>
          <w:tcPr>
            <w:tcW w:w="1701"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14 263</w:t>
            </w:r>
          </w:p>
        </w:tc>
        <w:tc>
          <w:tcPr>
            <w:tcW w:w="1842"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8 176</w:t>
            </w:r>
          </w:p>
        </w:tc>
        <w:tc>
          <w:tcPr>
            <w:tcW w:w="1448" w:type="dxa"/>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1,7</w:t>
            </w:r>
          </w:p>
        </w:tc>
      </w:tr>
      <w:tr w:rsidR="00A404B5" w:rsidTr="00A404B5">
        <w:trPr>
          <w:trHeight w:val="390"/>
        </w:trPr>
        <w:tc>
          <w:tcPr>
            <w:tcW w:w="2693" w:type="dxa"/>
            <w:tcBorders>
              <w:bottom w:val="single" w:sz="4" w:space="0" w:color="auto"/>
            </w:tcBorders>
            <w:vAlign w:val="center"/>
          </w:tcPr>
          <w:p w:rsidR="00A404B5" w:rsidRPr="008828D3" w:rsidRDefault="00A404B5" w:rsidP="00110B70">
            <w:pPr>
              <w:jc w:val="left"/>
              <w:rPr>
                <w:rFonts w:cs="Arial"/>
                <w:sz w:val="20"/>
                <w:szCs w:val="20"/>
              </w:rPr>
            </w:pPr>
            <w:r w:rsidRPr="008828D3">
              <w:rPr>
                <w:rFonts w:cs="Arial"/>
                <w:sz w:val="20"/>
                <w:szCs w:val="20"/>
              </w:rPr>
              <w:t>Moravskoslezský kraj</w:t>
            </w:r>
          </w:p>
        </w:tc>
        <w:tc>
          <w:tcPr>
            <w:tcW w:w="1416" w:type="dxa"/>
            <w:tcBorders>
              <w:bottom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6,2</w:t>
            </w:r>
          </w:p>
        </w:tc>
        <w:tc>
          <w:tcPr>
            <w:tcW w:w="1701" w:type="dxa"/>
            <w:tcBorders>
              <w:bottom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54 008</w:t>
            </w:r>
          </w:p>
        </w:tc>
        <w:tc>
          <w:tcPr>
            <w:tcW w:w="1842" w:type="dxa"/>
            <w:tcBorders>
              <w:bottom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12 936</w:t>
            </w:r>
          </w:p>
        </w:tc>
        <w:tc>
          <w:tcPr>
            <w:tcW w:w="1448" w:type="dxa"/>
            <w:tcBorders>
              <w:bottom w:val="single" w:sz="4" w:space="0" w:color="auto"/>
            </w:tcBorders>
            <w:vAlign w:val="center"/>
          </w:tcPr>
          <w:p w:rsidR="00A404B5" w:rsidRPr="00A404B5" w:rsidRDefault="00A404B5" w:rsidP="00110B70">
            <w:pPr>
              <w:jc w:val="center"/>
              <w:rPr>
                <w:rFonts w:cs="Arial"/>
                <w:color w:val="000000"/>
                <w:sz w:val="20"/>
                <w:szCs w:val="20"/>
              </w:rPr>
            </w:pPr>
            <w:r w:rsidRPr="00A404B5">
              <w:rPr>
                <w:rFonts w:cs="Arial"/>
                <w:color w:val="000000"/>
                <w:sz w:val="20"/>
                <w:szCs w:val="20"/>
              </w:rPr>
              <w:t>4,2</w:t>
            </w:r>
          </w:p>
        </w:tc>
      </w:tr>
      <w:tr w:rsidR="00A404B5" w:rsidTr="00A404B5">
        <w:trPr>
          <w:trHeight w:val="390"/>
        </w:trPr>
        <w:tc>
          <w:tcPr>
            <w:tcW w:w="2693" w:type="dxa"/>
            <w:tcBorders>
              <w:top w:val="single" w:sz="4" w:space="0" w:color="auto"/>
              <w:bottom w:val="single" w:sz="4" w:space="0" w:color="auto"/>
            </w:tcBorders>
            <w:vAlign w:val="center"/>
          </w:tcPr>
          <w:p w:rsidR="00A404B5" w:rsidRPr="008828D3" w:rsidRDefault="00A404B5" w:rsidP="00110B70">
            <w:pPr>
              <w:jc w:val="left"/>
              <w:rPr>
                <w:rFonts w:cs="Arial"/>
                <w:b/>
                <w:sz w:val="20"/>
                <w:szCs w:val="20"/>
              </w:rPr>
            </w:pPr>
            <w:r w:rsidRPr="008828D3">
              <w:rPr>
                <w:rFonts w:cs="Arial"/>
                <w:b/>
                <w:sz w:val="20"/>
                <w:szCs w:val="20"/>
              </w:rPr>
              <w:t>Česká republika</w:t>
            </w:r>
          </w:p>
        </w:tc>
        <w:tc>
          <w:tcPr>
            <w:tcW w:w="1416" w:type="dxa"/>
            <w:tcBorders>
              <w:top w:val="single" w:sz="4" w:space="0" w:color="auto"/>
              <w:bottom w:val="single" w:sz="4" w:space="0" w:color="auto"/>
            </w:tcBorders>
            <w:vAlign w:val="center"/>
          </w:tcPr>
          <w:p w:rsidR="00A404B5" w:rsidRPr="00A404B5" w:rsidRDefault="00A404B5" w:rsidP="00110B70">
            <w:pPr>
              <w:jc w:val="center"/>
              <w:rPr>
                <w:rFonts w:cs="Arial"/>
                <w:b/>
                <w:bCs/>
                <w:color w:val="000000"/>
                <w:sz w:val="20"/>
                <w:szCs w:val="20"/>
              </w:rPr>
            </w:pPr>
            <w:r w:rsidRPr="00A404B5">
              <w:rPr>
                <w:rFonts w:cs="Arial"/>
                <w:b/>
                <w:bCs/>
                <w:color w:val="000000"/>
                <w:sz w:val="20"/>
                <w:szCs w:val="20"/>
              </w:rPr>
              <w:t>4,0</w:t>
            </w:r>
          </w:p>
        </w:tc>
        <w:tc>
          <w:tcPr>
            <w:tcW w:w="1701" w:type="dxa"/>
            <w:tcBorders>
              <w:top w:val="single" w:sz="4" w:space="0" w:color="auto"/>
              <w:bottom w:val="single" w:sz="4" w:space="0" w:color="auto"/>
            </w:tcBorders>
            <w:vAlign w:val="center"/>
          </w:tcPr>
          <w:p w:rsidR="00A404B5" w:rsidRPr="00A404B5" w:rsidRDefault="00A404B5" w:rsidP="00110B70">
            <w:pPr>
              <w:jc w:val="center"/>
              <w:rPr>
                <w:rFonts w:cs="Arial"/>
                <w:b/>
                <w:bCs/>
                <w:color w:val="000000"/>
                <w:sz w:val="20"/>
                <w:szCs w:val="20"/>
              </w:rPr>
            </w:pPr>
            <w:r w:rsidRPr="00A404B5">
              <w:rPr>
                <w:rFonts w:cs="Arial"/>
                <w:b/>
                <w:bCs/>
                <w:color w:val="000000"/>
                <w:sz w:val="20"/>
                <w:szCs w:val="20"/>
              </w:rPr>
              <w:t>297 439</w:t>
            </w:r>
          </w:p>
        </w:tc>
        <w:tc>
          <w:tcPr>
            <w:tcW w:w="1842" w:type="dxa"/>
            <w:tcBorders>
              <w:top w:val="single" w:sz="4" w:space="0" w:color="auto"/>
              <w:bottom w:val="single" w:sz="4" w:space="0" w:color="auto"/>
            </w:tcBorders>
            <w:vAlign w:val="center"/>
          </w:tcPr>
          <w:p w:rsidR="00A404B5" w:rsidRPr="00A404B5" w:rsidRDefault="00A404B5" w:rsidP="00110B70">
            <w:pPr>
              <w:jc w:val="center"/>
              <w:rPr>
                <w:rFonts w:cs="Arial"/>
                <w:b/>
                <w:bCs/>
                <w:color w:val="000000"/>
                <w:sz w:val="20"/>
                <w:szCs w:val="20"/>
              </w:rPr>
            </w:pPr>
            <w:r w:rsidRPr="00A404B5">
              <w:rPr>
                <w:rFonts w:cs="Arial"/>
                <w:b/>
                <w:bCs/>
                <w:color w:val="000000"/>
                <w:sz w:val="20"/>
                <w:szCs w:val="20"/>
              </w:rPr>
              <w:t>183 500</w:t>
            </w:r>
          </w:p>
        </w:tc>
        <w:tc>
          <w:tcPr>
            <w:tcW w:w="1448" w:type="dxa"/>
            <w:tcBorders>
              <w:top w:val="single" w:sz="4" w:space="0" w:color="auto"/>
              <w:bottom w:val="single" w:sz="4" w:space="0" w:color="auto"/>
            </w:tcBorders>
            <w:vAlign w:val="center"/>
          </w:tcPr>
          <w:p w:rsidR="00A404B5" w:rsidRPr="00A404B5" w:rsidRDefault="00A404B5" w:rsidP="00110B70">
            <w:pPr>
              <w:jc w:val="center"/>
              <w:rPr>
                <w:rFonts w:cs="Arial"/>
                <w:b/>
                <w:bCs/>
                <w:color w:val="000000"/>
                <w:sz w:val="20"/>
                <w:szCs w:val="20"/>
              </w:rPr>
            </w:pPr>
            <w:r w:rsidRPr="00A404B5">
              <w:rPr>
                <w:rFonts w:cs="Arial"/>
                <w:b/>
                <w:bCs/>
                <w:color w:val="000000"/>
                <w:sz w:val="20"/>
                <w:szCs w:val="20"/>
              </w:rPr>
              <w:t>1,6</w:t>
            </w:r>
          </w:p>
        </w:tc>
      </w:tr>
    </w:tbl>
    <w:p w:rsidR="00A404B5" w:rsidRDefault="00A404B5" w:rsidP="00110B70">
      <w:pPr>
        <w:spacing w:after="200" w:line="240" w:lineRule="auto"/>
        <w:jc w:val="left"/>
      </w:pPr>
    </w:p>
    <w:p w:rsidR="00DB1631" w:rsidRDefault="00DB1631" w:rsidP="00110B70">
      <w:pPr>
        <w:spacing w:after="200" w:line="240" w:lineRule="auto"/>
      </w:pPr>
      <w:r>
        <w:t>Nejméně přízniv</w:t>
      </w:r>
      <w:r w:rsidR="004403D7">
        <w:t>á</w:t>
      </w:r>
      <w:r>
        <w:t xml:space="preserve"> zůstává situace na trhu práce ve strukturálně postižených regionech, zejména v Moravskoslezském a Ústeckém kraji, v nichž podíl nezaměstnaných osob přesahuje hladinu 6 %. Oba kraje rovněž vykazují nižší dynamiku poklesu oproti stavu minulé zprávy (závěr roku 2016) než zbytek republiky (pokles cca o 17 %, průměr ČR oproti tomu 23 %). Ve srovnání se zbytkem republiky pak Moravskoslezský kraj vykazuje rovněž velmi nízkou genezi nových pracovních příležitostí, </w:t>
      </w:r>
      <w:r w:rsidR="004403D7">
        <w:t>když</w:t>
      </w:r>
      <w:r>
        <w:t xml:space="preserve"> počet hlášených VPM narostl mezi 31. 1</w:t>
      </w:r>
      <w:r w:rsidR="00BD33F5">
        <w:t>2. 2016 a 30. 6. 2017 pouze o </w:t>
      </w:r>
      <w:r>
        <w:t>18,5 % zatímco průměrně v ČR o 38 %. Z tohoto pohledu se situace v Ústeckém kraji vyvíjí příznivěji. Pozitivní vývoj lze vysledovat v Karlovarském kraji, který ke konci června letošního roku vykázal průměrné hodnoty. Nicméně v tomto regionu lze s ohledem na hospodářskou strukturu očekávat vyšší sezónní výkyv.</w:t>
      </w:r>
    </w:p>
    <w:p w:rsidR="00064A77" w:rsidRDefault="00DB1631" w:rsidP="00110B70">
      <w:pPr>
        <w:spacing w:after="200" w:line="240" w:lineRule="auto"/>
      </w:pPr>
      <w:r>
        <w:t>Na druhé straně je v řadě krajů, prakticky celoplošně, pociťován nedostatek dostupné pracovní síly, což lze vyjádřit ukazatelem UoZ/VPM, který v hl. m. Praze, Plzeňském a Pardubickém kraji klesl pod hodnotu 1,0, což znamená, že v těchto regionech je hlášeno více pracovních míst, než je evidováno uchazečů o zaměstnání.</w:t>
      </w:r>
      <w:r w:rsidR="00BD33F5">
        <w:t xml:space="preserve"> Konkrétně se pak jedná o celkem 17 okresů, kde počet VPM převyšuje počet UoZ. Nejhorší situace je v okrese Karviná, když podíl nezaměstnaných osob zde dosahuje hodnoty 9,5 % a o jedno pracovní místo se uchází více jak 10 UoZ</w:t>
      </w:r>
      <w:r w:rsidR="004403D7">
        <w:t>.</w:t>
      </w:r>
      <w:r w:rsidR="00BD33F5">
        <w:t xml:space="preserve"> </w:t>
      </w:r>
    </w:p>
    <w:p w:rsidR="000B097A" w:rsidRDefault="00BD33F5" w:rsidP="00110B70">
      <w:pPr>
        <w:pStyle w:val="Nadpis2"/>
        <w:spacing w:line="240" w:lineRule="auto"/>
      </w:pPr>
      <w:bookmarkStart w:id="6" w:name="_Toc492628582"/>
      <w:r>
        <w:t>Volná pracovní místa a jejich neobsazenost</w:t>
      </w:r>
      <w:bookmarkEnd w:id="6"/>
    </w:p>
    <w:p w:rsidR="00BD33F5" w:rsidRDefault="00943A27" w:rsidP="00110B70">
      <w:pPr>
        <w:spacing w:line="240" w:lineRule="auto"/>
      </w:pPr>
      <w:r>
        <w:t>V 1. pololetí roku 2017 došlo k velmi výraznému nárůstu počtu hlášených volných pracovních míst</w:t>
      </w:r>
      <w:r w:rsidR="004403D7">
        <w:t>,</w:t>
      </w:r>
      <w:r>
        <w:t xml:space="preserve"> a to v celorepublikovém měřítku o 51 000 VPM, tj. o 38,5 %. V červnu vykázaná hodnota 183 500 VPM je historicky nejvyšší od doby zahájení evidování VPM. Pro srovnání, v 1. pololetí roku 2016 vzrost počet hlášených VPM o</w:t>
      </w:r>
      <w:r w:rsidR="004403D7">
        <w:t> </w:t>
      </w:r>
      <w:r>
        <w:t xml:space="preserve">30,6 %. Výrazná dynamika nárůstu hlášených VPM v posledních měsících proměnila strukturu VPM podle doby neobsazenosti ve prospěch pracovních míst neobsazených méně než 3 měsíce (48,2 </w:t>
      </w:r>
      <w:r w:rsidR="004403D7">
        <w:t xml:space="preserve">% </w:t>
      </w:r>
      <w:r>
        <w:t>VPM), podíl pracovních míst, která jsou neobsazena déle než 12 měsíců</w:t>
      </w:r>
      <w:r w:rsidR="0062539E">
        <w:t>,</w:t>
      </w:r>
      <w:r>
        <w:t xml:space="preserve"> se však nezměnil a i nadále tvoří necelých 20 %, došlo ale tedy k významnému nárůstu jejich objemu na hodnotu</w:t>
      </w:r>
      <w:r w:rsidR="004A6B55">
        <w:t xml:space="preserve"> 36 462 VPM.</w:t>
      </w:r>
    </w:p>
    <w:p w:rsidR="004A6B55" w:rsidRDefault="004A6B55" w:rsidP="00110B70">
      <w:pPr>
        <w:spacing w:line="240" w:lineRule="auto"/>
      </w:pPr>
    </w:p>
    <w:p w:rsidR="004A6B55" w:rsidRDefault="004A6B55" w:rsidP="00110B70">
      <w:pPr>
        <w:pStyle w:val="Titulek"/>
        <w:keepNext/>
        <w:spacing w:after="120"/>
      </w:pPr>
      <w:bookmarkStart w:id="7" w:name="_Toc492555054"/>
      <w:r>
        <w:t xml:space="preserve">Tabulka </w:t>
      </w:r>
      <w:fldSimple w:instr=" SEQ Tabulka \* ARABIC ">
        <w:r w:rsidR="00410665">
          <w:rPr>
            <w:noProof/>
          </w:rPr>
          <w:t>2</w:t>
        </w:r>
      </w:fldSimple>
      <w:r>
        <w:t xml:space="preserve"> Podíly VPM podle doby neobsazenosti</w:t>
      </w:r>
      <w:bookmarkEnd w:id="7"/>
    </w:p>
    <w:tbl>
      <w:tblPr>
        <w:tblStyle w:val="Mkatabulky"/>
        <w:tblpPr w:leftFromText="141" w:rightFromText="141" w:vertAnchor="text" w:horzAnchor="margin" w:tblpX="108" w:tblpY="98"/>
        <w:tblOverlap w:val="never"/>
        <w:tblW w:w="0" w:type="auto"/>
        <w:tblLook w:val="04A0" w:firstRow="1" w:lastRow="0" w:firstColumn="1" w:lastColumn="0" w:noHBand="0" w:noVBand="1"/>
      </w:tblPr>
      <w:tblGrid>
        <w:gridCol w:w="1622"/>
        <w:gridCol w:w="1581"/>
        <w:gridCol w:w="1384"/>
        <w:gridCol w:w="1381"/>
        <w:gridCol w:w="1581"/>
        <w:gridCol w:w="1581"/>
      </w:tblGrid>
      <w:tr w:rsidR="004A6B55" w:rsidRPr="008828D3" w:rsidTr="00A44DFD">
        <w:trPr>
          <w:trHeight w:val="303"/>
        </w:trPr>
        <w:tc>
          <w:tcPr>
            <w:tcW w:w="9130" w:type="dxa"/>
            <w:gridSpan w:val="6"/>
            <w:vAlign w:val="center"/>
          </w:tcPr>
          <w:p w:rsidR="004A6B55" w:rsidRPr="008828D3" w:rsidRDefault="004A6B55" w:rsidP="00110B70">
            <w:pPr>
              <w:jc w:val="center"/>
              <w:rPr>
                <w:rFonts w:cs="Arial"/>
                <w:b/>
                <w:sz w:val="20"/>
                <w:szCs w:val="20"/>
              </w:rPr>
            </w:pPr>
            <w:r w:rsidRPr="008828D3">
              <w:rPr>
                <w:rFonts w:cs="Arial"/>
                <w:b/>
                <w:sz w:val="20"/>
                <w:szCs w:val="20"/>
              </w:rPr>
              <w:t>Neobsazenost volných pracovních míst k</w:t>
            </w:r>
            <w:r>
              <w:rPr>
                <w:rFonts w:cs="Arial"/>
                <w:b/>
                <w:sz w:val="20"/>
                <w:szCs w:val="20"/>
              </w:rPr>
              <w:t> </w:t>
            </w:r>
            <w:r w:rsidRPr="008828D3">
              <w:rPr>
                <w:rFonts w:cs="Arial"/>
                <w:b/>
                <w:sz w:val="20"/>
                <w:szCs w:val="20"/>
              </w:rPr>
              <w:t>3</w:t>
            </w:r>
            <w:r>
              <w:rPr>
                <w:rFonts w:cs="Arial"/>
                <w:b/>
                <w:sz w:val="20"/>
                <w:szCs w:val="20"/>
              </w:rPr>
              <w:t>0. 6. 2017</w:t>
            </w:r>
          </w:p>
        </w:tc>
      </w:tr>
      <w:tr w:rsidR="004A6B55" w:rsidRPr="008828D3" w:rsidTr="00A44DFD">
        <w:trPr>
          <w:trHeight w:val="347"/>
        </w:trPr>
        <w:tc>
          <w:tcPr>
            <w:tcW w:w="1622" w:type="dxa"/>
            <w:vMerge w:val="restart"/>
            <w:vAlign w:val="center"/>
          </w:tcPr>
          <w:p w:rsidR="004A6B55" w:rsidRPr="008828D3" w:rsidRDefault="004A6B55" w:rsidP="00110B70">
            <w:pPr>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Neobsazeno (měsíců)</w:t>
            </w:r>
          </w:p>
        </w:tc>
      </w:tr>
      <w:tr w:rsidR="004A6B55" w:rsidRPr="008828D3" w:rsidTr="00A44DFD">
        <w:trPr>
          <w:trHeight w:val="347"/>
        </w:trPr>
        <w:tc>
          <w:tcPr>
            <w:tcW w:w="1622" w:type="dxa"/>
            <w:vMerge/>
            <w:vAlign w:val="center"/>
          </w:tcPr>
          <w:p w:rsidR="004A6B55" w:rsidRPr="008828D3" w:rsidRDefault="004A6B55" w:rsidP="00110B70">
            <w:pPr>
              <w:jc w:val="center"/>
              <w:rPr>
                <w:rFonts w:cs="Arial"/>
                <w:sz w:val="20"/>
                <w:szCs w:val="20"/>
              </w:rPr>
            </w:pPr>
          </w:p>
        </w:tc>
        <w:tc>
          <w:tcPr>
            <w:tcW w:w="1581" w:type="dxa"/>
            <w:vMerge/>
            <w:tcBorders>
              <w:bottom w:val="single" w:sz="4" w:space="0" w:color="auto"/>
              <w:right w:val="single" w:sz="4" w:space="0" w:color="auto"/>
            </w:tcBorders>
          </w:tcPr>
          <w:p w:rsidR="004A6B55" w:rsidRPr="008828D3" w:rsidRDefault="004A6B55" w:rsidP="00110B70">
            <w:pPr>
              <w:jc w:val="center"/>
              <w:rPr>
                <w:rFonts w:cs="Arial"/>
                <w:sz w:val="20"/>
                <w:szCs w:val="20"/>
              </w:rPr>
            </w:pPr>
          </w:p>
        </w:tc>
        <w:tc>
          <w:tcPr>
            <w:tcW w:w="1384" w:type="dxa"/>
            <w:tcBorders>
              <w:left w:val="single" w:sz="4" w:space="0" w:color="auto"/>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Nad 12 </w:t>
            </w:r>
          </w:p>
        </w:tc>
      </w:tr>
      <w:tr w:rsidR="004A6B55" w:rsidRPr="008828D3" w:rsidTr="004A6B55">
        <w:trPr>
          <w:trHeight w:val="347"/>
        </w:trPr>
        <w:tc>
          <w:tcPr>
            <w:tcW w:w="1622" w:type="dxa"/>
            <w:vMerge/>
            <w:vAlign w:val="center"/>
          </w:tcPr>
          <w:p w:rsidR="004A6B55" w:rsidRPr="008828D3" w:rsidRDefault="004A6B55" w:rsidP="00110B70">
            <w:pPr>
              <w:jc w:val="right"/>
              <w:rPr>
                <w:rFonts w:cs="Arial"/>
                <w:color w:val="000000"/>
                <w:sz w:val="20"/>
                <w:szCs w:val="20"/>
              </w:rPr>
            </w:pPr>
          </w:p>
        </w:tc>
        <w:tc>
          <w:tcPr>
            <w:tcW w:w="1581" w:type="dxa"/>
            <w:tcBorders>
              <w:top w:val="single" w:sz="4" w:space="0" w:color="auto"/>
              <w:bottom w:val="single" w:sz="4" w:space="0" w:color="auto"/>
            </w:tcBorders>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183 499</w:t>
            </w:r>
          </w:p>
        </w:tc>
        <w:tc>
          <w:tcPr>
            <w:tcW w:w="1384"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88 479</w:t>
            </w:r>
          </w:p>
        </w:tc>
        <w:tc>
          <w:tcPr>
            <w:tcW w:w="1381"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31 623</w:t>
            </w:r>
          </w:p>
        </w:tc>
        <w:tc>
          <w:tcPr>
            <w:tcW w:w="1581"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26 935</w:t>
            </w:r>
          </w:p>
        </w:tc>
        <w:tc>
          <w:tcPr>
            <w:tcW w:w="1581"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36 462</w:t>
            </w:r>
          </w:p>
        </w:tc>
      </w:tr>
      <w:tr w:rsidR="004A6B55" w:rsidRPr="008828D3" w:rsidTr="004A6B55">
        <w:trPr>
          <w:trHeight w:val="347"/>
        </w:trPr>
        <w:tc>
          <w:tcPr>
            <w:tcW w:w="1622" w:type="dxa"/>
            <w:vAlign w:val="center"/>
          </w:tcPr>
          <w:p w:rsidR="004A6B55" w:rsidRPr="008828D3" w:rsidRDefault="004A6B55" w:rsidP="00110B70">
            <w:pPr>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vAlign w:val="center"/>
          </w:tcPr>
          <w:p w:rsidR="004A6B55" w:rsidRPr="004A6B55" w:rsidRDefault="004A6B55" w:rsidP="00110B70">
            <w:pPr>
              <w:jc w:val="center"/>
              <w:rPr>
                <w:rFonts w:cs="Arial"/>
                <w:sz w:val="20"/>
                <w:szCs w:val="20"/>
              </w:rPr>
            </w:pPr>
            <w:r w:rsidRPr="004A6B55">
              <w:rPr>
                <w:rFonts w:cs="Arial"/>
                <w:sz w:val="20"/>
                <w:szCs w:val="20"/>
              </w:rPr>
              <w:t>100 %</w:t>
            </w:r>
          </w:p>
        </w:tc>
        <w:tc>
          <w:tcPr>
            <w:tcW w:w="1384"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48,2%</w:t>
            </w:r>
          </w:p>
        </w:tc>
        <w:tc>
          <w:tcPr>
            <w:tcW w:w="1381"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17,2%</w:t>
            </w:r>
          </w:p>
        </w:tc>
        <w:tc>
          <w:tcPr>
            <w:tcW w:w="1581" w:type="dxa"/>
            <w:vAlign w:val="center"/>
          </w:tcPr>
          <w:p w:rsidR="004A6B55" w:rsidRPr="004A6B55" w:rsidRDefault="00A44DFD" w:rsidP="00110B70">
            <w:pPr>
              <w:jc w:val="center"/>
              <w:rPr>
                <w:rFonts w:cs="Arial"/>
                <w:bCs/>
                <w:color w:val="000000"/>
                <w:sz w:val="20"/>
                <w:szCs w:val="20"/>
              </w:rPr>
            </w:pPr>
            <w:r>
              <w:rPr>
                <w:rFonts w:cs="Arial"/>
                <w:bCs/>
                <w:color w:val="000000"/>
                <w:sz w:val="20"/>
                <w:szCs w:val="20"/>
              </w:rPr>
              <w:t>14,7</w:t>
            </w:r>
            <w:r w:rsidR="004A6B55" w:rsidRPr="004A6B55">
              <w:rPr>
                <w:rFonts w:cs="Arial"/>
                <w:bCs/>
                <w:color w:val="000000"/>
                <w:sz w:val="20"/>
                <w:szCs w:val="20"/>
              </w:rPr>
              <w:t>%</w:t>
            </w:r>
          </w:p>
        </w:tc>
        <w:tc>
          <w:tcPr>
            <w:tcW w:w="1581" w:type="dxa"/>
            <w:vAlign w:val="center"/>
          </w:tcPr>
          <w:p w:rsidR="004A6B55" w:rsidRPr="004A6B55" w:rsidRDefault="004A6B55" w:rsidP="00110B70">
            <w:pPr>
              <w:jc w:val="center"/>
              <w:rPr>
                <w:rFonts w:cs="Arial"/>
                <w:bCs/>
                <w:color w:val="000000"/>
                <w:sz w:val="20"/>
                <w:szCs w:val="20"/>
              </w:rPr>
            </w:pPr>
            <w:r w:rsidRPr="004A6B55">
              <w:rPr>
                <w:rFonts w:cs="Arial"/>
                <w:bCs/>
                <w:color w:val="000000"/>
                <w:sz w:val="20"/>
                <w:szCs w:val="20"/>
              </w:rPr>
              <w:t>19,</w:t>
            </w:r>
            <w:r w:rsidR="00A44DFD">
              <w:rPr>
                <w:rFonts w:cs="Arial"/>
                <w:bCs/>
                <w:color w:val="000000"/>
                <w:sz w:val="20"/>
                <w:szCs w:val="20"/>
              </w:rPr>
              <w:t xml:space="preserve">9 </w:t>
            </w:r>
            <w:r w:rsidRPr="004A6B55">
              <w:rPr>
                <w:rFonts w:cs="Arial"/>
                <w:bCs/>
                <w:color w:val="000000"/>
                <w:sz w:val="20"/>
                <w:szCs w:val="20"/>
              </w:rPr>
              <w:t>%</w:t>
            </w:r>
          </w:p>
        </w:tc>
      </w:tr>
      <w:tr w:rsidR="004A6B55" w:rsidRPr="008828D3" w:rsidTr="00A44DFD">
        <w:trPr>
          <w:trHeight w:val="347"/>
        </w:trPr>
        <w:tc>
          <w:tcPr>
            <w:tcW w:w="9130" w:type="dxa"/>
            <w:gridSpan w:val="6"/>
            <w:vAlign w:val="bottom"/>
          </w:tcPr>
          <w:p w:rsidR="004A6B55" w:rsidRPr="008828D3" w:rsidRDefault="004A6B55" w:rsidP="00110B70">
            <w:pPr>
              <w:jc w:val="center"/>
              <w:rPr>
                <w:rFonts w:cs="Arial"/>
                <w:sz w:val="20"/>
                <w:szCs w:val="20"/>
              </w:rPr>
            </w:pPr>
            <w:r w:rsidRPr="008828D3">
              <w:rPr>
                <w:rFonts w:cs="Arial"/>
                <w:b/>
                <w:sz w:val="20"/>
                <w:szCs w:val="20"/>
              </w:rPr>
              <w:t>Neobsazenost volných pracovních míst k 31. 12. 2016</w:t>
            </w:r>
          </w:p>
        </w:tc>
      </w:tr>
      <w:tr w:rsidR="004A6B55" w:rsidRPr="008828D3" w:rsidTr="00A44DFD">
        <w:trPr>
          <w:trHeight w:val="347"/>
        </w:trPr>
        <w:tc>
          <w:tcPr>
            <w:tcW w:w="1622" w:type="dxa"/>
            <w:vMerge w:val="restart"/>
            <w:vAlign w:val="center"/>
          </w:tcPr>
          <w:p w:rsidR="004A6B55" w:rsidRPr="008828D3" w:rsidRDefault="004A6B55" w:rsidP="00110B70">
            <w:pPr>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Neobsazeno (měsíců)</w:t>
            </w:r>
          </w:p>
        </w:tc>
      </w:tr>
      <w:tr w:rsidR="004A6B55" w:rsidRPr="008828D3" w:rsidTr="00A44DFD">
        <w:trPr>
          <w:trHeight w:val="347"/>
        </w:trPr>
        <w:tc>
          <w:tcPr>
            <w:tcW w:w="1622" w:type="dxa"/>
            <w:vMerge/>
            <w:vAlign w:val="center"/>
          </w:tcPr>
          <w:p w:rsidR="004A6B55" w:rsidRPr="008828D3" w:rsidRDefault="004A6B55" w:rsidP="00110B70">
            <w:pPr>
              <w:jc w:val="center"/>
              <w:rPr>
                <w:rFonts w:cs="Arial"/>
                <w:sz w:val="20"/>
                <w:szCs w:val="20"/>
              </w:rPr>
            </w:pPr>
          </w:p>
        </w:tc>
        <w:tc>
          <w:tcPr>
            <w:tcW w:w="1581" w:type="dxa"/>
            <w:vMerge/>
            <w:tcBorders>
              <w:bottom w:val="single" w:sz="4" w:space="0" w:color="auto"/>
              <w:right w:val="single" w:sz="4" w:space="0" w:color="auto"/>
            </w:tcBorders>
          </w:tcPr>
          <w:p w:rsidR="004A6B55" w:rsidRPr="008828D3" w:rsidRDefault="004A6B55" w:rsidP="00110B70">
            <w:pPr>
              <w:jc w:val="center"/>
              <w:rPr>
                <w:rFonts w:cs="Arial"/>
                <w:sz w:val="20"/>
                <w:szCs w:val="20"/>
              </w:rPr>
            </w:pPr>
          </w:p>
        </w:tc>
        <w:tc>
          <w:tcPr>
            <w:tcW w:w="1384" w:type="dxa"/>
            <w:tcBorders>
              <w:left w:val="single" w:sz="4" w:space="0" w:color="auto"/>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Nad 12 </w:t>
            </w:r>
          </w:p>
        </w:tc>
      </w:tr>
      <w:tr w:rsidR="004A6B55" w:rsidRPr="008828D3" w:rsidTr="00A44DFD">
        <w:trPr>
          <w:trHeight w:val="347"/>
        </w:trPr>
        <w:tc>
          <w:tcPr>
            <w:tcW w:w="1622" w:type="dxa"/>
            <w:vMerge/>
            <w:vAlign w:val="center"/>
          </w:tcPr>
          <w:p w:rsidR="004A6B55" w:rsidRPr="008828D3" w:rsidRDefault="004A6B55" w:rsidP="00110B70">
            <w:pPr>
              <w:jc w:val="right"/>
              <w:rPr>
                <w:rFonts w:cs="Arial"/>
                <w:color w:val="000000"/>
                <w:sz w:val="20"/>
                <w:szCs w:val="20"/>
              </w:rPr>
            </w:pPr>
          </w:p>
        </w:tc>
        <w:tc>
          <w:tcPr>
            <w:tcW w:w="1581" w:type="dxa"/>
            <w:tcBorders>
              <w:top w:val="single" w:sz="4" w:space="0" w:color="auto"/>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132 495</w:t>
            </w:r>
          </w:p>
        </w:tc>
        <w:tc>
          <w:tcPr>
            <w:tcW w:w="1384" w:type="dxa"/>
            <w:vAlign w:val="center"/>
          </w:tcPr>
          <w:p w:rsidR="004A6B55" w:rsidRPr="008828D3" w:rsidRDefault="004A6B55" w:rsidP="00110B70">
            <w:pPr>
              <w:jc w:val="center"/>
              <w:rPr>
                <w:rFonts w:cs="Arial"/>
                <w:sz w:val="20"/>
                <w:szCs w:val="20"/>
              </w:rPr>
            </w:pPr>
            <w:r w:rsidRPr="008828D3">
              <w:rPr>
                <w:rFonts w:cs="Arial"/>
                <w:sz w:val="20"/>
                <w:szCs w:val="20"/>
              </w:rPr>
              <w:t>53 940</w:t>
            </w:r>
          </w:p>
        </w:tc>
        <w:tc>
          <w:tcPr>
            <w:tcW w:w="1381" w:type="dxa"/>
            <w:vAlign w:val="center"/>
          </w:tcPr>
          <w:p w:rsidR="004A6B55" w:rsidRPr="008828D3" w:rsidRDefault="004A6B55" w:rsidP="00110B70">
            <w:pPr>
              <w:jc w:val="center"/>
              <w:rPr>
                <w:rFonts w:cs="Arial"/>
                <w:sz w:val="20"/>
                <w:szCs w:val="20"/>
              </w:rPr>
            </w:pPr>
            <w:r w:rsidRPr="008828D3">
              <w:rPr>
                <w:rFonts w:cs="Arial"/>
                <w:sz w:val="20"/>
                <w:szCs w:val="20"/>
              </w:rPr>
              <w:t>23 093</w:t>
            </w:r>
          </w:p>
        </w:tc>
        <w:tc>
          <w:tcPr>
            <w:tcW w:w="1581" w:type="dxa"/>
            <w:vAlign w:val="center"/>
          </w:tcPr>
          <w:p w:rsidR="004A6B55" w:rsidRPr="008828D3" w:rsidRDefault="004A6B55" w:rsidP="00110B70">
            <w:pPr>
              <w:jc w:val="center"/>
              <w:rPr>
                <w:rFonts w:cs="Arial"/>
                <w:sz w:val="20"/>
                <w:szCs w:val="20"/>
              </w:rPr>
            </w:pPr>
            <w:r w:rsidRPr="008828D3">
              <w:rPr>
                <w:rFonts w:cs="Arial"/>
                <w:sz w:val="20"/>
                <w:szCs w:val="20"/>
              </w:rPr>
              <w:t>29 421</w:t>
            </w:r>
          </w:p>
        </w:tc>
        <w:tc>
          <w:tcPr>
            <w:tcW w:w="1581" w:type="dxa"/>
            <w:vAlign w:val="center"/>
          </w:tcPr>
          <w:p w:rsidR="004A6B55" w:rsidRPr="008828D3" w:rsidRDefault="004A6B55" w:rsidP="00110B70">
            <w:pPr>
              <w:jc w:val="center"/>
              <w:rPr>
                <w:rFonts w:cs="Arial"/>
                <w:sz w:val="20"/>
                <w:szCs w:val="20"/>
              </w:rPr>
            </w:pPr>
            <w:r w:rsidRPr="008828D3">
              <w:rPr>
                <w:rFonts w:cs="Arial"/>
                <w:sz w:val="20"/>
                <w:szCs w:val="20"/>
              </w:rPr>
              <w:t>26 041</w:t>
            </w:r>
          </w:p>
        </w:tc>
      </w:tr>
      <w:tr w:rsidR="004A6B55" w:rsidRPr="008828D3" w:rsidTr="00A44DFD">
        <w:trPr>
          <w:trHeight w:val="347"/>
        </w:trPr>
        <w:tc>
          <w:tcPr>
            <w:tcW w:w="1622" w:type="dxa"/>
            <w:vAlign w:val="center"/>
          </w:tcPr>
          <w:p w:rsidR="004A6B55" w:rsidRPr="008828D3" w:rsidRDefault="004A6B55" w:rsidP="00110B70">
            <w:pPr>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tcPr>
          <w:p w:rsidR="004A6B55" w:rsidRPr="008828D3" w:rsidRDefault="004A6B55" w:rsidP="00110B70">
            <w:pPr>
              <w:jc w:val="center"/>
              <w:rPr>
                <w:rFonts w:cs="Arial"/>
                <w:sz w:val="20"/>
                <w:szCs w:val="20"/>
              </w:rPr>
            </w:pPr>
            <w:r w:rsidRPr="008828D3">
              <w:rPr>
                <w:rFonts w:cs="Arial"/>
                <w:sz w:val="20"/>
                <w:szCs w:val="20"/>
              </w:rPr>
              <w:t>100 %</w:t>
            </w:r>
          </w:p>
        </w:tc>
        <w:tc>
          <w:tcPr>
            <w:tcW w:w="1384" w:type="dxa"/>
            <w:vAlign w:val="center"/>
          </w:tcPr>
          <w:p w:rsidR="004A6B55" w:rsidRPr="008828D3" w:rsidRDefault="004A6B55" w:rsidP="00110B70">
            <w:pPr>
              <w:jc w:val="center"/>
              <w:rPr>
                <w:rFonts w:cs="Arial"/>
                <w:sz w:val="20"/>
                <w:szCs w:val="20"/>
              </w:rPr>
            </w:pPr>
            <w:r w:rsidRPr="008828D3">
              <w:rPr>
                <w:rFonts w:cs="Arial"/>
                <w:sz w:val="20"/>
                <w:szCs w:val="20"/>
              </w:rPr>
              <w:t>40,7 %</w:t>
            </w:r>
          </w:p>
        </w:tc>
        <w:tc>
          <w:tcPr>
            <w:tcW w:w="1381" w:type="dxa"/>
            <w:vAlign w:val="center"/>
          </w:tcPr>
          <w:p w:rsidR="004A6B55" w:rsidRPr="008828D3" w:rsidRDefault="004A6B55" w:rsidP="00110B70">
            <w:pPr>
              <w:jc w:val="center"/>
              <w:rPr>
                <w:rFonts w:cs="Arial"/>
                <w:sz w:val="20"/>
                <w:szCs w:val="20"/>
              </w:rPr>
            </w:pPr>
            <w:r w:rsidRPr="008828D3">
              <w:rPr>
                <w:rFonts w:cs="Arial"/>
                <w:sz w:val="20"/>
                <w:szCs w:val="20"/>
              </w:rPr>
              <w:t>17,4 %</w:t>
            </w:r>
          </w:p>
        </w:tc>
        <w:tc>
          <w:tcPr>
            <w:tcW w:w="1581" w:type="dxa"/>
            <w:vAlign w:val="center"/>
          </w:tcPr>
          <w:p w:rsidR="004A6B55" w:rsidRPr="008828D3" w:rsidRDefault="004A6B55" w:rsidP="00110B70">
            <w:pPr>
              <w:jc w:val="center"/>
              <w:rPr>
                <w:rFonts w:cs="Arial"/>
                <w:sz w:val="20"/>
                <w:szCs w:val="20"/>
              </w:rPr>
            </w:pPr>
            <w:r w:rsidRPr="008828D3">
              <w:rPr>
                <w:rFonts w:cs="Arial"/>
                <w:sz w:val="20"/>
                <w:szCs w:val="20"/>
              </w:rPr>
              <w:t>22,2 %</w:t>
            </w:r>
          </w:p>
        </w:tc>
        <w:tc>
          <w:tcPr>
            <w:tcW w:w="1581" w:type="dxa"/>
            <w:vAlign w:val="center"/>
          </w:tcPr>
          <w:p w:rsidR="004A6B55" w:rsidRPr="008828D3" w:rsidRDefault="004A6B55" w:rsidP="00110B70">
            <w:pPr>
              <w:jc w:val="center"/>
              <w:rPr>
                <w:rFonts w:cs="Arial"/>
                <w:sz w:val="20"/>
                <w:szCs w:val="20"/>
              </w:rPr>
            </w:pPr>
            <w:r w:rsidRPr="008828D3">
              <w:rPr>
                <w:rFonts w:cs="Arial"/>
                <w:sz w:val="20"/>
                <w:szCs w:val="20"/>
              </w:rPr>
              <w:t>19,7 %</w:t>
            </w:r>
          </w:p>
        </w:tc>
      </w:tr>
      <w:tr w:rsidR="004A6B55" w:rsidRPr="008828D3" w:rsidTr="00A44DFD">
        <w:trPr>
          <w:trHeight w:val="347"/>
        </w:trPr>
        <w:tc>
          <w:tcPr>
            <w:tcW w:w="9130" w:type="dxa"/>
            <w:gridSpan w:val="6"/>
            <w:vAlign w:val="bottom"/>
          </w:tcPr>
          <w:p w:rsidR="004A6B55" w:rsidRPr="008828D3" w:rsidRDefault="004A6B55" w:rsidP="00110B70">
            <w:pPr>
              <w:jc w:val="center"/>
              <w:rPr>
                <w:rFonts w:cs="Arial"/>
                <w:sz w:val="20"/>
                <w:szCs w:val="20"/>
              </w:rPr>
            </w:pPr>
            <w:r w:rsidRPr="008828D3">
              <w:rPr>
                <w:rFonts w:cs="Arial"/>
                <w:b/>
                <w:sz w:val="20"/>
                <w:szCs w:val="20"/>
              </w:rPr>
              <w:t>Neobsazenost volných pracovních míst k 3</w:t>
            </w:r>
            <w:r>
              <w:rPr>
                <w:rFonts w:cs="Arial"/>
                <w:b/>
                <w:sz w:val="20"/>
                <w:szCs w:val="20"/>
              </w:rPr>
              <w:t>0</w:t>
            </w:r>
            <w:r w:rsidRPr="008828D3">
              <w:rPr>
                <w:rFonts w:cs="Arial"/>
                <w:b/>
                <w:sz w:val="20"/>
                <w:szCs w:val="20"/>
              </w:rPr>
              <w:t xml:space="preserve">. </w:t>
            </w:r>
            <w:r>
              <w:rPr>
                <w:rFonts w:cs="Arial"/>
                <w:b/>
                <w:sz w:val="20"/>
                <w:szCs w:val="20"/>
              </w:rPr>
              <w:t>6</w:t>
            </w:r>
            <w:r w:rsidRPr="008828D3">
              <w:rPr>
                <w:rFonts w:cs="Arial"/>
                <w:b/>
                <w:sz w:val="20"/>
                <w:szCs w:val="20"/>
              </w:rPr>
              <w:t>. 200</w:t>
            </w:r>
            <w:r>
              <w:rPr>
                <w:rFonts w:cs="Arial"/>
                <w:b/>
                <w:sz w:val="20"/>
                <w:szCs w:val="20"/>
              </w:rPr>
              <w:t>8</w:t>
            </w:r>
          </w:p>
        </w:tc>
      </w:tr>
      <w:tr w:rsidR="004A6B55" w:rsidRPr="008828D3" w:rsidTr="00A44DFD">
        <w:trPr>
          <w:trHeight w:val="347"/>
        </w:trPr>
        <w:tc>
          <w:tcPr>
            <w:tcW w:w="1622" w:type="dxa"/>
            <w:vMerge w:val="restart"/>
            <w:vAlign w:val="center"/>
          </w:tcPr>
          <w:p w:rsidR="004A6B55" w:rsidRPr="008828D3" w:rsidRDefault="004A6B55" w:rsidP="00110B70">
            <w:pPr>
              <w:jc w:val="center"/>
              <w:rPr>
                <w:rFonts w:cs="Arial"/>
                <w:color w:val="000000"/>
                <w:sz w:val="20"/>
                <w:szCs w:val="20"/>
              </w:rPr>
            </w:pPr>
            <w:r w:rsidRPr="008828D3">
              <w:rPr>
                <w:rFonts w:cs="Arial"/>
                <w:color w:val="000000"/>
                <w:sz w:val="20"/>
                <w:szCs w:val="20"/>
              </w:rPr>
              <w:t>Počet pracovních míst</w:t>
            </w:r>
          </w:p>
        </w:tc>
        <w:tc>
          <w:tcPr>
            <w:tcW w:w="1581" w:type="dxa"/>
            <w:vMerge w:val="restart"/>
            <w:tcBorders>
              <w:right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celkem</w:t>
            </w:r>
          </w:p>
        </w:tc>
        <w:tc>
          <w:tcPr>
            <w:tcW w:w="5927" w:type="dxa"/>
            <w:gridSpan w:val="4"/>
            <w:tcBorders>
              <w:left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Neobsazeno (měsíců)</w:t>
            </w:r>
          </w:p>
        </w:tc>
      </w:tr>
      <w:tr w:rsidR="004A6B55" w:rsidRPr="008828D3" w:rsidTr="00A44DFD">
        <w:trPr>
          <w:trHeight w:val="347"/>
        </w:trPr>
        <w:tc>
          <w:tcPr>
            <w:tcW w:w="1622" w:type="dxa"/>
            <w:vMerge/>
            <w:vAlign w:val="center"/>
          </w:tcPr>
          <w:p w:rsidR="004A6B55" w:rsidRPr="008828D3" w:rsidRDefault="004A6B55" w:rsidP="00110B70">
            <w:pPr>
              <w:jc w:val="center"/>
              <w:rPr>
                <w:rFonts w:cs="Arial"/>
                <w:sz w:val="20"/>
                <w:szCs w:val="20"/>
              </w:rPr>
            </w:pPr>
          </w:p>
        </w:tc>
        <w:tc>
          <w:tcPr>
            <w:tcW w:w="1581" w:type="dxa"/>
            <w:vMerge/>
            <w:tcBorders>
              <w:bottom w:val="single" w:sz="4" w:space="0" w:color="auto"/>
              <w:right w:val="single" w:sz="4" w:space="0" w:color="auto"/>
            </w:tcBorders>
          </w:tcPr>
          <w:p w:rsidR="004A6B55" w:rsidRPr="008828D3" w:rsidRDefault="004A6B55" w:rsidP="00110B70">
            <w:pPr>
              <w:jc w:val="center"/>
              <w:rPr>
                <w:rFonts w:cs="Arial"/>
                <w:sz w:val="20"/>
                <w:szCs w:val="20"/>
              </w:rPr>
            </w:pPr>
          </w:p>
        </w:tc>
        <w:tc>
          <w:tcPr>
            <w:tcW w:w="1384" w:type="dxa"/>
            <w:tcBorders>
              <w:left w:val="single" w:sz="4" w:space="0" w:color="auto"/>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0-3 </w:t>
            </w:r>
          </w:p>
        </w:tc>
        <w:tc>
          <w:tcPr>
            <w:tcW w:w="13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3-6 </w:t>
            </w:r>
          </w:p>
        </w:tc>
        <w:tc>
          <w:tcPr>
            <w:tcW w:w="15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6-12 </w:t>
            </w:r>
          </w:p>
        </w:tc>
        <w:tc>
          <w:tcPr>
            <w:tcW w:w="1581" w:type="dxa"/>
            <w:tcBorders>
              <w:bottom w:val="single" w:sz="4" w:space="0" w:color="auto"/>
            </w:tcBorders>
            <w:vAlign w:val="center"/>
          </w:tcPr>
          <w:p w:rsidR="004A6B55" w:rsidRPr="008828D3" w:rsidRDefault="004A6B55" w:rsidP="00110B70">
            <w:pPr>
              <w:jc w:val="center"/>
              <w:rPr>
                <w:rFonts w:cs="Arial"/>
                <w:sz w:val="20"/>
                <w:szCs w:val="20"/>
              </w:rPr>
            </w:pPr>
            <w:r w:rsidRPr="008828D3">
              <w:rPr>
                <w:rFonts w:cs="Arial"/>
                <w:sz w:val="20"/>
                <w:szCs w:val="20"/>
              </w:rPr>
              <w:t xml:space="preserve">Nad 12 </w:t>
            </w:r>
          </w:p>
        </w:tc>
      </w:tr>
      <w:tr w:rsidR="00A44DFD" w:rsidRPr="008828D3" w:rsidTr="00A44DFD">
        <w:trPr>
          <w:trHeight w:val="347"/>
        </w:trPr>
        <w:tc>
          <w:tcPr>
            <w:tcW w:w="1622" w:type="dxa"/>
            <w:vMerge/>
            <w:vAlign w:val="center"/>
          </w:tcPr>
          <w:p w:rsidR="00A44DFD" w:rsidRPr="008828D3" w:rsidRDefault="00A44DFD" w:rsidP="00110B70">
            <w:pPr>
              <w:jc w:val="right"/>
              <w:rPr>
                <w:rFonts w:cs="Arial"/>
                <w:color w:val="000000"/>
                <w:sz w:val="20"/>
                <w:szCs w:val="20"/>
              </w:rPr>
            </w:pPr>
          </w:p>
        </w:tc>
        <w:tc>
          <w:tcPr>
            <w:tcW w:w="1581" w:type="dxa"/>
            <w:tcBorders>
              <w:top w:val="single" w:sz="4" w:space="0" w:color="auto"/>
              <w:bottom w:val="single" w:sz="4" w:space="0" w:color="auto"/>
            </w:tcBorders>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151 851</w:t>
            </w:r>
          </w:p>
        </w:tc>
        <w:tc>
          <w:tcPr>
            <w:tcW w:w="1384"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71 601</w:t>
            </w:r>
          </w:p>
        </w:tc>
        <w:tc>
          <w:tcPr>
            <w:tcW w:w="1381"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33 337</w:t>
            </w:r>
          </w:p>
        </w:tc>
        <w:tc>
          <w:tcPr>
            <w:tcW w:w="1581"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21 324</w:t>
            </w:r>
          </w:p>
        </w:tc>
        <w:tc>
          <w:tcPr>
            <w:tcW w:w="1581"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25 589</w:t>
            </w:r>
          </w:p>
        </w:tc>
      </w:tr>
      <w:tr w:rsidR="00A44DFD" w:rsidRPr="008828D3" w:rsidTr="00A44DFD">
        <w:trPr>
          <w:trHeight w:val="347"/>
        </w:trPr>
        <w:tc>
          <w:tcPr>
            <w:tcW w:w="1622" w:type="dxa"/>
            <w:vAlign w:val="center"/>
          </w:tcPr>
          <w:p w:rsidR="00A44DFD" w:rsidRPr="008828D3" w:rsidRDefault="00A44DFD" w:rsidP="00110B70">
            <w:pPr>
              <w:jc w:val="center"/>
              <w:rPr>
                <w:rFonts w:cs="Arial"/>
                <w:color w:val="000000"/>
                <w:sz w:val="20"/>
                <w:szCs w:val="20"/>
              </w:rPr>
            </w:pPr>
            <w:r w:rsidRPr="008828D3">
              <w:rPr>
                <w:rFonts w:cs="Arial"/>
                <w:color w:val="000000"/>
                <w:sz w:val="20"/>
                <w:szCs w:val="20"/>
              </w:rPr>
              <w:t>podíl</w:t>
            </w:r>
          </w:p>
        </w:tc>
        <w:tc>
          <w:tcPr>
            <w:tcW w:w="1581" w:type="dxa"/>
            <w:tcBorders>
              <w:top w:val="single" w:sz="4" w:space="0" w:color="auto"/>
            </w:tcBorders>
            <w:vAlign w:val="center"/>
          </w:tcPr>
          <w:p w:rsidR="00A44DFD" w:rsidRPr="00A44DFD" w:rsidRDefault="00A44DFD" w:rsidP="00110B70">
            <w:pPr>
              <w:jc w:val="center"/>
              <w:rPr>
                <w:rFonts w:cs="Arial"/>
                <w:sz w:val="20"/>
                <w:szCs w:val="20"/>
              </w:rPr>
            </w:pPr>
            <w:r w:rsidRPr="00A44DFD">
              <w:rPr>
                <w:rFonts w:cs="Arial"/>
                <w:sz w:val="20"/>
                <w:szCs w:val="20"/>
              </w:rPr>
              <w:t>100 %</w:t>
            </w:r>
          </w:p>
        </w:tc>
        <w:tc>
          <w:tcPr>
            <w:tcW w:w="1384"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47,2 %</w:t>
            </w:r>
          </w:p>
        </w:tc>
        <w:tc>
          <w:tcPr>
            <w:tcW w:w="1381"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22 %</w:t>
            </w:r>
          </w:p>
        </w:tc>
        <w:tc>
          <w:tcPr>
            <w:tcW w:w="1581"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14 %</w:t>
            </w:r>
          </w:p>
        </w:tc>
        <w:tc>
          <w:tcPr>
            <w:tcW w:w="1581" w:type="dxa"/>
            <w:vAlign w:val="center"/>
          </w:tcPr>
          <w:p w:rsidR="00A44DFD" w:rsidRPr="00A44DFD" w:rsidRDefault="00A44DFD" w:rsidP="00110B70">
            <w:pPr>
              <w:jc w:val="center"/>
              <w:rPr>
                <w:rFonts w:cs="Arial"/>
                <w:color w:val="000000"/>
                <w:sz w:val="20"/>
                <w:szCs w:val="20"/>
              </w:rPr>
            </w:pPr>
            <w:r w:rsidRPr="00A44DFD">
              <w:rPr>
                <w:rFonts w:cs="Arial"/>
                <w:color w:val="000000"/>
                <w:sz w:val="20"/>
                <w:szCs w:val="20"/>
              </w:rPr>
              <w:t>16,8 %</w:t>
            </w:r>
          </w:p>
        </w:tc>
      </w:tr>
    </w:tbl>
    <w:p w:rsidR="004A6B55" w:rsidRPr="00BD33F5" w:rsidRDefault="004A6B55" w:rsidP="00110B70">
      <w:pPr>
        <w:spacing w:line="240" w:lineRule="auto"/>
      </w:pPr>
    </w:p>
    <w:p w:rsidR="000B097A" w:rsidRDefault="00A44DFD" w:rsidP="00110B70">
      <w:pPr>
        <w:spacing w:line="240" w:lineRule="auto"/>
      </w:pPr>
      <w:r>
        <w:t>Předcházející tabulka ukazuje strukturu VPM podle doby neobsazenosti, včetně porovnání se stavem předcházející zprávy a stavem v červnu roku 2008, který byl charakteristický rovněž abnormálně pozitivní situací na trhu práce, tehdejší struktura byla podobná té stávající s mírně nižším podílem VPM neobsazených déle než 12 měsíců. Trend však byl obdobný.</w:t>
      </w:r>
    </w:p>
    <w:p w:rsidR="00A44DFD" w:rsidRDefault="008D1BB0" w:rsidP="00110B70">
      <w:pPr>
        <w:pStyle w:val="Nadpis3"/>
      </w:pPr>
      <w:bookmarkStart w:id="8" w:name="_Toc492555005"/>
      <w:bookmarkStart w:id="9" w:name="_Toc492628583"/>
      <w:bookmarkEnd w:id="8"/>
      <w:bookmarkEnd w:id="9"/>
      <w:r>
        <w:t xml:space="preserve"> </w:t>
      </w:r>
      <w:bookmarkStart w:id="10" w:name="_Toc492628584"/>
      <w:r>
        <w:t>Struktura VPM podle zaměstnání</w:t>
      </w:r>
      <w:bookmarkEnd w:id="10"/>
    </w:p>
    <w:p w:rsidR="008D1BB0" w:rsidRDefault="008D1BB0" w:rsidP="00110B70">
      <w:pPr>
        <w:spacing w:line="240" w:lineRule="auto"/>
      </w:pPr>
      <w:r>
        <w:t>Následující graf zobrazuje počet hlášených VPM a jejich strukturu podle doby neobsazenosti podle hlavních tříd zaměstnání dle klasifikace CZ-ISCO.</w:t>
      </w:r>
    </w:p>
    <w:p w:rsidR="008D1BB0" w:rsidRDefault="008D1BB0" w:rsidP="00110B70">
      <w:pPr>
        <w:spacing w:line="240" w:lineRule="auto"/>
      </w:pPr>
    </w:p>
    <w:p w:rsidR="008D1BB0" w:rsidRDefault="008D1BB0" w:rsidP="00110B70">
      <w:pPr>
        <w:pStyle w:val="Titulek"/>
        <w:keepNext/>
      </w:pPr>
      <w:bookmarkStart w:id="11" w:name="_Ref489605653"/>
      <w:bookmarkStart w:id="12" w:name="_Ref489876034"/>
      <w:bookmarkStart w:id="13" w:name="_Toc492555031"/>
      <w:r>
        <w:t xml:space="preserve">Graf č.: </w:t>
      </w:r>
      <w:fldSimple w:instr=" SEQ Graf_č.: \* ARABIC ">
        <w:r w:rsidR="00410665">
          <w:rPr>
            <w:noProof/>
          </w:rPr>
          <w:t>1</w:t>
        </w:r>
      </w:fldSimple>
      <w:bookmarkEnd w:id="11"/>
      <w:r>
        <w:t xml:space="preserve"> Počty a struktura VPM podle doby neobsazenosti podle hl. tříd zaměstnání k 30. 6. 2017</w:t>
      </w:r>
      <w:bookmarkEnd w:id="12"/>
      <w:bookmarkEnd w:id="13"/>
    </w:p>
    <w:p w:rsidR="008D1BB0" w:rsidRPr="008D1BB0" w:rsidRDefault="008D1BB0" w:rsidP="00110B70">
      <w:pPr>
        <w:spacing w:line="240" w:lineRule="auto"/>
      </w:pPr>
      <w:r>
        <w:rPr>
          <w:noProof/>
          <w:lang w:eastAsia="cs-CZ"/>
        </w:rPr>
        <w:drawing>
          <wp:inline distT="0" distB="0" distL="0" distR="0" wp14:anchorId="0A43793E" wp14:editId="598EFF23">
            <wp:extent cx="5762847" cy="2679405"/>
            <wp:effectExtent l="0" t="0" r="9525" b="2603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E06B8" w:rsidRDefault="002E06B8" w:rsidP="00110B70">
      <w:pPr>
        <w:spacing w:line="240" w:lineRule="auto"/>
      </w:pPr>
    </w:p>
    <w:p w:rsidR="009F7EA5" w:rsidRDefault="004C3100" w:rsidP="00110B70">
      <w:pPr>
        <w:spacing w:after="200" w:line="240" w:lineRule="auto"/>
      </w:pPr>
      <w:r w:rsidRPr="004C3100">
        <w:rPr>
          <w:b/>
        </w:rPr>
        <w:fldChar w:fldCharType="begin"/>
      </w:r>
      <w:r w:rsidRPr="004C3100">
        <w:rPr>
          <w:b/>
        </w:rPr>
        <w:instrText xml:space="preserve"> REF _Ref489605653 \h  \* MERGEFORMAT </w:instrText>
      </w:r>
      <w:r w:rsidRPr="004C3100">
        <w:rPr>
          <w:b/>
        </w:rPr>
      </w:r>
      <w:r w:rsidRPr="004C3100">
        <w:rPr>
          <w:b/>
        </w:rPr>
        <w:fldChar w:fldCharType="separate"/>
      </w:r>
      <w:r w:rsidR="00410665" w:rsidRPr="00975FB2">
        <w:rPr>
          <w:b/>
        </w:rPr>
        <w:t xml:space="preserve">Graf č.: </w:t>
      </w:r>
      <w:r w:rsidR="00410665" w:rsidRPr="00975FB2">
        <w:rPr>
          <w:b/>
          <w:noProof/>
        </w:rPr>
        <w:t>1</w:t>
      </w:r>
      <w:r w:rsidRPr="004C3100">
        <w:rPr>
          <w:b/>
        </w:rPr>
        <w:fldChar w:fldCharType="end"/>
      </w:r>
      <w:r w:rsidR="008D1BB0" w:rsidRPr="0062539E">
        <w:rPr>
          <w:b/>
        </w:rPr>
        <w:t xml:space="preserve"> </w:t>
      </w:r>
      <w:r w:rsidR="000E399D">
        <w:rPr>
          <w:b/>
        </w:rPr>
        <w:t>ukazuje</w:t>
      </w:r>
      <w:r w:rsidR="008D1BB0" w:rsidRPr="0062539E">
        <w:rPr>
          <w:b/>
        </w:rPr>
        <w:t>, ž</w:t>
      </w:r>
      <w:r w:rsidR="000E399D">
        <w:rPr>
          <w:b/>
        </w:rPr>
        <w:t>e</w:t>
      </w:r>
      <w:r w:rsidR="008D1BB0" w:rsidRPr="0062539E">
        <w:rPr>
          <w:b/>
        </w:rPr>
        <w:t xml:space="preserve"> nejvíce žádanou třídou zaměstnání v současné době jsou </w:t>
      </w:r>
      <w:r w:rsidR="008D1BB0" w:rsidRPr="0062539E">
        <w:rPr>
          <w:b/>
          <w:i/>
        </w:rPr>
        <w:t>Pomocní a nekvalifikovaní pracovníci</w:t>
      </w:r>
      <w:r w:rsidR="008D1BB0">
        <w:t xml:space="preserve"> (44 347 VPM) následovan</w:t>
      </w:r>
      <w:r w:rsidR="007753C2">
        <w:t>ou</w:t>
      </w:r>
      <w:r w:rsidR="008D1BB0">
        <w:t xml:space="preserve"> třídami </w:t>
      </w:r>
      <w:r w:rsidR="008D1BB0">
        <w:rPr>
          <w:i/>
        </w:rPr>
        <w:t>Obsluha strojů, zařízení a montéři</w:t>
      </w:r>
      <w:r w:rsidR="008D1BB0">
        <w:t xml:space="preserve"> (41 111 VPM) a </w:t>
      </w:r>
      <w:r w:rsidR="008D1BB0">
        <w:rPr>
          <w:i/>
        </w:rPr>
        <w:t>Řemeslníci a opraváři</w:t>
      </w:r>
      <w:r w:rsidR="008D1BB0">
        <w:t xml:space="preserve"> (37 655 VPM). Oproti konci roku 2016 došlo k významnému nárůstu počtu VPM u</w:t>
      </w:r>
      <w:r w:rsidR="00DC7345">
        <w:t> </w:t>
      </w:r>
      <w:r w:rsidR="008D1BB0">
        <w:t>pomocných pracovníků</w:t>
      </w:r>
      <w:r w:rsidR="004403D7">
        <w:t>. Ti</w:t>
      </w:r>
      <w:r w:rsidR="008D1BB0">
        <w:t xml:space="preserve"> se stali nejčastěji žádanou pracovní silou zejména v posledních měsících, což se projevuje výrazným nárůstem</w:t>
      </w:r>
      <w:r w:rsidR="009F7EA5">
        <w:t xml:space="preserve"> VPM neobsazených méně než 3</w:t>
      </w:r>
      <w:r w:rsidR="00F07B99">
        <w:t> </w:t>
      </w:r>
      <w:r w:rsidR="009F7EA5">
        <w:t xml:space="preserve">měsíce. </w:t>
      </w:r>
      <w:r w:rsidR="009F7EA5" w:rsidRPr="0062539E">
        <w:rPr>
          <w:b/>
        </w:rPr>
        <w:t xml:space="preserve">Nadále se </w:t>
      </w:r>
      <w:r w:rsidR="000E399D">
        <w:rPr>
          <w:b/>
        </w:rPr>
        <w:t>obtížněji</w:t>
      </w:r>
      <w:r w:rsidR="000E399D" w:rsidRPr="0062539E">
        <w:rPr>
          <w:b/>
        </w:rPr>
        <w:t xml:space="preserve"> </w:t>
      </w:r>
      <w:r w:rsidR="009F7EA5" w:rsidRPr="0062539E">
        <w:rPr>
          <w:b/>
        </w:rPr>
        <w:t xml:space="preserve">obsazují pozice v hl. třídě </w:t>
      </w:r>
      <w:r w:rsidR="009F7EA5" w:rsidRPr="0062539E">
        <w:rPr>
          <w:b/>
          <w:i/>
        </w:rPr>
        <w:t>Specialisté</w:t>
      </w:r>
      <w:r w:rsidR="009F7EA5" w:rsidRPr="0062539E">
        <w:rPr>
          <w:b/>
        </w:rPr>
        <w:t>,</w:t>
      </w:r>
      <w:r w:rsidR="009F7EA5">
        <w:t xml:space="preserve"> ve které v 1.</w:t>
      </w:r>
      <w:r w:rsidR="004403D7">
        <w:t> </w:t>
      </w:r>
      <w:r w:rsidR="009F7EA5">
        <w:t>polovině roku 2017 došlo k nárůstu dlouhodobě neobsazených pracovních míst z 23 % na 27 %.</w:t>
      </w:r>
      <w:r w:rsidR="004403D7">
        <w:t xml:space="preserve"> </w:t>
      </w:r>
      <w:r w:rsidR="009F7EA5">
        <w:t xml:space="preserve">O tom, že pozice specialistů a řemeslníků se na českém trhu práce obsazují hůře, svědčí i nárůst podílu těchto skupin mezi dlouhodobě neobsazeným VPM v porovnání s VPM hlášenými méně než 3 měsíce. Následující graf zobrazuje proměnu struktury VPM v závislosti na době </w:t>
      </w:r>
      <w:r w:rsidR="000E399D">
        <w:t xml:space="preserve">jejich </w:t>
      </w:r>
      <w:r w:rsidR="009F7EA5">
        <w:t xml:space="preserve">neobsazenosti. </w:t>
      </w:r>
    </w:p>
    <w:p w:rsidR="0062539E" w:rsidRDefault="0062539E" w:rsidP="00975FB2">
      <w:pPr>
        <w:pStyle w:val="Titulek"/>
        <w:keepNext/>
        <w:spacing w:after="120"/>
      </w:pPr>
      <w:bookmarkStart w:id="14" w:name="_Toc492555032"/>
      <w:r>
        <w:t xml:space="preserve">Graf č.: </w:t>
      </w:r>
      <w:fldSimple w:instr=" SEQ Graf_č.: \* ARABIC ">
        <w:r w:rsidR="00410665">
          <w:rPr>
            <w:noProof/>
          </w:rPr>
          <w:t>2</w:t>
        </w:r>
      </w:fldSimple>
      <w:r>
        <w:t xml:space="preserve"> Struktura VPM podle hl. tříd zaměstnání a doby neobsazenosti</w:t>
      </w:r>
      <w:bookmarkEnd w:id="14"/>
    </w:p>
    <w:p w:rsidR="008D1BB0" w:rsidRPr="008D1BB0" w:rsidRDefault="009F7EA5" w:rsidP="00110B70">
      <w:pPr>
        <w:spacing w:after="200" w:line="240" w:lineRule="auto"/>
      </w:pPr>
      <w:r>
        <w:rPr>
          <w:noProof/>
          <w:lang w:eastAsia="cs-CZ"/>
        </w:rPr>
        <w:drawing>
          <wp:inline distT="0" distB="0" distL="0" distR="0" wp14:anchorId="1503D9D5" wp14:editId="4FC881F1">
            <wp:extent cx="5762625" cy="2028825"/>
            <wp:effectExtent l="0" t="0" r="9525"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8D1BB0">
        <w:t xml:space="preserve"> </w:t>
      </w:r>
    </w:p>
    <w:p w:rsidR="0062539E" w:rsidRDefault="004403D7" w:rsidP="00110B70">
      <w:pPr>
        <w:spacing w:after="200" w:line="240" w:lineRule="auto"/>
        <w:rPr>
          <w:b/>
        </w:rPr>
      </w:pPr>
      <w:r>
        <w:t>Z</w:t>
      </w:r>
      <w:r w:rsidR="00B74B49">
        <w:t xml:space="preserve">e změny struktury hlášených VPM v závislosti na době jejich neobsazenosti je zřejmé, že </w:t>
      </w:r>
      <w:r w:rsidR="00B74B49" w:rsidRPr="0062539E">
        <w:rPr>
          <w:b/>
        </w:rPr>
        <w:t xml:space="preserve">v 1. pololetí 2017 došlo jednak ke zvýšení poptávky po méně kvalifikovaných zaměstnancích </w:t>
      </w:r>
      <w:r w:rsidR="00B74B49">
        <w:t xml:space="preserve">(nezanedbatelný vliv lze přiřknout kromě pokračujícího ekonomického růstu i sezónním pracím) </w:t>
      </w:r>
      <w:r w:rsidR="00B74B49" w:rsidRPr="0062539E">
        <w:rPr>
          <w:b/>
        </w:rPr>
        <w:t>a jednak setrvává problém s obsazením pozic specialistů a řemeslníků.</w:t>
      </w:r>
      <w:r w:rsidR="0062539E">
        <w:rPr>
          <w:b/>
        </w:rPr>
        <w:t xml:space="preserve"> </w:t>
      </w:r>
    </w:p>
    <w:p w:rsidR="0062539E" w:rsidRDefault="0062539E" w:rsidP="00110B70">
      <w:pPr>
        <w:pStyle w:val="Nadpis3"/>
      </w:pPr>
      <w:r>
        <w:t xml:space="preserve"> </w:t>
      </w:r>
      <w:bookmarkStart w:id="15" w:name="_Toc492628585"/>
      <w:r>
        <w:t>Struktura VPM podle vzdělání</w:t>
      </w:r>
      <w:bookmarkEnd w:id="15"/>
    </w:p>
    <w:p w:rsidR="000A241E" w:rsidRDefault="0062539E" w:rsidP="00110B70">
      <w:pPr>
        <w:spacing w:line="240" w:lineRule="auto"/>
      </w:pPr>
      <w:r>
        <w:t>Trend naznačený v předcházející kapitole, tj. zvýšen</w:t>
      </w:r>
      <w:r w:rsidR="004403D7">
        <w:t>á</w:t>
      </w:r>
      <w:r>
        <w:t xml:space="preserve"> poptávk</w:t>
      </w:r>
      <w:r w:rsidR="004403D7">
        <w:t>a</w:t>
      </w:r>
      <w:r>
        <w:t xml:space="preserve"> po pomocných pracovnících a obtížné obsazování pracovních pozic s požadavkem na vyšší kval</w:t>
      </w:r>
      <w:r w:rsidR="004C3100">
        <w:t>ifikaci</w:t>
      </w:r>
      <w:r w:rsidR="004403D7">
        <w:t>,</w:t>
      </w:r>
      <w:r w:rsidR="004C3100">
        <w:t xml:space="preserve"> dokládá rovněž </w:t>
      </w:r>
      <w:r w:rsidR="004C3100">
        <w:fldChar w:fldCharType="begin"/>
      </w:r>
      <w:r w:rsidR="004C3100">
        <w:instrText xml:space="preserve"> REF _Ref489605615 \h </w:instrText>
      </w:r>
      <w:r w:rsidR="0053604C">
        <w:instrText xml:space="preserve"> \* MERGEFORMAT </w:instrText>
      </w:r>
      <w:r w:rsidR="004C3100">
        <w:fldChar w:fldCharType="separate"/>
      </w:r>
      <w:r w:rsidR="00410665">
        <w:t xml:space="preserve">Graf č.: </w:t>
      </w:r>
      <w:r w:rsidR="00410665">
        <w:rPr>
          <w:noProof/>
        </w:rPr>
        <w:t>3</w:t>
      </w:r>
      <w:r w:rsidR="004C3100">
        <w:fldChar w:fldCharType="end"/>
      </w:r>
      <w:r w:rsidR="004C3100">
        <w:t>.</w:t>
      </w:r>
      <w:r w:rsidR="00BF42AF">
        <w:t xml:space="preserve"> </w:t>
      </w:r>
    </w:p>
    <w:p w:rsidR="000A241E" w:rsidRDefault="000A241E" w:rsidP="00110B70">
      <w:pPr>
        <w:spacing w:line="240" w:lineRule="auto"/>
      </w:pPr>
    </w:p>
    <w:p w:rsidR="0062539E" w:rsidRDefault="0062539E" w:rsidP="00110B70">
      <w:pPr>
        <w:pStyle w:val="Titulek"/>
        <w:keepNext/>
      </w:pPr>
      <w:bookmarkStart w:id="16" w:name="_Ref489605615"/>
      <w:bookmarkStart w:id="17" w:name="_Toc492555033"/>
      <w:r>
        <w:t xml:space="preserve">Graf č.: </w:t>
      </w:r>
      <w:fldSimple w:instr=" SEQ Graf_č.: \* ARABIC ">
        <w:r w:rsidR="00410665">
          <w:rPr>
            <w:noProof/>
          </w:rPr>
          <w:t>3</w:t>
        </w:r>
      </w:fldSimple>
      <w:bookmarkEnd w:id="16"/>
      <w:r>
        <w:t xml:space="preserve"> Struktura a počty VPM podle požadovaného vzdělání k 30. 6. 2017</w:t>
      </w:r>
      <w:bookmarkEnd w:id="17"/>
    </w:p>
    <w:p w:rsidR="0062539E" w:rsidRPr="0062539E" w:rsidRDefault="004403D7" w:rsidP="00110B70">
      <w:pPr>
        <w:spacing w:line="240" w:lineRule="auto"/>
      </w:pPr>
      <w:r>
        <w:rPr>
          <w:noProof/>
          <w:lang w:eastAsia="cs-CZ"/>
        </w:rPr>
        <w:drawing>
          <wp:inline distT="0" distB="0" distL="0" distR="0" wp14:anchorId="3E34D275" wp14:editId="0B7A9797">
            <wp:extent cx="5760720" cy="3315201"/>
            <wp:effectExtent l="0" t="0" r="11430" b="1905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539E" w:rsidRDefault="0062539E" w:rsidP="00110B70">
      <w:pPr>
        <w:spacing w:after="200" w:line="240" w:lineRule="auto"/>
      </w:pPr>
    </w:p>
    <w:p w:rsidR="000A241E" w:rsidRDefault="000A241E" w:rsidP="00110B70">
      <w:pPr>
        <w:spacing w:line="240" w:lineRule="auto"/>
      </w:pPr>
      <w:r w:rsidRPr="003F58F1">
        <w:rPr>
          <w:b/>
        </w:rPr>
        <w:t>Oproti závěru roku 2016 došlo k významnému nárůstu absolutního počtu VPM s požadavkem na základní vzdělání</w:t>
      </w:r>
      <w:r w:rsidR="00F324D9">
        <w:rPr>
          <w:b/>
        </w:rPr>
        <w:t>,</w:t>
      </w:r>
      <w:r w:rsidRPr="000A241E">
        <w:t xml:space="preserve"> </w:t>
      </w:r>
      <w:r w:rsidRPr="003F58F1">
        <w:rPr>
          <w:b/>
        </w:rPr>
        <w:t>a to o více jak 30 tisíc (o 52,6 %)</w:t>
      </w:r>
      <w:r w:rsidR="00D234CB">
        <w:rPr>
          <w:b/>
        </w:rPr>
        <w:t>,</w:t>
      </w:r>
      <w:r w:rsidRPr="003F58F1">
        <w:rPr>
          <w:b/>
        </w:rPr>
        <w:t xml:space="preserve"> a podíl této skupiny VPM na celkovém počtu hlášených VPM stoupl o 4,4 p. b. na hodnotu 47,8 %.</w:t>
      </w:r>
      <w:r w:rsidRPr="000A241E">
        <w:t xml:space="preserve"> </w:t>
      </w:r>
      <w:r w:rsidR="00854CDF">
        <w:t xml:space="preserve">Změnu struktury hlášených VPM mezi 31. 12. 2016 a 30. 6. 2017 zobrazuje </w:t>
      </w:r>
      <w:r w:rsidR="00854CDF">
        <w:fldChar w:fldCharType="begin"/>
      </w:r>
      <w:r w:rsidR="00854CDF">
        <w:instrText xml:space="preserve"> REF _Ref489614634 \h </w:instrText>
      </w:r>
      <w:r w:rsidR="0053604C">
        <w:instrText xml:space="preserve"> \* MERGEFORMAT </w:instrText>
      </w:r>
      <w:r w:rsidR="00854CDF">
        <w:fldChar w:fldCharType="separate"/>
      </w:r>
      <w:r w:rsidR="00410665">
        <w:t xml:space="preserve">Graf č.: </w:t>
      </w:r>
      <w:r w:rsidR="00410665">
        <w:rPr>
          <w:noProof/>
        </w:rPr>
        <w:t>4</w:t>
      </w:r>
      <w:r w:rsidR="00854CDF">
        <w:fldChar w:fldCharType="end"/>
      </w:r>
      <w:r w:rsidR="00854CDF">
        <w:t xml:space="preserve">. </w:t>
      </w:r>
      <w:r w:rsidRPr="000A241E">
        <w:t>Podíl dlouhodobě neobsazených pracov</w:t>
      </w:r>
      <w:r>
        <w:t>ních míst díky tomuto nárůstu v </w:t>
      </w:r>
      <w:r w:rsidRPr="000A241E">
        <w:t>posledních měsících zůstal pod celkovým průměrem (18,2 %)</w:t>
      </w:r>
      <w:r w:rsidR="00D234CB">
        <w:t>.</w:t>
      </w:r>
      <w:r w:rsidR="003F58F1">
        <w:t xml:space="preserve"> </w:t>
      </w:r>
      <w:r w:rsidR="00D234CB">
        <w:t>S</w:t>
      </w:r>
      <w:r w:rsidR="003F58F1">
        <w:t xml:space="preserve"> ohledem na skutečnost, že ale na jedno VPM v této kategorii připadá v současné době 0,95 UoZ lze </w:t>
      </w:r>
      <w:r w:rsidR="00D234CB">
        <w:t xml:space="preserve">však </w:t>
      </w:r>
      <w:r w:rsidR="003F58F1">
        <w:t xml:space="preserve">očekávat nárůst dlouhodobě neobsazených VPM. </w:t>
      </w:r>
      <w:r w:rsidR="00D234CB">
        <w:t xml:space="preserve">Vzhledem k nízkým požadavkům </w:t>
      </w:r>
      <w:r w:rsidR="003F58F1">
        <w:t xml:space="preserve">na kvalifikaci u VPM </w:t>
      </w:r>
      <w:r w:rsidR="00D234CB">
        <w:t>vyžadujícím</w:t>
      </w:r>
      <w:r w:rsidR="003F58F1">
        <w:t xml:space="preserve"> ZŠ, lze však tuto zvýšenou poptávku saturovat i z ne</w:t>
      </w:r>
      <w:r w:rsidR="00DD51F7">
        <w:t>j</w:t>
      </w:r>
      <w:r w:rsidR="003F58F1">
        <w:t>početnější skupiny UoZ, tj. osob</w:t>
      </w:r>
      <w:r w:rsidR="00D234CB">
        <w:t>ami</w:t>
      </w:r>
      <w:r w:rsidR="003F58F1">
        <w:t xml:space="preserve"> se středním vzděláním s vyučením. V této kategorii připadá na jedno VPM 2,23 UoZ.</w:t>
      </w:r>
    </w:p>
    <w:p w:rsidR="00F638C8" w:rsidRDefault="00F638C8" w:rsidP="00110B70">
      <w:pPr>
        <w:spacing w:before="120" w:line="240" w:lineRule="auto"/>
      </w:pPr>
      <w:r w:rsidRPr="003F58F1">
        <w:rPr>
          <w:b/>
        </w:rPr>
        <w:t xml:space="preserve">Druhou nejčastěji poptávanou skupinou </w:t>
      </w:r>
      <w:r w:rsidR="00182148" w:rsidRPr="003F58F1">
        <w:rPr>
          <w:b/>
        </w:rPr>
        <w:t>VPM jsou pracovní pozice s požadavkem na střední odborné vzdělání s vyučením (45 564 VPM)</w:t>
      </w:r>
      <w:r w:rsidR="00D234CB">
        <w:t>.</w:t>
      </w:r>
      <w:r w:rsidR="00182148">
        <w:t xml:space="preserve"> </w:t>
      </w:r>
      <w:r w:rsidR="00D234CB">
        <w:t>J</w:t>
      </w:r>
      <w:r w:rsidR="00182148">
        <w:t>ejich nárůst oproti konci roku nebyl však tak značný a došlo k poklesu jejich podílu na hlášených VPM o 3,6 p. b.,</w:t>
      </w:r>
      <w:r w:rsidR="003F58F1">
        <w:t xml:space="preserve"> tj na hladinu 24,8 %.</w:t>
      </w:r>
      <w:r w:rsidR="00182148">
        <w:t xml:space="preserve"> </w:t>
      </w:r>
      <w:r w:rsidR="003F58F1">
        <w:t>V</w:t>
      </w:r>
      <w:r w:rsidR="00182148">
        <w:t>ýznamněji se proto ani nezměnila vnitřní struktura podle doby neobsazenosti s výjimkou přesunu některých pozic z doby neobsazení v intervalu 3-6 měsíců do intervalu 6-12 měsíců. V následujícím období lze proto očekávat zvýšení podílu dlouhodobě neobsazených VPM.</w:t>
      </w:r>
    </w:p>
    <w:p w:rsidR="00854CDF" w:rsidRDefault="00854CDF" w:rsidP="00110B70">
      <w:pPr>
        <w:spacing w:before="120" w:line="240" w:lineRule="auto"/>
      </w:pPr>
      <w:r>
        <w:rPr>
          <w:noProof/>
          <w:lang w:eastAsia="cs-CZ"/>
        </w:rPr>
        <mc:AlternateContent>
          <mc:Choice Requires="wps">
            <w:drawing>
              <wp:anchor distT="0" distB="0" distL="114300" distR="114300" simplePos="0" relativeHeight="251663360" behindDoc="0" locked="0" layoutInCell="1" allowOverlap="1" wp14:anchorId="2EDE8D7B" wp14:editId="2AE67E74">
                <wp:simplePos x="0" y="0"/>
                <wp:positionH relativeFrom="column">
                  <wp:posOffset>-27925</wp:posOffset>
                </wp:positionH>
                <wp:positionV relativeFrom="paragraph">
                  <wp:posOffset>182924</wp:posOffset>
                </wp:positionV>
                <wp:extent cx="5781173" cy="148590"/>
                <wp:effectExtent l="0" t="0" r="0" b="3810"/>
                <wp:wrapNone/>
                <wp:docPr id="12" name="Textové pole 12"/>
                <wp:cNvGraphicFramePr/>
                <a:graphic xmlns:a="http://schemas.openxmlformats.org/drawingml/2006/main">
                  <a:graphicData uri="http://schemas.microsoft.com/office/word/2010/wordprocessingShape">
                    <wps:wsp>
                      <wps:cNvSpPr txBox="1"/>
                      <wps:spPr>
                        <a:xfrm>
                          <a:off x="0" y="0"/>
                          <a:ext cx="5781173" cy="148590"/>
                        </a:xfrm>
                        <a:prstGeom prst="rect">
                          <a:avLst/>
                        </a:prstGeom>
                        <a:solidFill>
                          <a:prstClr val="white"/>
                        </a:solidFill>
                        <a:ln>
                          <a:noFill/>
                        </a:ln>
                        <a:effectLst/>
                      </wps:spPr>
                      <wps:txbx>
                        <w:txbxContent>
                          <w:p w:rsidR="00B235F1" w:rsidRPr="00217DD9" w:rsidRDefault="00B235F1" w:rsidP="00854CDF">
                            <w:pPr>
                              <w:pStyle w:val="Titulek"/>
                              <w:rPr>
                                <w:noProof/>
                                <w:sz w:val="24"/>
                              </w:rPr>
                            </w:pPr>
                            <w:bookmarkStart w:id="18" w:name="_Ref489614634"/>
                            <w:bookmarkStart w:id="19" w:name="_Ref489972508"/>
                            <w:bookmarkStart w:id="20" w:name="_Toc492555034"/>
                            <w:r>
                              <w:t xml:space="preserve">Graf č.: </w:t>
                            </w:r>
                            <w:fldSimple w:instr=" SEQ Graf_č.: \* ARABIC ">
                              <w:r>
                                <w:rPr>
                                  <w:noProof/>
                                </w:rPr>
                                <w:t>4</w:t>
                              </w:r>
                            </w:fldSimple>
                            <w:bookmarkEnd w:id="18"/>
                            <w:r>
                              <w:t xml:space="preserve"> Podíly VPM podle vzdělání</w:t>
                            </w:r>
                            <w:bookmarkEnd w:id="19"/>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2" o:spid="_x0000_s1026" type="#_x0000_t202" style="position:absolute;left:0;text-align:left;margin-left:-2.2pt;margin-top:14.4pt;width:455.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" stroked="f">
                <v:textbox inset="0,0,0,0">
                  <w:txbxContent>
                    <w:p w:rsidR="00B235F1" w:rsidRPr="00217DD9" w:rsidRDefault="00B235F1" w:rsidP="00854CDF">
                      <w:pPr>
                        <w:pStyle w:val="Titulek"/>
                        <w:rPr>
                          <w:noProof/>
                          <w:sz w:val="24"/>
                        </w:rPr>
                      </w:pPr>
                      <w:bookmarkStart w:id="20" w:name="_Ref489614634"/>
                      <w:bookmarkStart w:id="21" w:name="_Ref489972508"/>
                      <w:bookmarkStart w:id="22" w:name="_Toc492555034"/>
                      <w:r>
                        <w:t xml:space="preserve">Graf č.: </w:t>
                      </w:r>
                      <w:fldSimple w:instr=" SEQ Graf_č.: \* ARABIC ">
                        <w:r>
                          <w:rPr>
                            <w:noProof/>
                          </w:rPr>
                          <w:t>4</w:t>
                        </w:r>
                      </w:fldSimple>
                      <w:bookmarkEnd w:id="20"/>
                      <w:r>
                        <w:t xml:space="preserve"> Podíly VPM podle vzdělání</w:t>
                      </w:r>
                      <w:bookmarkEnd w:id="21"/>
                      <w:bookmarkEnd w:id="22"/>
                    </w:p>
                  </w:txbxContent>
                </v:textbox>
              </v:shape>
            </w:pict>
          </mc:Fallback>
        </mc:AlternateContent>
      </w:r>
    </w:p>
    <w:p w:rsidR="00854CDF" w:rsidRPr="000A241E" w:rsidRDefault="00854CDF" w:rsidP="00110B70">
      <w:pPr>
        <w:spacing w:before="120" w:line="240" w:lineRule="auto"/>
      </w:pPr>
      <w:r>
        <w:rPr>
          <w:noProof/>
          <w:lang w:eastAsia="cs-CZ"/>
        </w:rPr>
        <mc:AlternateContent>
          <mc:Choice Requires="wpg">
            <w:drawing>
              <wp:anchor distT="0" distB="0" distL="114300" distR="114300" simplePos="0" relativeHeight="251661312" behindDoc="0" locked="0" layoutInCell="1" allowOverlap="1" wp14:anchorId="678DE8A7" wp14:editId="4A233791">
                <wp:simplePos x="0" y="0"/>
                <wp:positionH relativeFrom="column">
                  <wp:posOffset>-27925</wp:posOffset>
                </wp:positionH>
                <wp:positionV relativeFrom="paragraph">
                  <wp:posOffset>53650</wp:posOffset>
                </wp:positionV>
                <wp:extent cx="5781498" cy="2981325"/>
                <wp:effectExtent l="0" t="0" r="0" b="0"/>
                <wp:wrapNone/>
                <wp:docPr id="9" name="Skupina 3"/>
                <wp:cNvGraphicFramePr/>
                <a:graphic xmlns:a="http://schemas.openxmlformats.org/drawingml/2006/main">
                  <a:graphicData uri="http://schemas.microsoft.com/office/word/2010/wordprocessingGroup">
                    <wpg:wgp>
                      <wpg:cNvGrpSpPr/>
                      <wpg:grpSpPr>
                        <a:xfrm>
                          <a:off x="0" y="0"/>
                          <a:ext cx="5781498" cy="2981325"/>
                          <a:chOff x="0" y="0"/>
                          <a:chExt cx="6052670" cy="2981325"/>
                        </a:xfrm>
                      </wpg:grpSpPr>
                      <wpg:graphicFrame>
                        <wpg:cNvPr id="10" name="Graf 10"/>
                        <wpg:cNvFrPr/>
                        <wpg:xfrm>
                          <a:off x="2433170" y="9525"/>
                          <a:ext cx="3619500" cy="2971800"/>
                        </wpg:xfrm>
                        <a:graphic>
                          <a:graphicData uri="http://schemas.openxmlformats.org/drawingml/2006/chart">
                            <c:chart xmlns:c="http://schemas.openxmlformats.org/drawingml/2006/chart" xmlns:r="http://schemas.openxmlformats.org/officeDocument/2006/relationships" r:id="rId21"/>
                          </a:graphicData>
                        </a:graphic>
                      </wpg:graphicFrame>
                      <wpg:graphicFrame>
                        <wpg:cNvPr id="11" name="Graf 11"/>
                        <wpg:cNvFrPr>
                          <a:graphicFrameLocks/>
                        </wpg:cNvFrPr>
                        <wpg:xfrm>
                          <a:off x="0" y="0"/>
                          <a:ext cx="2404594" cy="2971800"/>
                        </wpg:xfrm>
                        <a:graphic>
                          <a:graphicData uri="http://schemas.openxmlformats.org/drawingml/2006/chart">
                            <c:chart xmlns:c="http://schemas.openxmlformats.org/drawingml/2006/chart" xmlns:r="http://schemas.openxmlformats.org/officeDocument/2006/relationships" r:id="rId22"/>
                          </a:graphicData>
                        </a:graphic>
                      </wpg:graphicFrame>
                    </wpg:wgp>
                  </a:graphicData>
                </a:graphic>
                <wp14:sizeRelH relativeFrom="margin">
                  <wp14:pctWidth>0</wp14:pctWidth>
                </wp14:sizeRelH>
                <wp14:sizeRelV relativeFrom="margin">
                  <wp14:pctHeight>0</wp14:pctHeight>
                </wp14:sizeRelV>
              </wp:anchor>
            </w:drawing>
          </mc:Choice>
          <mc:Fallback>
            <w:pict>
              <v:group id="Skupina 3" o:spid="_x0000_s1026" style="position:absolute;margin-left:-2.2pt;margin-top:4.2pt;width:455.25pt;height:234.75pt;z-index:251661312;mso-width-relative:margin;mso-height-relative:margin" coordsize="60526,29813"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10" o:spid="_x0000_s1027" type="#_x0000_t75" style="position:absolute;left:24315;top:121;width:36185;height:29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">
                  <v:imagedata r:id="rId23" o:title=""/>
                  <o:lock v:ext="edit" aspectratio="f"/>
                </v:shape>
                <v:shape id="Graf 11" o:spid="_x0000_s1028" type="#_x0000_t75" style="position:absolute;width:24059;height:2968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">
                  <v:imagedata r:id="rId24" o:title=""/>
                  <o:lock v:ext="edit" aspectratio="f"/>
                </v:shape>
              </v:group>
            </w:pict>
          </mc:Fallback>
        </mc:AlternateContent>
      </w:r>
    </w:p>
    <w:p w:rsidR="0062539E" w:rsidRDefault="0062539E" w:rsidP="00110B70">
      <w:pPr>
        <w:spacing w:after="200" w:line="240" w:lineRule="auto"/>
      </w:pPr>
    </w:p>
    <w:p w:rsidR="00F638C8" w:rsidRDefault="00F638C8"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854CDF" w:rsidRDefault="00854CDF" w:rsidP="00110B70">
      <w:pPr>
        <w:spacing w:after="200" w:line="240" w:lineRule="auto"/>
      </w:pPr>
    </w:p>
    <w:p w:rsidR="000D449A" w:rsidRPr="000D449A" w:rsidRDefault="000E399D" w:rsidP="00110B70">
      <w:pPr>
        <w:spacing w:after="200" w:line="240" w:lineRule="auto"/>
      </w:pPr>
      <w:r>
        <w:rPr>
          <w:b/>
        </w:rPr>
        <w:t>U</w:t>
      </w:r>
      <w:r w:rsidR="000D449A" w:rsidRPr="000D449A">
        <w:rPr>
          <w:b/>
        </w:rPr>
        <w:t xml:space="preserve"> VPM s požadavkem na vyšší kvalifikaci došlo k nárůstu podílu dlouhodobě neobsazených VPM</w:t>
      </w:r>
      <w:r w:rsidR="000D449A" w:rsidRPr="000D449A">
        <w:t>, což, jak uvedeno již výše, nasvědčuje problémům s obsazováním pracovních míst s vyšším požadavkem na kvalifikaci.</w:t>
      </w:r>
      <w:r w:rsidR="007753C2">
        <w:t xml:space="preserve"> V dlouhodobější perspektivě obecně platí, že podíl VPM s požadavkem na vyšší kvalifikaci stoupá s dobou neobsazenosti, jak ukazuje </w:t>
      </w:r>
      <w:r w:rsidR="007753C2">
        <w:fldChar w:fldCharType="begin"/>
      </w:r>
      <w:r w:rsidR="007753C2">
        <w:instrText xml:space="preserve"> REF _Ref489620409 \h </w:instrText>
      </w:r>
      <w:r w:rsidR="00110B70">
        <w:instrText xml:space="preserve"> \* MERGEFORMAT </w:instrText>
      </w:r>
      <w:r w:rsidR="007753C2">
        <w:fldChar w:fldCharType="separate"/>
      </w:r>
      <w:r w:rsidR="00410665">
        <w:t xml:space="preserve">Graf č.: </w:t>
      </w:r>
      <w:r w:rsidR="00410665">
        <w:rPr>
          <w:noProof/>
        </w:rPr>
        <w:t>5</w:t>
      </w:r>
      <w:r w:rsidR="007753C2">
        <w:fldChar w:fldCharType="end"/>
      </w:r>
      <w:r w:rsidR="007753C2">
        <w:t xml:space="preserve"> a </w:t>
      </w:r>
      <w:r w:rsidR="007753C2">
        <w:fldChar w:fldCharType="begin"/>
      </w:r>
      <w:r w:rsidR="007753C2">
        <w:instrText xml:space="preserve"> REF _Ref489620421 \h </w:instrText>
      </w:r>
      <w:r w:rsidR="00110B70">
        <w:instrText xml:space="preserve"> \* MERGEFORMAT </w:instrText>
      </w:r>
      <w:r w:rsidR="007753C2">
        <w:fldChar w:fldCharType="separate"/>
      </w:r>
      <w:r w:rsidR="00410665">
        <w:t xml:space="preserve">Graf č.: </w:t>
      </w:r>
      <w:r w:rsidR="00410665">
        <w:rPr>
          <w:noProof/>
        </w:rPr>
        <w:t>6</w:t>
      </w:r>
      <w:r w:rsidR="007753C2">
        <w:fldChar w:fldCharType="end"/>
      </w:r>
      <w:r w:rsidR="007753C2">
        <w:t xml:space="preserve">. </w:t>
      </w:r>
      <w:r w:rsidR="000D449A" w:rsidRPr="000D449A">
        <w:t xml:space="preserve"> Při tom tato skupina v ukazateli počet UoZ/VPM vykazuje vyšší hodnoty než je celkový průměr, a to konkrétně 2,7 oproti průměrnému 1,6. Tento jev poukazuje na fakt, že v případě VŠ vzdělání se ne vždy shodují požadavky zaměstnavatelů s kvalifikační nabídkou vysokoškolsky vzdělaných UoZ, popřípadě s jejich požadavky na zaměstnání.</w:t>
      </w:r>
    </w:p>
    <w:p w:rsidR="007753C2" w:rsidRDefault="007753C2" w:rsidP="00110B70">
      <w:pPr>
        <w:pStyle w:val="Titulek"/>
        <w:keepNext/>
      </w:pPr>
      <w:bookmarkStart w:id="21" w:name="_Ref489620409"/>
      <w:bookmarkStart w:id="22" w:name="_Toc492555035"/>
      <w:r>
        <w:t xml:space="preserve">Graf č.: </w:t>
      </w:r>
      <w:fldSimple w:instr=" SEQ Graf_č.: \* ARABIC ">
        <w:r w:rsidR="00410665">
          <w:rPr>
            <w:noProof/>
          </w:rPr>
          <w:t>5</w:t>
        </w:r>
      </w:fldSimple>
      <w:bookmarkEnd w:id="21"/>
      <w:r>
        <w:t xml:space="preserve"> Podíly VPM podle vzdělání a doby neobsazenosti k 30. 6. 2017</w:t>
      </w:r>
      <w:bookmarkEnd w:id="22"/>
    </w:p>
    <w:p w:rsidR="000D449A" w:rsidRDefault="000D449A" w:rsidP="00110B70">
      <w:pPr>
        <w:spacing w:after="200" w:line="240" w:lineRule="auto"/>
      </w:pPr>
      <w:r>
        <w:rPr>
          <w:noProof/>
          <w:lang w:eastAsia="cs-CZ"/>
        </w:rPr>
        <w:drawing>
          <wp:inline distT="0" distB="0" distL="0" distR="0" wp14:anchorId="73469331" wp14:editId="7589A1EE">
            <wp:extent cx="5760720" cy="2363451"/>
            <wp:effectExtent l="0" t="0" r="11430" b="1841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753C2" w:rsidRDefault="007753C2" w:rsidP="00110B70">
      <w:pPr>
        <w:pStyle w:val="Titulek"/>
        <w:keepNext/>
      </w:pPr>
      <w:bookmarkStart w:id="23" w:name="_Ref489620421"/>
      <w:bookmarkStart w:id="24" w:name="_Toc492555036"/>
      <w:r>
        <w:t xml:space="preserve">Graf č.: </w:t>
      </w:r>
      <w:fldSimple w:instr=" SEQ Graf_č.: \* ARABIC ">
        <w:r w:rsidR="00410665">
          <w:rPr>
            <w:noProof/>
          </w:rPr>
          <w:t>6</w:t>
        </w:r>
      </w:fldSimple>
      <w:bookmarkEnd w:id="23"/>
      <w:r>
        <w:t xml:space="preserve"> Podíly VPM podle vzdělání a doby neobsazenosti k 31. 12. 2016</w:t>
      </w:r>
      <w:bookmarkEnd w:id="24"/>
    </w:p>
    <w:p w:rsidR="000D449A" w:rsidRDefault="000D449A" w:rsidP="00110B70">
      <w:pPr>
        <w:spacing w:after="200" w:line="240" w:lineRule="auto"/>
      </w:pPr>
      <w:r>
        <w:rPr>
          <w:noProof/>
          <w:lang w:eastAsia="cs-CZ"/>
        </w:rPr>
        <w:drawing>
          <wp:inline distT="0" distB="0" distL="0" distR="0" wp14:anchorId="3C160D4A" wp14:editId="3508A407">
            <wp:extent cx="5760720" cy="2363451"/>
            <wp:effectExtent l="0" t="0" r="11430" b="18415"/>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D449A" w:rsidRDefault="00D152B6" w:rsidP="00110B70">
      <w:pPr>
        <w:pStyle w:val="Nadpis3"/>
      </w:pPr>
      <w:bookmarkStart w:id="25" w:name="_Toc492555008"/>
      <w:bookmarkStart w:id="26" w:name="_Toc492628586"/>
      <w:bookmarkStart w:id="27" w:name="_Ref489954344"/>
      <w:bookmarkStart w:id="28" w:name="_Ref489954369"/>
      <w:bookmarkStart w:id="29" w:name="_Toc492628587"/>
      <w:bookmarkEnd w:id="25"/>
      <w:bookmarkEnd w:id="26"/>
      <w:r>
        <w:t xml:space="preserve">VPM pro </w:t>
      </w:r>
      <w:r w:rsidR="00711FCE">
        <w:t>specifické skupiny osob</w:t>
      </w:r>
      <w:bookmarkEnd w:id="27"/>
      <w:bookmarkEnd w:id="28"/>
      <w:bookmarkEnd w:id="29"/>
    </w:p>
    <w:p w:rsidR="00711FCE" w:rsidRPr="00711FCE" w:rsidRDefault="00711FCE" w:rsidP="00975FB2">
      <w:pPr>
        <w:spacing w:after="240" w:line="240" w:lineRule="auto"/>
        <w:rPr>
          <w:u w:val="single"/>
        </w:rPr>
      </w:pPr>
      <w:r>
        <w:rPr>
          <w:u w:val="single"/>
        </w:rPr>
        <w:t>Cizinci</w:t>
      </w:r>
    </w:p>
    <w:p w:rsidR="00D152B6" w:rsidRPr="00D152B6" w:rsidRDefault="00D152B6" w:rsidP="00110B70">
      <w:pPr>
        <w:spacing w:line="240" w:lineRule="auto"/>
        <w:rPr>
          <w:i/>
        </w:rPr>
      </w:pPr>
      <w:r>
        <w:t xml:space="preserve">S obecným nárůstem počtu VPM v průběhu 1. pololetí narostl rovněž počet VPM, která jsou ze strany zaměstnavatelů označena jako VPM vhodná pro cizince, jejich podíl na celkovém počtu VPM však narostl velmi mírně, a to o 0,2 p. b., což je významně pomalejší růst jejich podílu než v závěru roku 2016. Celkový počet VPM vhodných pro cizince činí 67 913, tj. 37 % VPM. </w:t>
      </w:r>
      <w:r w:rsidRPr="003C2BFA">
        <w:rPr>
          <w:b/>
        </w:rPr>
        <w:t>Nejvyšší zájem zaměstnavatelů o</w:t>
      </w:r>
      <w:r w:rsidR="00DC42C9">
        <w:rPr>
          <w:b/>
        </w:rPr>
        <w:t> </w:t>
      </w:r>
      <w:r w:rsidRPr="003C2BFA">
        <w:rPr>
          <w:b/>
        </w:rPr>
        <w:t xml:space="preserve">zaměstnání cizinců je dle hl. tříd zaměstnání u </w:t>
      </w:r>
      <w:r w:rsidRPr="003C2BFA">
        <w:rPr>
          <w:b/>
          <w:i/>
        </w:rPr>
        <w:t>Specialistů</w:t>
      </w:r>
      <w:r w:rsidRPr="003C2BFA">
        <w:rPr>
          <w:b/>
        </w:rPr>
        <w:t xml:space="preserve"> (46,9% podíl na VPM ve skupině), </w:t>
      </w:r>
      <w:r w:rsidR="00711FCE" w:rsidRPr="003C2BFA">
        <w:rPr>
          <w:b/>
          <w:i/>
        </w:rPr>
        <w:t>Obsluha strojů a zařízení, montéři</w:t>
      </w:r>
      <w:r w:rsidR="00711FCE" w:rsidRPr="003C2BFA">
        <w:rPr>
          <w:b/>
        </w:rPr>
        <w:t xml:space="preserve"> (47,5% podíl),</w:t>
      </w:r>
      <w:r w:rsidR="00711FCE">
        <w:t xml:space="preserve"> </w:t>
      </w:r>
      <w:r w:rsidR="00711FCE">
        <w:rPr>
          <w:i/>
        </w:rPr>
        <w:t>Zákonodárci a</w:t>
      </w:r>
      <w:r w:rsidR="00DC7345">
        <w:rPr>
          <w:i/>
        </w:rPr>
        <w:t> </w:t>
      </w:r>
      <w:r w:rsidR="00711FCE">
        <w:rPr>
          <w:i/>
        </w:rPr>
        <w:t>řídící pracovníci</w:t>
      </w:r>
      <w:r w:rsidR="00711FCE">
        <w:t xml:space="preserve"> (46,3% podíl) a mezi </w:t>
      </w:r>
      <w:r w:rsidR="00711FCE">
        <w:rPr>
          <w:i/>
        </w:rPr>
        <w:t xml:space="preserve">Kvalifikovanými pracovníky v zemědělství, lesnictví a rybářství </w:t>
      </w:r>
      <w:r w:rsidR="00711FCE">
        <w:t xml:space="preserve">(43,1% podíl). U poslední skupiny však v 1. pololetí došlo k poklesu podílu VPM pro cizince v této skupině o více jak 7 p. b. Blíže viz </w:t>
      </w:r>
      <w:r w:rsidR="00711FCE">
        <w:fldChar w:fldCharType="begin"/>
      </w:r>
      <w:r w:rsidR="00711FCE">
        <w:instrText xml:space="preserve"> REF _Ref489866389 \h </w:instrText>
      </w:r>
      <w:r w:rsidR="00110B70">
        <w:instrText xml:space="preserve"> \* MERGEFORMAT </w:instrText>
      </w:r>
      <w:r w:rsidR="00711FCE">
        <w:fldChar w:fldCharType="separate"/>
      </w:r>
      <w:r w:rsidR="00410665">
        <w:t xml:space="preserve">Graf č.: </w:t>
      </w:r>
      <w:r w:rsidR="00410665">
        <w:rPr>
          <w:noProof/>
        </w:rPr>
        <w:t>7</w:t>
      </w:r>
      <w:r w:rsidR="00711FCE">
        <w:fldChar w:fldCharType="end"/>
      </w:r>
      <w:r w:rsidR="00711FCE">
        <w:t>.</w:t>
      </w:r>
    </w:p>
    <w:p w:rsidR="00711FCE" w:rsidRDefault="00711FCE" w:rsidP="009C082E">
      <w:pPr>
        <w:pStyle w:val="Titulek"/>
        <w:keepNext/>
        <w:spacing w:before="240" w:after="0"/>
      </w:pPr>
      <w:bookmarkStart w:id="30" w:name="_Ref489866389"/>
      <w:bookmarkStart w:id="31" w:name="_Toc492555037"/>
      <w:r>
        <w:t xml:space="preserve">Graf č.: </w:t>
      </w:r>
      <w:fldSimple w:instr=" SEQ Graf_č.: \* ARABIC ">
        <w:r w:rsidR="00410665">
          <w:rPr>
            <w:noProof/>
          </w:rPr>
          <w:t>7</w:t>
        </w:r>
      </w:fldSimple>
      <w:bookmarkEnd w:id="30"/>
      <w:r>
        <w:t xml:space="preserve"> </w:t>
      </w:r>
      <w:r w:rsidRPr="00C77077">
        <w:t>Podíl VPM hlášených jako vhodná pro cizince podle hl. tříd zaměstnání</w:t>
      </w:r>
      <w:r w:rsidR="00EF2D05">
        <w:t xml:space="preserve"> a</w:t>
      </w:r>
      <w:r w:rsidRPr="00C77077">
        <w:t xml:space="preserve"> UoZ</w:t>
      </w:r>
      <w:r w:rsidR="00EF2D05">
        <w:t>/</w:t>
      </w:r>
      <w:r w:rsidRPr="00C77077">
        <w:t xml:space="preserve">VPM </w:t>
      </w:r>
      <w:r>
        <w:t xml:space="preserve">k </w:t>
      </w:r>
      <w:r w:rsidRPr="00C77077">
        <w:t>30. 6. 2017</w:t>
      </w:r>
      <w:bookmarkEnd w:id="31"/>
    </w:p>
    <w:p w:rsidR="009E0DC4" w:rsidRDefault="00987D30" w:rsidP="00975FB2">
      <w:pPr>
        <w:spacing w:line="240" w:lineRule="auto"/>
        <w:rPr>
          <w:u w:val="single"/>
        </w:rPr>
      </w:pPr>
      <w:r>
        <w:rPr>
          <w:noProof/>
          <w:lang w:eastAsia="cs-CZ"/>
        </w:rPr>
        <w:drawing>
          <wp:anchor distT="0" distB="0" distL="114300" distR="114300" simplePos="0" relativeHeight="251664384" behindDoc="1" locked="0" layoutInCell="1" allowOverlap="1" wp14:anchorId="4FA15E11" wp14:editId="7CA28B90">
            <wp:simplePos x="0" y="0"/>
            <wp:positionH relativeFrom="column">
              <wp:posOffset>-123825</wp:posOffset>
            </wp:positionH>
            <wp:positionV relativeFrom="paragraph">
              <wp:posOffset>241300</wp:posOffset>
            </wp:positionV>
            <wp:extent cx="6432550" cy="3189605"/>
            <wp:effectExtent l="0" t="0" r="25400" b="10795"/>
            <wp:wrapSquare wrapText="bothSides"/>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711FCE" w:rsidRDefault="00711FCE" w:rsidP="00110B70">
      <w:pPr>
        <w:spacing w:after="200" w:line="240" w:lineRule="auto"/>
        <w:rPr>
          <w:u w:val="single"/>
        </w:rPr>
      </w:pPr>
      <w:r>
        <w:rPr>
          <w:u w:val="single"/>
        </w:rPr>
        <w:t>OZP</w:t>
      </w:r>
    </w:p>
    <w:p w:rsidR="00A431C2" w:rsidRPr="00A431C2" w:rsidRDefault="00A431C2" w:rsidP="00110B70">
      <w:pPr>
        <w:spacing w:after="200" w:line="240" w:lineRule="auto"/>
      </w:pPr>
      <w:r>
        <w:t xml:space="preserve">Pro osoby se zdravotním postižením bylo k 30. 6. 2017 evidováno UP ČR celkem 13 079 volných pracovních míst. O tato místa se ucházelo celkem 49 337 uchazečů o zaměstnání se zdravotním postižením, tj. </w:t>
      </w:r>
      <w:r w:rsidRPr="003C2BFA">
        <w:rPr>
          <w:b/>
        </w:rPr>
        <w:t xml:space="preserve">OZP připadalo na VPM 3,8, což je více než </w:t>
      </w:r>
      <w:r w:rsidR="00DC42C9">
        <w:rPr>
          <w:b/>
        </w:rPr>
        <w:t>dvojnásobek</w:t>
      </w:r>
      <w:r w:rsidRPr="003C2BFA">
        <w:rPr>
          <w:b/>
        </w:rPr>
        <w:t xml:space="preserve"> průměr</w:t>
      </w:r>
      <w:r w:rsidR="00DC42C9">
        <w:rPr>
          <w:b/>
        </w:rPr>
        <w:t>u</w:t>
      </w:r>
      <w:r w:rsidRPr="003C2BFA">
        <w:rPr>
          <w:b/>
        </w:rPr>
        <w:t>.</w:t>
      </w:r>
      <w:r>
        <w:t xml:space="preserve"> Nicméně i v případě této znevýhodněné skupiny došlo ke zlepšení situace, neboť v 1. polovině roku pro OZP přibylo 1 748 VPM a</w:t>
      </w:r>
      <w:r w:rsidR="009628AC">
        <w:t> </w:t>
      </w:r>
      <w:r>
        <w:t>ukazatel UoZ(OZP)/VPM se snížil na stávající hodnotu z hodnoty 4,8.</w:t>
      </w:r>
    </w:p>
    <w:p w:rsidR="00711FCE" w:rsidRPr="00711FCE" w:rsidRDefault="00711FCE" w:rsidP="00110B70">
      <w:pPr>
        <w:spacing w:after="200" w:line="240" w:lineRule="auto"/>
        <w:rPr>
          <w:u w:val="single"/>
        </w:rPr>
      </w:pPr>
      <w:r>
        <w:rPr>
          <w:u w:val="single"/>
        </w:rPr>
        <w:t>Absolventi</w:t>
      </w:r>
    </w:p>
    <w:p w:rsidR="000D449A" w:rsidRDefault="00A431C2" w:rsidP="00110B70">
      <w:pPr>
        <w:spacing w:after="200" w:line="240" w:lineRule="auto"/>
      </w:pPr>
      <w:r>
        <w:t>Pracovních míst vhodných pro absolventy a mladistvé evidoval UP ČR k 30. 6. 2017 celkem 51 504 (tj. 28,1 % všech hlášených VPM) mezi pololetími tak jejich počet vzrost o 12</w:t>
      </w:r>
      <w:r w:rsidR="003C2BFA">
        <w:t> </w:t>
      </w:r>
      <w:r>
        <w:t>864</w:t>
      </w:r>
      <w:r w:rsidR="003C2BFA">
        <w:t xml:space="preserve">. Počet VPM vhodných pro absolventy a mladistvé tak významně převyšoval počet takovýchto osob v evidenci UP ČR, neboť jich evidoval 10 509 (0,2 UoZ/VPM). </w:t>
      </w:r>
      <w:r w:rsidR="003C2BFA" w:rsidRPr="003C2BFA">
        <w:rPr>
          <w:b/>
        </w:rPr>
        <w:t xml:space="preserve">Potvrzuje se tak skutečnost, že s oživením trhu práce i přes některé nedostatky absolventů v oblasti </w:t>
      </w:r>
      <w:r w:rsidR="00987D30">
        <w:rPr>
          <w:b/>
        </w:rPr>
        <w:t>získa</w:t>
      </w:r>
      <w:r w:rsidR="00987D30" w:rsidRPr="003C2BFA">
        <w:rPr>
          <w:b/>
        </w:rPr>
        <w:t xml:space="preserve">ných </w:t>
      </w:r>
      <w:r w:rsidR="003C2BFA" w:rsidRPr="003C2BFA">
        <w:rPr>
          <w:b/>
        </w:rPr>
        <w:t>praktických zkušeností, je zájem zaměstnavatelů o tuto cílovou skupinu značný.</w:t>
      </w:r>
      <w:r>
        <w:t xml:space="preserve"> </w:t>
      </w:r>
    </w:p>
    <w:p w:rsidR="00DB0BED" w:rsidRDefault="00DB0BED" w:rsidP="00110B70">
      <w:pPr>
        <w:pStyle w:val="Nadpis2"/>
        <w:spacing w:line="240" w:lineRule="auto"/>
      </w:pPr>
      <w:bookmarkStart w:id="32" w:name="_Ref489887115"/>
      <w:bookmarkStart w:id="33" w:name="_Toc492628588"/>
      <w:r>
        <w:t>Průměrné výdělky</w:t>
      </w:r>
      <w:r>
        <w:rPr>
          <w:rStyle w:val="Znakapoznpodarou"/>
        </w:rPr>
        <w:footnoteReference w:id="1"/>
      </w:r>
      <w:bookmarkEnd w:id="32"/>
      <w:bookmarkEnd w:id="33"/>
    </w:p>
    <w:p w:rsidR="00DB0BED" w:rsidRDefault="00DB0BED" w:rsidP="00110B70">
      <w:pPr>
        <w:spacing w:line="240" w:lineRule="auto"/>
      </w:pPr>
      <w:r>
        <w:t>Nedostatek vhodné pracovní síly, který je charakteristickým stavem současného trhu práce, se pozitivně projevuje v obecném růstu výdělků. Důvodem k růstu průměrné mzdy, zejména u nízkopříjmových skupin zaměstnání, jsou rovněž zásahy státu v oblasti průběžného navyšování minimální mzdy a nejnižší úrovně mezd zaručených.</w:t>
      </w:r>
      <w:r w:rsidR="00590427">
        <w:t xml:space="preserve"> Vývoj výdělků </w:t>
      </w:r>
      <w:r w:rsidR="00987D30">
        <w:t>od roku 2015</w:t>
      </w:r>
      <w:r w:rsidR="00590427">
        <w:t xml:space="preserve"> ukazuje </w:t>
      </w:r>
      <w:r w:rsidR="00590427">
        <w:fldChar w:fldCharType="begin"/>
      </w:r>
      <w:r w:rsidR="00590427">
        <w:instrText xml:space="preserve"> REF _Ref489872507 \h </w:instrText>
      </w:r>
      <w:r w:rsidR="00110B70">
        <w:instrText xml:space="preserve"> \* MERGEFORMAT </w:instrText>
      </w:r>
      <w:r w:rsidR="00590427">
        <w:fldChar w:fldCharType="separate"/>
      </w:r>
      <w:r w:rsidR="00410665">
        <w:t xml:space="preserve">Graf č.: </w:t>
      </w:r>
      <w:r w:rsidR="00410665">
        <w:rPr>
          <w:noProof/>
        </w:rPr>
        <w:t>8</w:t>
      </w:r>
      <w:r w:rsidR="00590427">
        <w:fldChar w:fldCharType="end"/>
      </w:r>
      <w:r w:rsidR="00152377">
        <w:t xml:space="preserve"> a </w:t>
      </w:r>
      <w:r w:rsidR="00152377">
        <w:fldChar w:fldCharType="begin"/>
      </w:r>
      <w:r w:rsidR="00152377">
        <w:instrText xml:space="preserve"> REF _Ref489885096 \h </w:instrText>
      </w:r>
      <w:r w:rsidR="00110B70">
        <w:instrText xml:space="preserve"> \* MERGEFORMAT </w:instrText>
      </w:r>
      <w:r w:rsidR="00152377">
        <w:fldChar w:fldCharType="separate"/>
      </w:r>
      <w:r w:rsidR="00410665">
        <w:t xml:space="preserve">Tabulka </w:t>
      </w:r>
      <w:r w:rsidR="00410665">
        <w:rPr>
          <w:noProof/>
        </w:rPr>
        <w:t>3</w:t>
      </w:r>
      <w:r w:rsidR="00152377">
        <w:fldChar w:fldCharType="end"/>
      </w:r>
      <w:r w:rsidR="00152377">
        <w:t>.</w:t>
      </w:r>
    </w:p>
    <w:p w:rsidR="00590427" w:rsidRDefault="00590427" w:rsidP="00110B70">
      <w:pPr>
        <w:spacing w:line="240" w:lineRule="auto"/>
      </w:pPr>
    </w:p>
    <w:p w:rsidR="00590427" w:rsidRDefault="00590427" w:rsidP="00110B70">
      <w:pPr>
        <w:pStyle w:val="Titulek"/>
        <w:keepNext/>
      </w:pPr>
      <w:bookmarkStart w:id="34" w:name="_Ref489872507"/>
      <w:bookmarkStart w:id="35" w:name="_Ref491936612"/>
      <w:bookmarkStart w:id="36" w:name="_Toc492555038"/>
      <w:r>
        <w:t xml:space="preserve">Graf č.: </w:t>
      </w:r>
      <w:fldSimple w:instr=" SEQ Graf_č.: \* ARABIC ">
        <w:r w:rsidR="00410665">
          <w:rPr>
            <w:noProof/>
          </w:rPr>
          <w:t>8</w:t>
        </w:r>
      </w:fldSimple>
      <w:bookmarkEnd w:id="34"/>
      <w:r>
        <w:t xml:space="preserve"> Výdělky od r. 2015</w:t>
      </w:r>
      <w:bookmarkEnd w:id="35"/>
      <w:bookmarkEnd w:id="36"/>
    </w:p>
    <w:p w:rsidR="00590427" w:rsidRDefault="00C669A7" w:rsidP="00110B70">
      <w:pPr>
        <w:spacing w:line="240" w:lineRule="auto"/>
      </w:pPr>
      <w:r>
        <w:rPr>
          <w:noProof/>
          <w:lang w:eastAsia="cs-CZ"/>
        </w:rPr>
        <w:drawing>
          <wp:inline distT="0" distB="0" distL="0" distR="0" wp14:anchorId="2822EC28" wp14:editId="5ECA8FDF">
            <wp:extent cx="5837275" cy="3519377"/>
            <wp:effectExtent l="0" t="0" r="11430" b="2413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0BED" w:rsidRDefault="00DB0BED" w:rsidP="00110B70">
      <w:pPr>
        <w:spacing w:line="240" w:lineRule="auto"/>
      </w:pPr>
    </w:p>
    <w:p w:rsidR="00152377" w:rsidRDefault="00152377" w:rsidP="00110B70">
      <w:pPr>
        <w:pStyle w:val="Titulek"/>
        <w:keepNext/>
      </w:pPr>
      <w:bookmarkStart w:id="37" w:name="_Ref489885096"/>
      <w:bookmarkStart w:id="38" w:name="_Ref489885088"/>
      <w:bookmarkStart w:id="39" w:name="_Toc492555055"/>
      <w:r>
        <w:t xml:space="preserve">Tabulka </w:t>
      </w:r>
      <w:fldSimple w:instr=" SEQ Tabulka \* ARABIC ">
        <w:r w:rsidR="00410665">
          <w:rPr>
            <w:noProof/>
          </w:rPr>
          <w:t>3</w:t>
        </w:r>
      </w:fldSimple>
      <w:bookmarkEnd w:id="37"/>
      <w:r>
        <w:t xml:space="preserve"> Základní ukazatele výdělků</w:t>
      </w:r>
      <w:bookmarkEnd w:id="38"/>
      <w:bookmarkEnd w:id="39"/>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1418"/>
        <w:gridCol w:w="1417"/>
        <w:gridCol w:w="1434"/>
        <w:gridCol w:w="1471"/>
      </w:tblGrid>
      <w:tr w:rsidR="00152377" w:rsidRPr="00152377" w:rsidTr="00152377">
        <w:trPr>
          <w:trHeight w:val="300"/>
        </w:trPr>
        <w:tc>
          <w:tcPr>
            <w:tcW w:w="3402"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b/>
                <w:color w:val="000000"/>
                <w:sz w:val="20"/>
                <w:lang w:eastAsia="cs-CZ"/>
              </w:rPr>
            </w:pPr>
            <w:r w:rsidRPr="00152377">
              <w:rPr>
                <w:rFonts w:eastAsia="Times New Roman" w:cs="Arial"/>
                <w:b/>
                <w:color w:val="000000"/>
                <w:sz w:val="20"/>
                <w:lang w:eastAsia="cs-CZ"/>
              </w:rPr>
              <w:t>Základní ukazatele</w:t>
            </w:r>
          </w:p>
        </w:tc>
        <w:tc>
          <w:tcPr>
            <w:tcW w:w="5740"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b/>
                <w:color w:val="000000"/>
                <w:sz w:val="20"/>
                <w:lang w:eastAsia="cs-CZ"/>
              </w:rPr>
            </w:pPr>
            <w:r w:rsidRPr="00152377">
              <w:rPr>
                <w:rFonts w:eastAsia="Times New Roman" w:cs="Arial"/>
                <w:b/>
                <w:color w:val="000000"/>
                <w:sz w:val="20"/>
                <w:lang w:eastAsia="cs-CZ"/>
              </w:rPr>
              <w:t>Období</w:t>
            </w:r>
          </w:p>
        </w:tc>
      </w:tr>
      <w:tr w:rsidR="00152377" w:rsidRPr="00152377" w:rsidTr="00152377">
        <w:trPr>
          <w:trHeight w:val="300"/>
        </w:trPr>
        <w:tc>
          <w:tcPr>
            <w:tcW w:w="3402" w:type="dxa"/>
            <w:vMerge/>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color w:val="000000"/>
                <w:sz w:val="20"/>
                <w:lang w:eastAsia="cs-CZ"/>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52377" w:rsidRPr="00152377" w:rsidRDefault="00152377" w:rsidP="00110B70">
            <w:pPr>
              <w:spacing w:line="240" w:lineRule="auto"/>
              <w:jc w:val="center"/>
              <w:rPr>
                <w:rFonts w:eastAsia="Times New Roman" w:cs="Arial"/>
                <w:b/>
                <w:color w:val="000000"/>
                <w:sz w:val="20"/>
                <w:lang w:eastAsia="cs-CZ"/>
              </w:rPr>
            </w:pPr>
            <w:r w:rsidRPr="00152377">
              <w:rPr>
                <w:rFonts w:eastAsia="Times New Roman" w:cs="Arial"/>
                <w:b/>
                <w:color w:val="000000"/>
                <w:sz w:val="20"/>
                <w:lang w:eastAsia="cs-CZ"/>
              </w:rPr>
              <w:t>2015</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52377" w:rsidRPr="00152377" w:rsidRDefault="00152377" w:rsidP="00110B70">
            <w:pPr>
              <w:spacing w:line="240" w:lineRule="auto"/>
              <w:jc w:val="center"/>
              <w:rPr>
                <w:rFonts w:eastAsia="Times New Roman" w:cs="Arial"/>
                <w:b/>
                <w:color w:val="000000"/>
                <w:sz w:val="20"/>
                <w:lang w:eastAsia="cs-CZ"/>
              </w:rPr>
            </w:pPr>
            <w:r w:rsidRPr="00152377">
              <w:rPr>
                <w:rFonts w:eastAsia="Times New Roman" w:cs="Arial"/>
                <w:b/>
                <w:color w:val="000000"/>
                <w:sz w:val="20"/>
                <w:lang w:eastAsia="cs-CZ"/>
              </w:rPr>
              <w:t>1p2016</w:t>
            </w:r>
          </w:p>
        </w:tc>
        <w:tc>
          <w:tcPr>
            <w:tcW w:w="1434"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52377" w:rsidRPr="00152377" w:rsidRDefault="00152377" w:rsidP="00110B70">
            <w:pPr>
              <w:spacing w:line="240" w:lineRule="auto"/>
              <w:jc w:val="center"/>
              <w:rPr>
                <w:rFonts w:eastAsia="Times New Roman" w:cs="Arial"/>
                <w:b/>
                <w:color w:val="000000"/>
                <w:sz w:val="20"/>
                <w:lang w:eastAsia="cs-CZ"/>
              </w:rPr>
            </w:pPr>
            <w:r w:rsidRPr="00152377">
              <w:rPr>
                <w:rFonts w:eastAsia="Times New Roman" w:cs="Arial"/>
                <w:b/>
                <w:color w:val="000000"/>
                <w:sz w:val="20"/>
                <w:lang w:eastAsia="cs-CZ"/>
              </w:rPr>
              <w:t>2016</w:t>
            </w:r>
          </w:p>
        </w:tc>
        <w:tc>
          <w:tcPr>
            <w:tcW w:w="1471"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52377" w:rsidRPr="00152377" w:rsidRDefault="00152377" w:rsidP="00110B70">
            <w:pPr>
              <w:spacing w:line="240" w:lineRule="auto"/>
              <w:jc w:val="center"/>
              <w:rPr>
                <w:rFonts w:eastAsia="Times New Roman" w:cs="Arial"/>
                <w:b/>
                <w:color w:val="000000"/>
                <w:sz w:val="20"/>
                <w:lang w:eastAsia="cs-CZ"/>
              </w:rPr>
            </w:pPr>
            <w:r w:rsidRPr="00152377">
              <w:rPr>
                <w:rFonts w:eastAsia="Times New Roman" w:cs="Arial"/>
                <w:b/>
                <w:color w:val="000000"/>
                <w:sz w:val="20"/>
                <w:lang w:eastAsia="cs-CZ"/>
              </w:rPr>
              <w:t>1</w:t>
            </w:r>
            <w:r w:rsidR="00E05200">
              <w:rPr>
                <w:rFonts w:eastAsia="Times New Roman" w:cs="Arial"/>
                <w:b/>
                <w:color w:val="000000"/>
                <w:sz w:val="20"/>
                <w:lang w:eastAsia="cs-CZ"/>
              </w:rPr>
              <w:t>q</w:t>
            </w:r>
            <w:r w:rsidRPr="00152377">
              <w:rPr>
                <w:rFonts w:eastAsia="Times New Roman" w:cs="Arial"/>
                <w:b/>
                <w:color w:val="000000"/>
                <w:sz w:val="20"/>
                <w:lang w:eastAsia="cs-CZ"/>
              </w:rPr>
              <w:t>2017</w:t>
            </w:r>
            <w:r w:rsidR="00E05200" w:rsidRPr="00975FB2">
              <w:rPr>
                <w:rFonts w:eastAsia="Times New Roman" w:cs="Arial"/>
                <w:b/>
                <w:color w:val="000000"/>
                <w:sz w:val="20"/>
                <w:vertAlign w:val="superscript"/>
                <w:lang w:eastAsia="cs-CZ"/>
              </w:rPr>
              <w:fldChar w:fldCharType="begin"/>
            </w:r>
            <w:r w:rsidR="00E05200" w:rsidRPr="00975FB2">
              <w:rPr>
                <w:rFonts w:eastAsia="Times New Roman" w:cs="Arial"/>
                <w:b/>
                <w:color w:val="000000"/>
                <w:sz w:val="20"/>
                <w:vertAlign w:val="superscript"/>
                <w:lang w:eastAsia="cs-CZ"/>
              </w:rPr>
              <w:instrText xml:space="preserve"> NOTEREF _Ref492627942 \h </w:instrText>
            </w:r>
            <w:r w:rsidR="00E05200">
              <w:rPr>
                <w:rFonts w:eastAsia="Times New Roman" w:cs="Arial"/>
                <w:b/>
                <w:color w:val="000000"/>
                <w:sz w:val="20"/>
                <w:vertAlign w:val="superscript"/>
                <w:lang w:eastAsia="cs-CZ"/>
              </w:rPr>
              <w:instrText xml:space="preserve"> \* MERGEFORMAT </w:instrText>
            </w:r>
            <w:r w:rsidR="00E05200" w:rsidRPr="00975FB2">
              <w:rPr>
                <w:rFonts w:eastAsia="Times New Roman" w:cs="Arial"/>
                <w:b/>
                <w:color w:val="000000"/>
                <w:sz w:val="20"/>
                <w:vertAlign w:val="superscript"/>
                <w:lang w:eastAsia="cs-CZ"/>
              </w:rPr>
            </w:r>
            <w:r w:rsidR="00E05200" w:rsidRPr="00975FB2">
              <w:rPr>
                <w:rFonts w:eastAsia="Times New Roman" w:cs="Arial"/>
                <w:b/>
                <w:color w:val="000000"/>
                <w:sz w:val="20"/>
                <w:vertAlign w:val="superscript"/>
                <w:lang w:eastAsia="cs-CZ"/>
              </w:rPr>
              <w:fldChar w:fldCharType="separate"/>
            </w:r>
            <w:r w:rsidR="00E05200" w:rsidRPr="00975FB2">
              <w:rPr>
                <w:rFonts w:eastAsia="Times New Roman" w:cs="Arial"/>
                <w:b/>
                <w:color w:val="000000"/>
                <w:sz w:val="20"/>
                <w:vertAlign w:val="superscript"/>
                <w:lang w:eastAsia="cs-CZ"/>
              </w:rPr>
              <w:t>2</w:t>
            </w:r>
            <w:r w:rsidR="00E05200" w:rsidRPr="00975FB2">
              <w:rPr>
                <w:rFonts w:eastAsia="Times New Roman" w:cs="Arial"/>
                <w:b/>
                <w:color w:val="000000"/>
                <w:sz w:val="20"/>
                <w:vertAlign w:val="superscript"/>
                <w:lang w:eastAsia="cs-CZ"/>
              </w:rPr>
              <w:fldChar w:fldCharType="end"/>
            </w:r>
          </w:p>
        </w:tc>
      </w:tr>
      <w:tr w:rsidR="00152377" w:rsidRPr="00152377" w:rsidTr="00975FB2">
        <w:trPr>
          <w:trHeight w:val="300"/>
        </w:trPr>
        <w:tc>
          <w:tcPr>
            <w:tcW w:w="3402" w:type="dxa"/>
            <w:tcBorders>
              <w:top w:val="single" w:sz="12" w:space="0" w:color="auto"/>
              <w:left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b/>
                <w:color w:val="000000"/>
                <w:sz w:val="20"/>
                <w:lang w:eastAsia="cs-CZ"/>
              </w:rPr>
            </w:pPr>
            <w:r w:rsidRPr="00152377">
              <w:rPr>
                <w:rFonts w:eastAsia="Times New Roman" w:cs="Arial"/>
                <w:b/>
                <w:color w:val="000000"/>
                <w:sz w:val="20"/>
                <w:lang w:eastAsia="cs-CZ"/>
              </w:rPr>
              <w:t>Minimální mzda</w:t>
            </w:r>
          </w:p>
        </w:tc>
        <w:tc>
          <w:tcPr>
            <w:tcW w:w="1418" w:type="dxa"/>
            <w:tcBorders>
              <w:top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9 200</w:t>
            </w:r>
          </w:p>
        </w:tc>
        <w:tc>
          <w:tcPr>
            <w:tcW w:w="1417" w:type="dxa"/>
            <w:tcBorders>
              <w:top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9 900</w:t>
            </w:r>
          </w:p>
        </w:tc>
        <w:tc>
          <w:tcPr>
            <w:tcW w:w="1434" w:type="dxa"/>
            <w:tcBorders>
              <w:top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9 900</w:t>
            </w:r>
          </w:p>
        </w:tc>
        <w:tc>
          <w:tcPr>
            <w:tcW w:w="1471" w:type="dxa"/>
            <w:tcBorders>
              <w:top w:val="single" w:sz="12" w:space="0" w:color="auto"/>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11 000</w:t>
            </w:r>
          </w:p>
        </w:tc>
      </w:tr>
      <w:tr w:rsidR="00152377" w:rsidRPr="00152377" w:rsidTr="00975FB2">
        <w:trPr>
          <w:trHeight w:val="300"/>
        </w:trPr>
        <w:tc>
          <w:tcPr>
            <w:tcW w:w="3402" w:type="dxa"/>
            <w:tcBorders>
              <w:left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b/>
                <w:sz w:val="20"/>
                <w:lang w:eastAsia="cs-CZ"/>
              </w:rPr>
            </w:pPr>
            <w:r w:rsidRPr="00152377">
              <w:rPr>
                <w:rFonts w:eastAsia="Times New Roman" w:cs="Arial"/>
                <w:b/>
                <w:sz w:val="20"/>
                <w:lang w:eastAsia="cs-CZ"/>
              </w:rPr>
              <w:t>Průměrná mzda</w:t>
            </w:r>
          </w:p>
        </w:tc>
        <w:tc>
          <w:tcPr>
            <w:tcW w:w="1418"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27 825</w:t>
            </w:r>
          </w:p>
        </w:tc>
        <w:tc>
          <w:tcPr>
            <w:tcW w:w="1417"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28 556</w:t>
            </w:r>
          </w:p>
        </w:tc>
        <w:tc>
          <w:tcPr>
            <w:tcW w:w="1434"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28 969</w:t>
            </w:r>
          </w:p>
        </w:tc>
        <w:tc>
          <w:tcPr>
            <w:tcW w:w="1471" w:type="dxa"/>
            <w:tcBorders>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29 607</w:t>
            </w:r>
          </w:p>
        </w:tc>
      </w:tr>
      <w:tr w:rsidR="00152377" w:rsidRPr="00152377" w:rsidTr="00975FB2">
        <w:trPr>
          <w:trHeight w:val="300"/>
        </w:trPr>
        <w:tc>
          <w:tcPr>
            <w:tcW w:w="3402" w:type="dxa"/>
            <w:tcBorders>
              <w:left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b/>
                <w:sz w:val="20"/>
                <w:lang w:eastAsia="cs-CZ"/>
              </w:rPr>
            </w:pPr>
            <w:r w:rsidRPr="00152377">
              <w:rPr>
                <w:rFonts w:eastAsia="Times New Roman" w:cs="Arial"/>
                <w:b/>
                <w:sz w:val="20"/>
                <w:lang w:eastAsia="cs-CZ"/>
              </w:rPr>
              <w:t>Mediánová mzda</w:t>
            </w:r>
          </w:p>
        </w:tc>
        <w:tc>
          <w:tcPr>
            <w:tcW w:w="1418"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23 062</w:t>
            </w:r>
          </w:p>
        </w:tc>
        <w:tc>
          <w:tcPr>
            <w:tcW w:w="1417"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23 409</w:t>
            </w:r>
          </w:p>
        </w:tc>
        <w:tc>
          <w:tcPr>
            <w:tcW w:w="1434"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24 178</w:t>
            </w:r>
          </w:p>
        </w:tc>
        <w:tc>
          <w:tcPr>
            <w:tcW w:w="1471" w:type="dxa"/>
            <w:tcBorders>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24 151</w:t>
            </w:r>
          </w:p>
        </w:tc>
      </w:tr>
      <w:tr w:rsidR="00152377" w:rsidRPr="00152377" w:rsidTr="00975FB2">
        <w:trPr>
          <w:trHeight w:val="300"/>
        </w:trPr>
        <w:tc>
          <w:tcPr>
            <w:tcW w:w="3402" w:type="dxa"/>
            <w:tcBorders>
              <w:left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b/>
                <w:color w:val="000000"/>
                <w:sz w:val="20"/>
                <w:lang w:eastAsia="cs-CZ"/>
              </w:rPr>
            </w:pPr>
            <w:r w:rsidRPr="00152377">
              <w:rPr>
                <w:rFonts w:eastAsia="Times New Roman" w:cs="Arial"/>
                <w:b/>
                <w:color w:val="000000"/>
                <w:sz w:val="20"/>
                <w:lang w:eastAsia="cs-CZ"/>
              </w:rPr>
              <w:t>Průměrný plat</w:t>
            </w:r>
          </w:p>
        </w:tc>
        <w:tc>
          <w:tcPr>
            <w:tcW w:w="1418"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27 959</w:t>
            </w:r>
          </w:p>
        </w:tc>
        <w:tc>
          <w:tcPr>
            <w:tcW w:w="1417"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28 219</w:t>
            </w:r>
          </w:p>
        </w:tc>
        <w:tc>
          <w:tcPr>
            <w:tcW w:w="1434"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29 501</w:t>
            </w:r>
          </w:p>
        </w:tc>
        <w:tc>
          <w:tcPr>
            <w:tcW w:w="1471" w:type="dxa"/>
            <w:tcBorders>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28 798</w:t>
            </w:r>
          </w:p>
        </w:tc>
      </w:tr>
      <w:tr w:rsidR="00152377" w:rsidRPr="00152377" w:rsidTr="00975FB2">
        <w:trPr>
          <w:trHeight w:val="300"/>
        </w:trPr>
        <w:tc>
          <w:tcPr>
            <w:tcW w:w="3402" w:type="dxa"/>
            <w:tcBorders>
              <w:left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b/>
                <w:color w:val="000000"/>
                <w:sz w:val="20"/>
                <w:lang w:eastAsia="cs-CZ"/>
              </w:rPr>
            </w:pPr>
            <w:r w:rsidRPr="00152377">
              <w:rPr>
                <w:rFonts w:eastAsia="Times New Roman" w:cs="Arial"/>
                <w:b/>
                <w:color w:val="000000"/>
                <w:sz w:val="20"/>
                <w:lang w:eastAsia="cs-CZ"/>
              </w:rPr>
              <w:t>Mediánový plat</w:t>
            </w:r>
          </w:p>
        </w:tc>
        <w:tc>
          <w:tcPr>
            <w:tcW w:w="1418"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26 338</w:t>
            </w:r>
          </w:p>
        </w:tc>
        <w:tc>
          <w:tcPr>
            <w:tcW w:w="1417"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26 478</w:t>
            </w:r>
          </w:p>
        </w:tc>
        <w:tc>
          <w:tcPr>
            <w:tcW w:w="1434" w:type="dxa"/>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27 724</w:t>
            </w:r>
          </w:p>
        </w:tc>
        <w:tc>
          <w:tcPr>
            <w:tcW w:w="1471" w:type="dxa"/>
            <w:tcBorders>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26 920</w:t>
            </w:r>
          </w:p>
        </w:tc>
      </w:tr>
      <w:tr w:rsidR="00152377" w:rsidRPr="00152377" w:rsidTr="00975FB2">
        <w:trPr>
          <w:trHeight w:val="300"/>
        </w:trPr>
        <w:tc>
          <w:tcPr>
            <w:tcW w:w="3402" w:type="dxa"/>
            <w:tcBorders>
              <w:left w:val="single" w:sz="12" w:space="0" w:color="auto"/>
              <w:bottom w:val="single" w:sz="12" w:space="0" w:color="auto"/>
            </w:tcBorders>
            <w:shd w:val="clear" w:color="auto" w:fill="auto"/>
            <w:noWrap/>
            <w:vAlign w:val="bottom"/>
            <w:hideMark/>
          </w:tcPr>
          <w:p w:rsidR="00152377" w:rsidRPr="00152377" w:rsidRDefault="00152377" w:rsidP="00110B70">
            <w:pPr>
              <w:spacing w:line="240" w:lineRule="auto"/>
              <w:jc w:val="left"/>
              <w:rPr>
                <w:rFonts w:eastAsia="Times New Roman" w:cs="Arial"/>
                <w:b/>
                <w:color w:val="000000"/>
                <w:sz w:val="20"/>
                <w:lang w:eastAsia="cs-CZ"/>
              </w:rPr>
            </w:pPr>
            <w:r w:rsidRPr="00152377">
              <w:rPr>
                <w:rFonts w:eastAsia="Times New Roman" w:cs="Arial"/>
                <w:b/>
                <w:color w:val="000000"/>
                <w:sz w:val="20"/>
                <w:lang w:eastAsia="cs-CZ"/>
              </w:rPr>
              <w:t xml:space="preserve">Poměr minimální/průměrné mzdy </w:t>
            </w:r>
          </w:p>
        </w:tc>
        <w:tc>
          <w:tcPr>
            <w:tcW w:w="1418" w:type="dxa"/>
            <w:tcBorders>
              <w:bottom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33,06</w:t>
            </w:r>
            <w:r>
              <w:rPr>
                <w:rFonts w:eastAsia="Times New Roman" w:cs="Arial"/>
                <w:color w:val="000000"/>
                <w:sz w:val="20"/>
                <w:lang w:eastAsia="cs-CZ"/>
              </w:rPr>
              <w:t xml:space="preserve"> </w:t>
            </w:r>
            <w:r w:rsidRPr="00152377">
              <w:rPr>
                <w:rFonts w:eastAsia="Times New Roman" w:cs="Arial"/>
                <w:color w:val="000000"/>
                <w:sz w:val="20"/>
                <w:lang w:eastAsia="cs-CZ"/>
              </w:rPr>
              <w:t>%</w:t>
            </w:r>
          </w:p>
        </w:tc>
        <w:tc>
          <w:tcPr>
            <w:tcW w:w="1417" w:type="dxa"/>
            <w:tcBorders>
              <w:bottom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34,67</w:t>
            </w:r>
            <w:r>
              <w:rPr>
                <w:rFonts w:eastAsia="Times New Roman" w:cs="Arial"/>
                <w:color w:val="000000"/>
                <w:sz w:val="20"/>
                <w:lang w:eastAsia="cs-CZ"/>
              </w:rPr>
              <w:t xml:space="preserve"> </w:t>
            </w:r>
            <w:r w:rsidRPr="00152377">
              <w:rPr>
                <w:rFonts w:eastAsia="Times New Roman" w:cs="Arial"/>
                <w:color w:val="000000"/>
                <w:sz w:val="20"/>
                <w:lang w:eastAsia="cs-CZ"/>
              </w:rPr>
              <w:t>%</w:t>
            </w:r>
          </w:p>
        </w:tc>
        <w:tc>
          <w:tcPr>
            <w:tcW w:w="1434" w:type="dxa"/>
            <w:tcBorders>
              <w:bottom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34,17</w:t>
            </w:r>
            <w:r>
              <w:rPr>
                <w:rFonts w:eastAsia="Times New Roman" w:cs="Arial"/>
                <w:color w:val="000000"/>
                <w:sz w:val="20"/>
                <w:lang w:eastAsia="cs-CZ"/>
              </w:rPr>
              <w:t xml:space="preserve"> </w:t>
            </w:r>
            <w:r w:rsidRPr="00152377">
              <w:rPr>
                <w:rFonts w:eastAsia="Times New Roman" w:cs="Arial"/>
                <w:color w:val="000000"/>
                <w:sz w:val="20"/>
                <w:lang w:eastAsia="cs-CZ"/>
              </w:rPr>
              <w:t>%</w:t>
            </w:r>
          </w:p>
        </w:tc>
        <w:tc>
          <w:tcPr>
            <w:tcW w:w="1471" w:type="dxa"/>
            <w:tcBorders>
              <w:bottom w:val="single" w:sz="12" w:space="0" w:color="auto"/>
              <w:right w:val="single" w:sz="12" w:space="0" w:color="auto"/>
            </w:tcBorders>
            <w:shd w:val="clear" w:color="auto" w:fill="auto"/>
            <w:noWrap/>
            <w:vAlign w:val="center"/>
            <w:hideMark/>
          </w:tcPr>
          <w:p w:rsidR="00152377" w:rsidRPr="00152377" w:rsidRDefault="00152377" w:rsidP="00110B70">
            <w:pPr>
              <w:spacing w:line="240" w:lineRule="auto"/>
              <w:jc w:val="center"/>
              <w:rPr>
                <w:rFonts w:eastAsia="Times New Roman" w:cs="Arial"/>
                <w:color w:val="000000"/>
                <w:sz w:val="20"/>
                <w:lang w:eastAsia="cs-CZ"/>
              </w:rPr>
            </w:pPr>
            <w:r w:rsidRPr="00152377">
              <w:rPr>
                <w:rFonts w:eastAsia="Times New Roman" w:cs="Arial"/>
                <w:color w:val="000000"/>
                <w:sz w:val="20"/>
                <w:lang w:eastAsia="cs-CZ"/>
              </w:rPr>
              <w:t>37,15</w:t>
            </w:r>
            <w:r>
              <w:rPr>
                <w:rFonts w:eastAsia="Times New Roman" w:cs="Arial"/>
                <w:color w:val="000000"/>
                <w:sz w:val="20"/>
                <w:lang w:eastAsia="cs-CZ"/>
              </w:rPr>
              <w:t xml:space="preserve"> </w:t>
            </w:r>
            <w:r w:rsidRPr="00152377">
              <w:rPr>
                <w:rFonts w:eastAsia="Times New Roman" w:cs="Arial"/>
                <w:color w:val="000000"/>
                <w:sz w:val="20"/>
                <w:lang w:eastAsia="cs-CZ"/>
              </w:rPr>
              <w:t>%</w:t>
            </w:r>
          </w:p>
        </w:tc>
      </w:tr>
    </w:tbl>
    <w:p w:rsidR="00363F47" w:rsidRDefault="00363F47" w:rsidP="00110B70">
      <w:pPr>
        <w:pStyle w:val="Nadpis3"/>
      </w:pPr>
      <w:bookmarkStart w:id="40" w:name="_Toc492628589"/>
      <w:bookmarkStart w:id="41" w:name="_Toc492628590"/>
      <w:bookmarkEnd w:id="40"/>
      <w:r>
        <w:t>Mzdová sféra</w:t>
      </w:r>
      <w:bookmarkEnd w:id="41"/>
    </w:p>
    <w:p w:rsidR="00F317DD" w:rsidRDefault="00DB0BED" w:rsidP="00110B70">
      <w:pPr>
        <w:spacing w:before="120" w:line="240" w:lineRule="auto"/>
      </w:pPr>
      <w:r>
        <w:t xml:space="preserve">Dle dat ISPV činila průměrná mzda </w:t>
      </w:r>
      <w:r w:rsidRPr="00DB0BED">
        <w:rPr>
          <w:b/>
        </w:rPr>
        <w:t>v roce 2016</w:t>
      </w:r>
      <w:r>
        <w:t xml:space="preserve"> </w:t>
      </w:r>
      <w:r>
        <w:rPr>
          <w:b/>
        </w:rPr>
        <w:t xml:space="preserve">28 969 Kč/měsíc, </w:t>
      </w:r>
      <w:r>
        <w:t>což bylo o</w:t>
      </w:r>
      <w:r w:rsidR="009628AC">
        <w:t> </w:t>
      </w:r>
      <w:r>
        <w:t>1</w:t>
      </w:r>
      <w:r w:rsidR="009628AC">
        <w:t> </w:t>
      </w:r>
      <w:r>
        <w:t>144</w:t>
      </w:r>
      <w:r w:rsidR="009628AC">
        <w:t> </w:t>
      </w:r>
      <w:r>
        <w:t xml:space="preserve">Kč více než v roce 2015. </w:t>
      </w:r>
      <w:r w:rsidRPr="00DB0BED">
        <w:rPr>
          <w:b/>
        </w:rPr>
        <w:t xml:space="preserve">V 1. </w:t>
      </w:r>
      <w:r w:rsidR="00354749">
        <w:rPr>
          <w:b/>
        </w:rPr>
        <w:t>čtvrtletí</w:t>
      </w:r>
      <w:r w:rsidR="00354749" w:rsidRPr="00DB0BED">
        <w:rPr>
          <w:b/>
        </w:rPr>
        <w:t xml:space="preserve"> </w:t>
      </w:r>
      <w:r w:rsidRPr="00DB0BED">
        <w:rPr>
          <w:b/>
        </w:rPr>
        <w:t>2017</w:t>
      </w:r>
      <w:bookmarkStart w:id="42" w:name="_Ref492627942"/>
      <w:r w:rsidR="00354749">
        <w:rPr>
          <w:rStyle w:val="Znakapoznpodarou"/>
          <w:b/>
        </w:rPr>
        <w:footnoteReference w:id="2"/>
      </w:r>
      <w:bookmarkEnd w:id="42"/>
      <w:r w:rsidRPr="00DB0BED">
        <w:rPr>
          <w:b/>
        </w:rPr>
        <w:t xml:space="preserve"> pak vzrostla průměrná mzda na hodnotu 29 607 Kč/ měsíc</w:t>
      </w:r>
      <w:r w:rsidR="00987D30">
        <w:rPr>
          <w:b/>
        </w:rPr>
        <w:t>.</w:t>
      </w:r>
      <w:r>
        <w:t xml:space="preserve"> </w:t>
      </w:r>
      <w:r w:rsidR="00614258">
        <w:t>V případě mediánových mezd byl nárůst mezi roky 2015 a</w:t>
      </w:r>
      <w:r w:rsidR="00721E0D">
        <w:t> </w:t>
      </w:r>
      <w:r w:rsidR="00614258">
        <w:t xml:space="preserve">2016 4,8 %. </w:t>
      </w:r>
      <w:r w:rsidR="00987D30">
        <w:t>M</w:t>
      </w:r>
      <w:r w:rsidR="00614258">
        <w:t>ezi roky 2015 a 2016 mediánová mzda vzrostla meziročně o</w:t>
      </w:r>
      <w:r w:rsidR="00987D30">
        <w:t> </w:t>
      </w:r>
      <w:r w:rsidR="00614258">
        <w:t xml:space="preserve">1 116 Kč na hladinu 24 178 Kč/měsíc. Mezi 1. pololetím 2016 a 1. </w:t>
      </w:r>
      <w:r w:rsidR="00721E0D">
        <w:t xml:space="preserve">čtvrtletím </w:t>
      </w:r>
      <w:r w:rsidR="00614258">
        <w:t xml:space="preserve">2017 činil rozdíl mediánových mezd 742 Kč, tj. vzrostl o 3,2 % a mediánová mzda činila v 1. pololetí roku 2017 24 151 Kč/měsíc. Zatímco tedy v roce 2016 došlo k mírné nivelizaci mezd, když medián rostl rychleji než průměr, v 1. </w:t>
      </w:r>
      <w:r w:rsidR="00721E0D">
        <w:t xml:space="preserve">čtvrtletí </w:t>
      </w:r>
      <w:r w:rsidR="00614258">
        <w:t>2017 došlo ke zvrácení tohoto pozitivního trendu.</w:t>
      </w:r>
    </w:p>
    <w:p w:rsidR="00F317DD" w:rsidRDefault="00F317DD" w:rsidP="00110B70">
      <w:pPr>
        <w:spacing w:before="120" w:line="240" w:lineRule="auto"/>
      </w:pPr>
      <w:r>
        <w:t xml:space="preserve">Nejvyšší nominální meziroční nárůst průměrných mezd (2015/2016) byl sledován v hl. třídě </w:t>
      </w:r>
      <w:r>
        <w:rPr>
          <w:i/>
        </w:rPr>
        <w:t>řídící pracovníci</w:t>
      </w:r>
      <w:r>
        <w:t xml:space="preserve">, nicméně v relativních ukazatelích došlo k nejvyššímu nárůstu u </w:t>
      </w:r>
      <w:r>
        <w:rPr>
          <w:i/>
        </w:rPr>
        <w:t>pracovníků ve službách a prodeji</w:t>
      </w:r>
      <w:r>
        <w:t xml:space="preserve">, a to o 7 % a dále mezi </w:t>
      </w:r>
      <w:r>
        <w:rPr>
          <w:i/>
        </w:rPr>
        <w:t>pomocnými a</w:t>
      </w:r>
      <w:r w:rsidR="00DC7345">
        <w:rPr>
          <w:i/>
        </w:rPr>
        <w:t> </w:t>
      </w:r>
      <w:r>
        <w:rPr>
          <w:i/>
        </w:rPr>
        <w:t>nekvalifikovanými pracovníky</w:t>
      </w:r>
      <w:r>
        <w:t xml:space="preserve"> o více jak 5,5 %. Naopak relativně nejméně rostly mzdy právě </w:t>
      </w:r>
      <w:r w:rsidRPr="00F317DD">
        <w:rPr>
          <w:i/>
        </w:rPr>
        <w:t>řídících pracovníků</w:t>
      </w:r>
      <w:r>
        <w:t xml:space="preserve">, když meziročně vzrostly o 3,1 %. </w:t>
      </w:r>
      <w:r>
        <w:rPr>
          <w:b/>
        </w:rPr>
        <w:t xml:space="preserve">Relativně výrazněji tedy v roce 2016 rostly spíše mzdy mezi hl. třídami zaměstnání s nižším výdělkem. </w:t>
      </w:r>
      <w:r>
        <w:t xml:space="preserve">Porovnání s platovou sférou, jak </w:t>
      </w:r>
      <w:r w:rsidR="00363F47">
        <w:t xml:space="preserve">v </w:t>
      </w:r>
      <w:r>
        <w:t xml:space="preserve">absolutních, tak relativních číslech zobrazuje </w:t>
      </w:r>
      <w:r w:rsidR="00F468BD">
        <w:fldChar w:fldCharType="begin"/>
      </w:r>
      <w:r w:rsidR="00F468BD">
        <w:instrText xml:space="preserve"> REF _Ref489872507 \h </w:instrText>
      </w:r>
      <w:r w:rsidR="00F468BD">
        <w:fldChar w:fldCharType="separate"/>
      </w:r>
      <w:r w:rsidR="00410665">
        <w:t xml:space="preserve">Graf č.: </w:t>
      </w:r>
      <w:r w:rsidR="00410665">
        <w:rPr>
          <w:noProof/>
        </w:rPr>
        <w:t>8</w:t>
      </w:r>
      <w:r w:rsidR="00F468BD">
        <w:fldChar w:fldCharType="end"/>
      </w:r>
      <w:r>
        <w:fldChar w:fldCharType="begin"/>
      </w:r>
      <w:r>
        <w:instrText xml:space="preserve"> REF _Ref489876017 \h </w:instrText>
      </w:r>
      <w:r w:rsidR="001167E7">
        <w:instrText xml:space="preserve"> \* MERGEFORMAT </w:instrText>
      </w:r>
      <w:r>
        <w:fldChar w:fldCharType="end"/>
      </w:r>
      <w:r>
        <w:t xml:space="preserve"> na straně </w:t>
      </w:r>
      <w:r w:rsidR="00F468BD">
        <w:fldChar w:fldCharType="begin"/>
      </w:r>
      <w:r w:rsidR="00F468BD">
        <w:instrText xml:space="preserve"> PAGEREF _Ref491936612 \h </w:instrText>
      </w:r>
      <w:r w:rsidR="00F468BD">
        <w:fldChar w:fldCharType="separate"/>
      </w:r>
      <w:r w:rsidR="00410665">
        <w:rPr>
          <w:noProof/>
        </w:rPr>
        <w:t>7</w:t>
      </w:r>
      <w:r w:rsidR="00F468BD">
        <w:fldChar w:fldCharType="end"/>
      </w:r>
      <w:r>
        <w:t>.</w:t>
      </w:r>
    </w:p>
    <w:p w:rsidR="00363F47" w:rsidRDefault="0030078A" w:rsidP="00110B70">
      <w:pPr>
        <w:spacing w:before="120" w:line="240" w:lineRule="auto"/>
      </w:pPr>
      <w:r>
        <w:t xml:space="preserve">Z pohledu sekcí ekonomické činnosti (dle klasifikace CZ-NACE) dosahovaly </w:t>
      </w:r>
      <w:r w:rsidR="00DC42C9">
        <w:t xml:space="preserve">v roce 2016 </w:t>
      </w:r>
      <w:r>
        <w:t>nejvyšší</w:t>
      </w:r>
      <w:r w:rsidR="00DC42C9">
        <w:t>ch hodnot</w:t>
      </w:r>
      <w:r>
        <w:t xml:space="preserve"> průměrné měsíční mzdy již tradičně v sekcích </w:t>
      </w:r>
      <w:r>
        <w:rPr>
          <w:i/>
        </w:rPr>
        <w:t>K – peněžnictví a pojišťovnictví</w:t>
      </w:r>
      <w:r>
        <w:t xml:space="preserve"> (52 158 Kč)</w:t>
      </w:r>
      <w:r>
        <w:rPr>
          <w:i/>
        </w:rPr>
        <w:t xml:space="preserve"> </w:t>
      </w:r>
      <w:r>
        <w:t xml:space="preserve">a </w:t>
      </w:r>
      <w:r>
        <w:rPr>
          <w:i/>
        </w:rPr>
        <w:t>J – informační a komunikační technologie</w:t>
      </w:r>
      <w:r>
        <w:t xml:space="preserve"> (51 539 Kč), zůstalo tomu tak i v 1. čtvrtletí 2017, ovšem při jejich vzájemné změně pořadí. Vzhledem k vysokému výchozímu základu byl však relativní růst mezd v těchto sekcích podprůměrný. Naopak relativně nejvíce rostl</w:t>
      </w:r>
      <w:r w:rsidR="00931EB7">
        <w:t>y</w:t>
      </w:r>
      <w:r>
        <w:t xml:space="preserve"> v roce 2016 v porovnání s rokem 2015 mzdy v sekcích </w:t>
      </w:r>
      <w:r>
        <w:rPr>
          <w:i/>
        </w:rPr>
        <w:t xml:space="preserve">I – ubytování a stravování </w:t>
      </w:r>
      <w:r>
        <w:t xml:space="preserve">(7,38 %), </w:t>
      </w:r>
      <w:r>
        <w:rPr>
          <w:i/>
        </w:rPr>
        <w:t>R – Kulturní, zábavní a rekreační činnosti</w:t>
      </w:r>
      <w:r>
        <w:t xml:space="preserve"> (6,88 %) a </w:t>
      </w:r>
      <w:r w:rsidR="003A1411">
        <w:rPr>
          <w:i/>
        </w:rPr>
        <w:t>N – Administrativní a podpůrné činnosti</w:t>
      </w:r>
      <w:r w:rsidR="003A1411">
        <w:t xml:space="preserve"> (5,63 %)</w:t>
      </w:r>
      <w:r w:rsidR="003D6C89">
        <w:t xml:space="preserve">. Výši průměrných měsíčních mezd v jednotlivých sekcích ekonomických činností a jejich meziroční růst v porovnání s minimální mzdou pro rok 2015 a 2016 a jejím meziročním růstem zobrazuje </w:t>
      </w:r>
      <w:r w:rsidR="003D6C89">
        <w:fldChar w:fldCharType="begin"/>
      </w:r>
      <w:r w:rsidR="003D6C89">
        <w:instrText xml:space="preserve"> REF _Ref489884687 \h </w:instrText>
      </w:r>
      <w:r w:rsidR="001167E7">
        <w:instrText xml:space="preserve"> \* MERGEFORMAT </w:instrText>
      </w:r>
      <w:r w:rsidR="003D6C89">
        <w:fldChar w:fldCharType="separate"/>
      </w:r>
      <w:r w:rsidR="00410665">
        <w:t xml:space="preserve">Graf č.: </w:t>
      </w:r>
      <w:r w:rsidR="00410665">
        <w:rPr>
          <w:noProof/>
        </w:rPr>
        <w:t>9</w:t>
      </w:r>
      <w:r w:rsidR="003D6C89">
        <w:fldChar w:fldCharType="end"/>
      </w:r>
      <w:r w:rsidR="00110B70">
        <w:t>.</w:t>
      </w:r>
    </w:p>
    <w:p w:rsidR="003D6C89" w:rsidRDefault="003D6C89" w:rsidP="00110B70">
      <w:pPr>
        <w:spacing w:before="120" w:line="240" w:lineRule="auto"/>
      </w:pPr>
    </w:p>
    <w:p w:rsidR="003D6C89" w:rsidRDefault="003D6C89" w:rsidP="00110B70">
      <w:pPr>
        <w:pStyle w:val="Titulek"/>
        <w:keepNext/>
      </w:pPr>
      <w:bookmarkStart w:id="43" w:name="_Ref489884687"/>
      <w:bookmarkStart w:id="44" w:name="_Toc492555039"/>
      <w:r>
        <w:t xml:space="preserve">Graf č.: </w:t>
      </w:r>
      <w:fldSimple w:instr=" SEQ Graf_č.: \* ARABIC ">
        <w:r w:rsidR="00410665">
          <w:rPr>
            <w:noProof/>
          </w:rPr>
          <w:t>9</w:t>
        </w:r>
      </w:fldSimple>
      <w:bookmarkEnd w:id="43"/>
      <w:r>
        <w:t xml:space="preserve"> Průměrná mzda v roce 2015 a 2016 a její meziroční růst</w:t>
      </w:r>
      <w:r w:rsidR="00887F01">
        <w:rPr>
          <w:rStyle w:val="Znakapoznpodarou"/>
        </w:rPr>
        <w:footnoteReference w:id="3"/>
      </w:r>
      <w:bookmarkEnd w:id="44"/>
    </w:p>
    <w:p w:rsidR="003D6C89" w:rsidRDefault="00A0153B" w:rsidP="00110B70">
      <w:pPr>
        <w:spacing w:before="120" w:line="240" w:lineRule="auto"/>
      </w:pPr>
      <w:r>
        <w:rPr>
          <w:noProof/>
          <w:lang w:eastAsia="cs-CZ"/>
        </w:rPr>
        <w:drawing>
          <wp:inline distT="0" distB="0" distL="0" distR="0" wp14:anchorId="06645D3A" wp14:editId="53593E67">
            <wp:extent cx="5762847" cy="3955311"/>
            <wp:effectExtent l="0" t="0" r="9525" b="2667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25F9E" w:rsidRDefault="00525F9E" w:rsidP="00110B70">
      <w:pPr>
        <w:spacing w:after="200" w:line="240" w:lineRule="auto"/>
        <w:jc w:val="left"/>
      </w:pPr>
    </w:p>
    <w:p w:rsidR="00794837" w:rsidRDefault="00794837" w:rsidP="00110B70">
      <w:pPr>
        <w:pStyle w:val="Titulek"/>
        <w:keepNext/>
      </w:pPr>
      <w:bookmarkStart w:id="45" w:name="_Ref489885818"/>
      <w:bookmarkStart w:id="46" w:name="_Ref490058028"/>
      <w:bookmarkStart w:id="47" w:name="_Ref490058695"/>
      <w:bookmarkStart w:id="48" w:name="_Toc492555056"/>
      <w:r>
        <w:t xml:space="preserve">Tabulka </w:t>
      </w:r>
      <w:fldSimple w:instr=" SEQ Tabulka \* ARABIC ">
        <w:r w:rsidR="00410665">
          <w:rPr>
            <w:noProof/>
          </w:rPr>
          <w:t>4</w:t>
        </w:r>
      </w:fldSimple>
      <w:bookmarkEnd w:id="45"/>
      <w:r>
        <w:t xml:space="preserve"> Označení sekcí CZ-NACE</w:t>
      </w:r>
      <w:bookmarkEnd w:id="46"/>
      <w:bookmarkEnd w:id="47"/>
      <w:bookmarkEnd w:id="48"/>
    </w:p>
    <w:tbl>
      <w:tblPr>
        <w:tblW w:w="9323" w:type="dxa"/>
        <w:tblInd w:w="70" w:type="dxa"/>
        <w:tblLayout w:type="fixed"/>
        <w:tblCellMar>
          <w:left w:w="70" w:type="dxa"/>
          <w:right w:w="70" w:type="dxa"/>
        </w:tblCellMar>
        <w:tblLook w:val="04A0" w:firstRow="1" w:lastRow="0" w:firstColumn="1" w:lastColumn="0" w:noHBand="0" w:noVBand="1"/>
      </w:tblPr>
      <w:tblGrid>
        <w:gridCol w:w="279"/>
        <w:gridCol w:w="4683"/>
        <w:gridCol w:w="283"/>
        <w:gridCol w:w="4078"/>
      </w:tblGrid>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A</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Zemědělství, lesnictví a rybářství</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K</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Peněžnictví a pojišťovnictví</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B</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Těžba a dobývání</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L</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Činnosti v oblasti nemovitostí</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C</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Zpracovatelský průmysl</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M</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Profesní, vědecké a technické činnosti</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D</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Výroba a rozvod elektřiny, plynu, tepla</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N</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Administrativní a podpůrné činnosti</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E</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Zásobování vodou, činnosti související s odpady</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O</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Veřejná správa, obrana, sociální zabezpečení</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F</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Stavebnictví</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P</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Vzdělávání</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G</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Obchod, opravy motorových vozidel</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Q</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Zdravotní a sociální péče</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H</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Doprava a skladování</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R</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Kulturní, zábavní a rekreační činnosti</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I</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 xml:space="preserve">Ubytování, stravování a pohostinství </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S</w:t>
            </w: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Ostatní činnosti</w:t>
            </w:r>
          </w:p>
        </w:tc>
      </w:tr>
      <w:tr w:rsidR="001167E7" w:rsidRPr="001167E7" w:rsidTr="00887F01">
        <w:trPr>
          <w:trHeight w:val="255"/>
        </w:trPr>
        <w:tc>
          <w:tcPr>
            <w:tcW w:w="279"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J</w:t>
            </w:r>
          </w:p>
        </w:tc>
        <w:tc>
          <w:tcPr>
            <w:tcW w:w="4683" w:type="dxa"/>
            <w:shd w:val="clear" w:color="auto" w:fill="auto"/>
            <w:noWrap/>
            <w:vAlign w:val="center"/>
            <w:hideMark/>
          </w:tcPr>
          <w:p w:rsidR="001167E7" w:rsidRPr="001167E7" w:rsidRDefault="001167E7" w:rsidP="00110B70">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Informační a komunikační činnosti</w:t>
            </w:r>
          </w:p>
        </w:tc>
        <w:tc>
          <w:tcPr>
            <w:tcW w:w="283"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p>
        </w:tc>
        <w:tc>
          <w:tcPr>
            <w:tcW w:w="4078" w:type="dxa"/>
            <w:shd w:val="clear" w:color="auto" w:fill="auto"/>
            <w:vAlign w:val="center"/>
          </w:tcPr>
          <w:p w:rsidR="001167E7" w:rsidRPr="001167E7" w:rsidRDefault="001167E7" w:rsidP="00110B70">
            <w:pPr>
              <w:spacing w:line="240" w:lineRule="auto"/>
              <w:jc w:val="left"/>
              <w:rPr>
                <w:rFonts w:eastAsia="Times New Roman" w:cs="Arial"/>
                <w:color w:val="000000"/>
                <w:sz w:val="16"/>
                <w:lang w:eastAsia="cs-CZ"/>
              </w:rPr>
            </w:pPr>
          </w:p>
        </w:tc>
      </w:tr>
    </w:tbl>
    <w:p w:rsidR="00887F01" w:rsidRDefault="00887F01" w:rsidP="00110B70">
      <w:pPr>
        <w:spacing w:before="120" w:line="240" w:lineRule="auto"/>
      </w:pPr>
      <w:r>
        <w:t>Porovnáme-li čtvrtletní údaje, pak oproti roku 2016 vzrostl</w:t>
      </w:r>
      <w:r w:rsidR="00DC7345">
        <w:t>y</w:t>
      </w:r>
      <w:r>
        <w:t xml:space="preserve"> v 1. čtvrtletí 2017 meziročně výdělky ve mzdové sféře nejvíce v sekcích </w:t>
      </w:r>
      <w:r>
        <w:rPr>
          <w:i/>
        </w:rPr>
        <w:t xml:space="preserve">P – vzdělávání </w:t>
      </w:r>
      <w:r>
        <w:t>(26,3 %)</w:t>
      </w:r>
      <w:r>
        <w:rPr>
          <w:i/>
        </w:rPr>
        <w:t>, O – veřejná správa obrana a sociální zabezpečení</w:t>
      </w:r>
      <w:r>
        <w:t xml:space="preserve"> (21 %)</w:t>
      </w:r>
      <w:r w:rsidR="00CC1E2A">
        <w:rPr>
          <w:rStyle w:val="Znakapoznpodarou"/>
        </w:rPr>
        <w:footnoteReference w:id="4"/>
      </w:r>
      <w:r w:rsidR="00110B70">
        <w:rPr>
          <w:i/>
        </w:rPr>
        <w:t xml:space="preserve"> I – Ubytování, stravování a </w:t>
      </w:r>
      <w:r>
        <w:rPr>
          <w:i/>
        </w:rPr>
        <w:t>pohostinství</w:t>
      </w:r>
      <w:r w:rsidR="00CC1E2A">
        <w:rPr>
          <w:i/>
        </w:rPr>
        <w:t xml:space="preserve"> </w:t>
      </w:r>
      <w:r w:rsidR="00CC1E2A">
        <w:t>(13,5 %)</w:t>
      </w:r>
      <w:r w:rsidR="00F21D72">
        <w:t>.</w:t>
      </w:r>
    </w:p>
    <w:p w:rsidR="00F21D72" w:rsidRDefault="00F21D72" w:rsidP="00110B70">
      <w:pPr>
        <w:spacing w:before="120" w:line="240" w:lineRule="auto"/>
      </w:pPr>
      <w:r>
        <w:t>Obdobné trendy lze vysledovat i ve strukturální statistice mezd dle ČSÚ</w:t>
      </w:r>
      <w:r w:rsidR="003A2B2C">
        <w:t>. Pozitivní vývoj růstu mezd je však od 1Q 2016 částečně negován rostoucí inflací a růst reálných mezd není tak razantní jako růst mezd nominálních</w:t>
      </w:r>
      <w:r w:rsidR="003A2B2C">
        <w:rPr>
          <w:rStyle w:val="Znakapoznpodarou"/>
        </w:rPr>
        <w:footnoteReference w:id="5"/>
      </w:r>
      <w:r w:rsidR="003A2B2C">
        <w:t xml:space="preserve"> (do poloviny roku 2014 do počátku roku 2016 se nominální růst mezd prakticky kryl s růstem reálným). </w:t>
      </w:r>
    </w:p>
    <w:p w:rsidR="003A2B2C" w:rsidRPr="00CC1E2A" w:rsidRDefault="003A2B2C" w:rsidP="00110B70">
      <w:pPr>
        <w:spacing w:before="120" w:line="240" w:lineRule="auto"/>
      </w:pPr>
      <w:r>
        <w:t>Vývoj mezd, zejména v případě nízkých výdělků, je ovlivněn rovněž zásahy státu v oblasti minimální mzdy a minimálních úrovních zaručené mzdy. Od 1. ledna 2016 došlo k navýšení minimální mzdy o 700 Kč a to na výši 9 900 Kč/měsíc</w:t>
      </w:r>
      <w:r w:rsidR="00110B70">
        <w:t>, tj. cca o </w:t>
      </w:r>
      <w:r w:rsidR="00A0153B">
        <w:t>7,6 %. Minimální mzda tak vzrostla z 33,1 % průměrné mzdy v roce 2015 na 34,7</w:t>
      </w:r>
      <w:r w:rsidR="000F62D5">
        <w:t> </w:t>
      </w:r>
      <w:r w:rsidR="00A0153B">
        <w:t xml:space="preserve">% průměrné mzdy v 1. polovině roku 2016. S dalším navyšováním mezd v průběhu roku 2016 však podíl minimální mzdy na průměrné mzdě v roce 2016 v celoročním průměru poklesl na hladinu 34,2 %. Od 1. ledna roku 2017 došlo k dalšímu navýšení minimální mzdy, tentokrát o 1 100 Kč na úroveň 11 000 Kč. </w:t>
      </w:r>
      <w:r w:rsidR="00A0153B" w:rsidRPr="009E0DC4">
        <w:rPr>
          <w:b/>
        </w:rPr>
        <w:t>V 1Q 2017 tak minimální mzda dosáhla úrovně 37,2 % průměrné mzdy v 1Q 2017</w:t>
      </w:r>
      <w:r w:rsidR="00A0153B">
        <w:t>. Podíl minimální mzdy na mzdě průměrné však bude se vzrůstající průměrnou mzdou obdobně jako v loňském roce klesat.</w:t>
      </w:r>
    </w:p>
    <w:p w:rsidR="00794837" w:rsidRDefault="00CC1E2A" w:rsidP="00110B70">
      <w:pPr>
        <w:pStyle w:val="Nadpis3"/>
      </w:pPr>
      <w:bookmarkStart w:id="49" w:name="_Toc492628591"/>
      <w:r>
        <w:t>Průměrná „nástupní“ mzda</w:t>
      </w:r>
      <w:r>
        <w:rPr>
          <w:rStyle w:val="Znakapoznpodarou"/>
        </w:rPr>
        <w:footnoteReference w:id="6"/>
      </w:r>
      <w:bookmarkEnd w:id="49"/>
    </w:p>
    <w:p w:rsidR="00794837" w:rsidRDefault="00CC1E2A" w:rsidP="00110B70">
      <w:pPr>
        <w:spacing w:before="120" w:line="240" w:lineRule="auto"/>
      </w:pPr>
      <w:r>
        <w:t xml:space="preserve">Pro posouzení disproporcí na trhu práce v oblasti nabídky a poptávky, zejména v případě aktivizace volné pracovní síly, je nezbytné posoudit poptávkovou stranu trhu práce nikoliv jen s ohledem na průměrné či mediánové mzdy, kterých zaměstnanec dosáhne až po určité době, ale zejména ty mzdy, které jsou ze strany zaměstnavatelů potenciálním zaměstnancům nabízeny v průběhu náboru, resp. v době jejich nástupu do zaměstnání. Jelikož </w:t>
      </w:r>
      <w:r w:rsidR="00504CDB">
        <w:t>statistika nabízených výdělků z databáze VPM evidovaných UP ČR neexistuje, lze zástupně použít strukturu průměrných výdělků podle doby zaměstnání, kterou sleduje ČSÚ ve strukturální statistice mezd zaměstnanců.</w:t>
      </w:r>
    </w:p>
    <w:p w:rsidR="00504CDB" w:rsidRDefault="00504CDB" w:rsidP="00110B70">
      <w:pPr>
        <w:spacing w:before="120" w:line="240" w:lineRule="auto"/>
      </w:pPr>
      <w:r>
        <w:t xml:space="preserve">Podle ČSÚ v roce 2016 činila průměrná mzda 29 061 Kč/měsíc, medián mezd potom 24 934 Kč/měsíc. </w:t>
      </w:r>
      <w:r>
        <w:rPr>
          <w:b/>
        </w:rPr>
        <w:t xml:space="preserve">Průměrná měsíční mzda do jednoho roku trvání zaměstnání však činila 23 035 Kč, mediánová dokonce jen 20 969 Kč. </w:t>
      </w:r>
      <w:r>
        <w:t xml:space="preserve">Mzda do jednoho roku zaměstnání u </w:t>
      </w:r>
      <w:r w:rsidR="00C64F55">
        <w:t xml:space="preserve">jednoho </w:t>
      </w:r>
      <w:r>
        <w:t>zaměstnavatele tak bez ohledu na věk byla v průměru nižší o</w:t>
      </w:r>
      <w:r w:rsidR="00C64F55">
        <w:t> </w:t>
      </w:r>
      <w:r>
        <w:t xml:space="preserve">více </w:t>
      </w:r>
      <w:r w:rsidR="00F07A18">
        <w:t>než</w:t>
      </w:r>
      <w:r>
        <w:t xml:space="preserve"> 6 </w:t>
      </w:r>
      <w:r w:rsidR="00C64F55">
        <w:t>tis.</w:t>
      </w:r>
      <w:r>
        <w:t xml:space="preserve"> Kč, v mediánu o zhruba 4,5 tisíce. </w:t>
      </w:r>
      <w:r>
        <w:rPr>
          <w:b/>
        </w:rPr>
        <w:t>Mediánová mzda žen do 1 roku zaměstnání</w:t>
      </w:r>
      <w:r>
        <w:t xml:space="preserve"> bez ohledu na věk</w:t>
      </w:r>
      <w:r>
        <w:rPr>
          <w:b/>
        </w:rPr>
        <w:t xml:space="preserve"> činila pouze 18 673 Kč/měsíčně.</w:t>
      </w:r>
      <w:r w:rsidR="00F07A18">
        <w:rPr>
          <w:b/>
        </w:rPr>
        <w:t xml:space="preserve"> </w:t>
      </w:r>
      <w:r w:rsidR="00F07A18">
        <w:t>Z tohoto pohledu je nutné zmínit, že z dat ČSÚ vyplývá, že ženy musejí u jednoho zaměstnavatele strávit alespoň 5 až 6 let, aby dosáhly na mzdu mužů při nástupu, resp. úrovně mzdy, kterou obdrží muži pracující méně než jeden rok u současného zaměstnavatele. Nástupní průměrná mzda tedy činila v roce 2016 zhruba 80 % mzdy průměrné, v případě mediánu pak 81,4 %.</w:t>
      </w:r>
    </w:p>
    <w:p w:rsidR="00C64F55" w:rsidRDefault="00C64F55" w:rsidP="00C64F55">
      <w:pPr>
        <w:spacing w:before="120" w:line="240" w:lineRule="auto"/>
      </w:pPr>
      <w:r>
        <w:fldChar w:fldCharType="begin"/>
      </w:r>
      <w:r>
        <w:instrText xml:space="preserve"> REF _Ref489889325 \h  \* MERGEFORMAT </w:instrText>
      </w:r>
      <w:r>
        <w:fldChar w:fldCharType="separate"/>
      </w:r>
      <w:r w:rsidR="00410665">
        <w:t xml:space="preserve">Graf č.: </w:t>
      </w:r>
      <w:r w:rsidR="00410665">
        <w:rPr>
          <w:noProof/>
        </w:rPr>
        <w:t>10</w:t>
      </w:r>
      <w:r>
        <w:fldChar w:fldCharType="end"/>
      </w:r>
      <w:r>
        <w:t xml:space="preserve"> zobrazuje vývoj „nástupních“ mezd (mzdy do 1 roku zaměstnání u stávajícího zaměstnavatele) jak v průměru, tak mediánu, a to v porovnání k průměrné a mediánové mzdě podle dat ČSÚ, včetně vývoje poměru mzdy nástupní k mediánu a průměru mzdy. Z grafu je patrné, že mzdy do jednoho roku zaměstnání rostly mzdy roky 2015 a 2014 rychleji než průměr i medián mzdy, mezi lety 2016 a 2015 pak již jen ve vztahu k mediánu, nicméně je zřejmé, že nástupní mzdy rostou o něco výrazněji. Z dat rovněž vyplývá, že v roce 2016 nebylo u stávajícího zaměstnavatele zaměstnáno déle než 1 rok zhruba 8,6 % zaměstnanců, do dvou let pak zhruba 1/5 zaměstnanců.</w:t>
      </w:r>
    </w:p>
    <w:p w:rsidR="00F07A18" w:rsidRDefault="00F07A18" w:rsidP="00110B70">
      <w:pPr>
        <w:spacing w:before="120" w:line="240" w:lineRule="auto"/>
      </w:pPr>
    </w:p>
    <w:p w:rsidR="00F07A18" w:rsidRDefault="00F07A18" w:rsidP="00110B70">
      <w:pPr>
        <w:pStyle w:val="Titulek"/>
        <w:keepNext/>
      </w:pPr>
      <w:bookmarkStart w:id="50" w:name="_Ref489889325"/>
      <w:bookmarkStart w:id="51" w:name="_Toc492555040"/>
      <w:r>
        <w:t xml:space="preserve">Graf č.: </w:t>
      </w:r>
      <w:fldSimple w:instr=" SEQ Graf_č.: \* ARABIC ">
        <w:r w:rsidR="00410665">
          <w:rPr>
            <w:noProof/>
          </w:rPr>
          <w:t>10</w:t>
        </w:r>
      </w:fldSimple>
      <w:bookmarkEnd w:id="50"/>
      <w:r>
        <w:t xml:space="preserve"> Vývoj "nástupních" mezd</w:t>
      </w:r>
      <w:bookmarkEnd w:id="51"/>
    </w:p>
    <w:p w:rsidR="00F07A18" w:rsidRPr="00F07A18" w:rsidRDefault="00F07A18" w:rsidP="00110B70">
      <w:pPr>
        <w:spacing w:before="120" w:line="240" w:lineRule="auto"/>
      </w:pPr>
      <w:r>
        <w:rPr>
          <w:noProof/>
          <w:lang w:eastAsia="cs-CZ"/>
        </w:rPr>
        <w:drawing>
          <wp:inline distT="0" distB="0" distL="0" distR="0" wp14:anchorId="517DD1C1" wp14:editId="62E4C83B">
            <wp:extent cx="5762847" cy="2743200"/>
            <wp:effectExtent l="0" t="0" r="9525" b="1905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E0DC4" w:rsidRDefault="009E0DC4" w:rsidP="00110B70">
      <w:pPr>
        <w:pStyle w:val="Nadpis3"/>
      </w:pPr>
      <w:bookmarkStart w:id="52" w:name="_Toc492555013"/>
      <w:bookmarkStart w:id="53" w:name="_Toc492628592"/>
      <w:bookmarkStart w:id="54" w:name="_Toc492628594"/>
      <w:bookmarkEnd w:id="52"/>
      <w:bookmarkEnd w:id="53"/>
      <w:r>
        <w:t>Platová sféra</w:t>
      </w:r>
      <w:bookmarkEnd w:id="54"/>
    </w:p>
    <w:p w:rsidR="007153CF" w:rsidRDefault="00C64F55" w:rsidP="00110B70">
      <w:pPr>
        <w:spacing w:before="120" w:line="240" w:lineRule="auto"/>
      </w:pPr>
      <w:r>
        <w:rPr>
          <w:noProof/>
          <w:lang w:eastAsia="cs-CZ"/>
        </w:rPr>
        <mc:AlternateContent>
          <mc:Choice Requires="wps">
            <w:drawing>
              <wp:anchor distT="0" distB="0" distL="114300" distR="114300" simplePos="0" relativeHeight="251674624" behindDoc="0" locked="0" layoutInCell="1" allowOverlap="1" wp14:anchorId="34145416" wp14:editId="0AEAA809">
                <wp:simplePos x="0" y="0"/>
                <wp:positionH relativeFrom="column">
                  <wp:posOffset>-4445</wp:posOffset>
                </wp:positionH>
                <wp:positionV relativeFrom="paragraph">
                  <wp:posOffset>1651000</wp:posOffset>
                </wp:positionV>
                <wp:extent cx="5623560" cy="233680"/>
                <wp:effectExtent l="0" t="0" r="0" b="0"/>
                <wp:wrapTight wrapText="bothSides">
                  <wp:wrapPolygon edited="0">
                    <wp:start x="0" y="0"/>
                    <wp:lineTo x="0" y="19370"/>
                    <wp:lineTo x="21512" y="19370"/>
                    <wp:lineTo x="21512" y="0"/>
                    <wp:lineTo x="0" y="0"/>
                  </wp:wrapPolygon>
                </wp:wrapTight>
                <wp:docPr id="521" name="Textové pole 521"/>
                <wp:cNvGraphicFramePr/>
                <a:graphic xmlns:a="http://schemas.openxmlformats.org/drawingml/2006/main">
                  <a:graphicData uri="http://schemas.microsoft.com/office/word/2010/wordprocessingShape">
                    <wps:wsp>
                      <wps:cNvSpPr txBox="1"/>
                      <wps:spPr>
                        <a:xfrm>
                          <a:off x="0" y="0"/>
                          <a:ext cx="5623560" cy="233680"/>
                        </a:xfrm>
                        <a:prstGeom prst="rect">
                          <a:avLst/>
                        </a:prstGeom>
                        <a:solidFill>
                          <a:prstClr val="white"/>
                        </a:solidFill>
                        <a:ln>
                          <a:noFill/>
                        </a:ln>
                        <a:effectLst/>
                      </wps:spPr>
                      <wps:txbx>
                        <w:txbxContent>
                          <w:p w:rsidR="00B235F1" w:rsidRPr="00010A93" w:rsidRDefault="00B235F1" w:rsidP="007153CF">
                            <w:pPr>
                              <w:pStyle w:val="Titulek"/>
                              <w:rPr>
                                <w:sz w:val="24"/>
                              </w:rPr>
                            </w:pPr>
                            <w:bookmarkStart w:id="55" w:name="_Ref491937806"/>
                            <w:bookmarkStart w:id="56" w:name="_Toc492555041"/>
                            <w:r>
                              <w:t xml:space="preserve">Graf č.: </w:t>
                            </w:r>
                            <w:fldSimple w:instr=" SEQ Graf_č.: \* ARABIC ">
                              <w:r>
                                <w:rPr>
                                  <w:noProof/>
                                </w:rPr>
                                <w:t>11</w:t>
                              </w:r>
                            </w:fldSimple>
                            <w:bookmarkEnd w:id="55"/>
                            <w:r>
                              <w:t xml:space="preserve"> Vývoj platů</w:t>
                            </w:r>
                            <w:bookmarkEnd w:id="5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521" o:spid="_x0000_s1027" type="#_x0000_t202" style="position:absolute;left:0;text-align:left;margin-left:-.35pt;margin-top:130pt;width:442.8pt;height:18.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" stroked="f">
                <v:textbox inset="0,0,0,0">
                  <w:txbxContent>
                    <w:p w:rsidR="00B235F1" w:rsidRPr="00010A93" w:rsidRDefault="00B235F1" w:rsidP="007153CF">
                      <w:pPr>
                        <w:pStyle w:val="Titulek"/>
                        <w:rPr>
                          <w:sz w:val="24"/>
                        </w:rPr>
                      </w:pPr>
                      <w:bookmarkStart w:id="59" w:name="_Ref491937806"/>
                      <w:bookmarkStart w:id="60" w:name="_Toc492555041"/>
                      <w:r>
                        <w:t xml:space="preserve">Graf č.: </w:t>
                      </w:r>
                      <w:fldSimple w:instr=" SEQ Graf_č.: \* ARABIC ">
                        <w:r>
                          <w:rPr>
                            <w:noProof/>
                          </w:rPr>
                          <w:t>11</w:t>
                        </w:r>
                      </w:fldSimple>
                      <w:bookmarkEnd w:id="59"/>
                      <w:r>
                        <w:t xml:space="preserve"> Vývoj platů</w:t>
                      </w:r>
                      <w:bookmarkEnd w:id="60"/>
                    </w:p>
                  </w:txbxContent>
                </v:textbox>
                <w10:wrap type="tight"/>
              </v:shape>
            </w:pict>
          </mc:Fallback>
        </mc:AlternateContent>
      </w:r>
      <w:r>
        <w:rPr>
          <w:noProof/>
          <w:lang w:eastAsia="cs-CZ"/>
        </w:rPr>
        <w:drawing>
          <wp:anchor distT="0" distB="0" distL="114300" distR="114300" simplePos="0" relativeHeight="251665408" behindDoc="1" locked="0" layoutInCell="1" allowOverlap="1" wp14:anchorId="673D2527" wp14:editId="2FC738BD">
            <wp:simplePos x="0" y="0"/>
            <wp:positionH relativeFrom="column">
              <wp:posOffset>-5080</wp:posOffset>
            </wp:positionH>
            <wp:positionV relativeFrom="paragraph">
              <wp:posOffset>1908175</wp:posOffset>
            </wp:positionV>
            <wp:extent cx="5762625" cy="2724150"/>
            <wp:effectExtent l="0" t="0" r="9525" b="19050"/>
            <wp:wrapSquare wrapText="bothSides"/>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C669A7">
        <w:t xml:space="preserve">Rovněž v platové sféře dochází k růstu výdělků. </w:t>
      </w:r>
      <w:r w:rsidR="00C669A7" w:rsidRPr="00C669A7">
        <w:rPr>
          <w:b/>
        </w:rPr>
        <w:t>Průměrný hrubý měsíční plat dosáhl v roce 2016 hodnoty 29 501 Kč, což je o 5,5 % více než v roce 2015</w:t>
      </w:r>
      <w:r w:rsidR="00C669A7">
        <w:t xml:space="preserve">. Průměrné platy tak v roce 2016 rostly rychleji než výdělky ve mzdové sféře, přičemž nejvýraznější nárůst byl zaznamenán u hl. třídy zaměstnání </w:t>
      </w:r>
      <w:r w:rsidR="00C669A7">
        <w:rPr>
          <w:i/>
        </w:rPr>
        <w:t>zaměstnanců v ozbrojených silách</w:t>
      </w:r>
      <w:r w:rsidR="00C669A7">
        <w:t xml:space="preserve"> (11,53 %), růst platů byl však relativně i nominálně vyšší ve většině hl. tříd zaměstnání. Tradičně je platová sféra charakterizovaná vyšší nivelizací příjmů a menším rozdílem mezi mediánovým a průměrným platem</w:t>
      </w:r>
      <w:r w:rsidR="00A20664">
        <w:t xml:space="preserve">. Napříč sekcemi ekonomických činností byl růst platů více méně vyrovnaný a osciloval kolem 5 %, viz </w:t>
      </w:r>
      <w:r w:rsidR="00DC7345">
        <w:fldChar w:fldCharType="begin"/>
      </w:r>
      <w:r w:rsidR="00DC7345">
        <w:instrText xml:space="preserve"> REF _Ref491937806 \h </w:instrText>
      </w:r>
      <w:r w:rsidR="00DC7345">
        <w:fldChar w:fldCharType="separate"/>
      </w:r>
      <w:r w:rsidR="00410665">
        <w:t xml:space="preserve">Graf č.: </w:t>
      </w:r>
      <w:r w:rsidR="00410665">
        <w:rPr>
          <w:noProof/>
        </w:rPr>
        <w:t>11</w:t>
      </w:r>
      <w:r w:rsidR="00DC7345">
        <w:fldChar w:fldCharType="end"/>
      </w:r>
      <w:r w:rsidR="00A20664">
        <w:t>.</w:t>
      </w:r>
    </w:p>
    <w:p w:rsidR="007153CF" w:rsidRPr="007153CF" w:rsidRDefault="007153CF" w:rsidP="007153CF">
      <w:pPr>
        <w:jc w:val="right"/>
        <w:rPr>
          <w:i/>
          <w:sz w:val="20"/>
        </w:rPr>
      </w:pPr>
      <w:r>
        <w:rPr>
          <w:i/>
          <w:sz w:val="20"/>
        </w:rPr>
        <w:t xml:space="preserve">PZN: popis sekcí viz str. </w:t>
      </w:r>
      <w:r>
        <w:rPr>
          <w:i/>
          <w:sz w:val="20"/>
        </w:rPr>
        <w:fldChar w:fldCharType="begin"/>
      </w:r>
      <w:r>
        <w:rPr>
          <w:i/>
          <w:sz w:val="20"/>
        </w:rPr>
        <w:instrText xml:space="preserve"> PAGEREF _Ref490058695 \h </w:instrText>
      </w:r>
      <w:r>
        <w:rPr>
          <w:i/>
          <w:sz w:val="20"/>
        </w:rPr>
      </w:r>
      <w:r>
        <w:rPr>
          <w:i/>
          <w:sz w:val="20"/>
        </w:rPr>
        <w:fldChar w:fldCharType="separate"/>
      </w:r>
      <w:r w:rsidR="00410665">
        <w:rPr>
          <w:i/>
          <w:noProof/>
          <w:sz w:val="20"/>
        </w:rPr>
        <w:t>9</w:t>
      </w:r>
      <w:r>
        <w:rPr>
          <w:i/>
          <w:sz w:val="20"/>
        </w:rPr>
        <w:fldChar w:fldCharType="end"/>
      </w:r>
    </w:p>
    <w:p w:rsidR="00F317DD" w:rsidRDefault="007153CF" w:rsidP="00110B70">
      <w:pPr>
        <w:pStyle w:val="Titulek"/>
        <w:keepNext/>
      </w:pPr>
      <w:bookmarkStart w:id="57" w:name="_Toc492555042"/>
      <w:r>
        <w:t>G</w:t>
      </w:r>
      <w:r w:rsidR="00F317DD">
        <w:t xml:space="preserve">raf č.: </w:t>
      </w:r>
      <w:fldSimple w:instr=" SEQ Graf_č.: \* ARABIC ">
        <w:r w:rsidR="00410665">
          <w:rPr>
            <w:noProof/>
          </w:rPr>
          <w:t>12</w:t>
        </w:r>
      </w:fldSimple>
      <w:r w:rsidR="00F317DD">
        <w:t xml:space="preserve"> Meziroční změna mezd a platů mezi lety 2015 a 2016</w:t>
      </w:r>
      <w:bookmarkEnd w:id="57"/>
    </w:p>
    <w:p w:rsidR="00AB7240" w:rsidRDefault="00F317DD" w:rsidP="00110B70">
      <w:pPr>
        <w:spacing w:before="120" w:line="240" w:lineRule="auto"/>
      </w:pPr>
      <w:r>
        <w:rPr>
          <w:noProof/>
          <w:lang w:eastAsia="cs-CZ"/>
        </w:rPr>
        <w:drawing>
          <wp:inline distT="0" distB="0" distL="0" distR="0" wp14:anchorId="130E9DA7" wp14:editId="32C2D7E6">
            <wp:extent cx="5762625" cy="2752725"/>
            <wp:effectExtent l="0" t="0" r="9525" b="9525"/>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153CF" w:rsidRDefault="007153CF">
      <w:pPr>
        <w:spacing w:after="200"/>
        <w:jc w:val="left"/>
        <w:rPr>
          <w:rFonts w:eastAsiaTheme="majorEastAsia" w:cstheme="majorBidi"/>
          <w:b/>
          <w:bCs/>
          <w:szCs w:val="26"/>
          <w:u w:val="single"/>
        </w:rPr>
      </w:pPr>
    </w:p>
    <w:p w:rsidR="00F317DD" w:rsidRDefault="00AB7240" w:rsidP="00110B70">
      <w:pPr>
        <w:pStyle w:val="Nadpis2"/>
        <w:spacing w:line="240" w:lineRule="auto"/>
      </w:pPr>
      <w:bookmarkStart w:id="58" w:name="_Toc492628595"/>
      <w:r>
        <w:t>Struktura uchazečů o zaměstnání</w:t>
      </w:r>
      <w:bookmarkEnd w:id="58"/>
    </w:p>
    <w:p w:rsidR="00AB7240" w:rsidRDefault="0096797E" w:rsidP="00110B70">
      <w:pPr>
        <w:spacing w:before="120" w:line="240" w:lineRule="auto"/>
      </w:pPr>
      <w:r>
        <w:t>Pozitivní vývoj na trhu práce, který pokračoval po celé období 1. pololetí roku 2017, vyvrcholil v červnu 2017 historicky nejnižší úrovní nezaměstnanosti v České republice. K 30. 6. 2017 evidoval ÚP ČR 297 439 UoZ, z toho 274 499 dosažitelných</w:t>
      </w:r>
      <w:r w:rsidR="000F62D5">
        <w:rPr>
          <w:rStyle w:val="Znakapoznpodarou"/>
        </w:rPr>
        <w:footnoteReference w:id="7"/>
      </w:r>
      <w:r>
        <w:t>. Pozitivní trend lze při tom vysledovat i v poklesu absolutních počtů znevýhodněných UoZ, jejich podíl na nezaměstnanosti však v některých skupinách, s ohledem na celkový počet evidovaných UoZ, stoupá.</w:t>
      </w:r>
    </w:p>
    <w:p w:rsidR="0096797E" w:rsidRDefault="0096797E" w:rsidP="00110B70">
      <w:pPr>
        <w:pStyle w:val="Nadpis3"/>
      </w:pPr>
      <w:bookmarkStart w:id="59" w:name="_Toc492628596"/>
      <w:r>
        <w:t>Zastoupení rizikových skupin</w:t>
      </w:r>
      <w:bookmarkEnd w:id="59"/>
    </w:p>
    <w:p w:rsidR="00C64F55" w:rsidRDefault="0096797E" w:rsidP="00975FB2">
      <w:pPr>
        <w:spacing w:line="240" w:lineRule="auto"/>
      </w:pPr>
      <w:r>
        <w:t xml:space="preserve">Přes pozitivní vývoj trhu práce nadále existují skupiny nezaměstnaných osob, které pro své individuální charakteristiky mají zhoršený přístup na trh práce. Jedná se zejména o znevýhodnění spočívající ve vysokém věku (předdůchodový věk), zdravotním stavu, nízké kvalifikaci, péči o dítě či jinou závislou osobu, potažmo v dalších </w:t>
      </w:r>
      <w:r w:rsidR="00A437DE">
        <w:t>znevýhodněních</w:t>
      </w:r>
      <w:r>
        <w:t xml:space="preserve"> </w:t>
      </w:r>
      <w:r w:rsidR="00C64F55">
        <w:t>(</w:t>
      </w:r>
      <w:r>
        <w:t>záznam v rejstříku trestů</w:t>
      </w:r>
      <w:r w:rsidR="00A437DE">
        <w:t>, sociokulturní původ, závislosti apod.</w:t>
      </w:r>
      <w:r w:rsidR="00C64F55">
        <w:t>)</w:t>
      </w:r>
      <w:r w:rsidR="00A437DE">
        <w:t xml:space="preserve"> </w:t>
      </w:r>
      <w:r w:rsidR="00623753">
        <w:t xml:space="preserve">Absolutní počty znevýhodněných UoZ po krajích zobrazuje </w:t>
      </w:r>
      <w:r w:rsidR="00623753">
        <w:fldChar w:fldCharType="begin"/>
      </w:r>
      <w:r w:rsidR="00623753">
        <w:instrText xml:space="preserve"> REF _Ref489955286 \h </w:instrText>
      </w:r>
      <w:r w:rsidR="00110B70">
        <w:instrText xml:space="preserve"> \* MERGEFORMAT </w:instrText>
      </w:r>
      <w:r w:rsidR="00623753">
        <w:fldChar w:fldCharType="separate"/>
      </w:r>
      <w:r w:rsidR="00410665">
        <w:t xml:space="preserve">Tabulka </w:t>
      </w:r>
      <w:r w:rsidR="00410665">
        <w:rPr>
          <w:noProof/>
        </w:rPr>
        <w:t>5</w:t>
      </w:r>
      <w:r w:rsidR="00623753">
        <w:fldChar w:fldCharType="end"/>
      </w:r>
      <w:r w:rsidR="00DC7345">
        <w:t>.</w:t>
      </w:r>
      <w:r w:rsidR="00C64F55">
        <w:t xml:space="preserve"> </w:t>
      </w:r>
      <w:r w:rsidR="00C64F55" w:rsidRPr="00623753">
        <w:t xml:space="preserve">Jak bylo uvedeno již v předcházející kapitole (kap. </w:t>
      </w:r>
      <w:r w:rsidR="00C64F55" w:rsidRPr="00623753">
        <w:fldChar w:fldCharType="begin"/>
      </w:r>
      <w:r w:rsidR="00C64F55" w:rsidRPr="00623753">
        <w:instrText xml:space="preserve"> REF _Ref489954344 \r \h </w:instrText>
      </w:r>
      <w:r w:rsidR="00C64F55">
        <w:instrText xml:space="preserve"> \* MERGEFORMAT </w:instrText>
      </w:r>
      <w:r w:rsidR="00C64F55" w:rsidRPr="00623753">
        <w:fldChar w:fldCharType="separate"/>
      </w:r>
      <w:r w:rsidR="00410665">
        <w:t>2.3</w:t>
      </w:r>
      <w:r w:rsidR="00C64F55" w:rsidRPr="00623753">
        <w:fldChar w:fldCharType="end"/>
      </w:r>
      <w:r w:rsidR="00C64F55" w:rsidRPr="00623753">
        <w:t xml:space="preserve">, str. </w:t>
      </w:r>
      <w:r w:rsidR="00C64F55" w:rsidRPr="00623753">
        <w:fldChar w:fldCharType="begin"/>
      </w:r>
      <w:r w:rsidR="00C64F55" w:rsidRPr="00623753">
        <w:instrText xml:space="preserve"> PAGEREF _Ref489954369 \h </w:instrText>
      </w:r>
      <w:r w:rsidR="00C64F55" w:rsidRPr="00623753">
        <w:fldChar w:fldCharType="separate"/>
      </w:r>
      <w:r w:rsidR="00410665">
        <w:rPr>
          <w:noProof/>
        </w:rPr>
        <w:t>6</w:t>
      </w:r>
      <w:r w:rsidR="00C64F55" w:rsidRPr="00623753">
        <w:fldChar w:fldCharType="end"/>
      </w:r>
      <w:r w:rsidR="00C64F55" w:rsidRPr="00623753">
        <w:t xml:space="preserve">) </w:t>
      </w:r>
      <w:r w:rsidR="00C64F55" w:rsidRPr="005E13A7">
        <w:rPr>
          <w:b/>
        </w:rPr>
        <w:t>projevuje se nedostatek pracovní síly a zvýšení poptávky po ní rapidním poklesem znevýhodnění a</w:t>
      </w:r>
      <w:r w:rsidR="00C64F55">
        <w:rPr>
          <w:b/>
        </w:rPr>
        <w:t>bsolventů, resp. osob do 25 let</w:t>
      </w:r>
      <w:r w:rsidR="00C64F55" w:rsidRPr="00623753">
        <w:t>. Osoby do 25 let byly jedinou skupinou UoZ, ve které počet evidovaných UoZ mezi obdobími sledování (tj. v průběhu 1. pololetí 2017)</w:t>
      </w:r>
      <w:r w:rsidR="00C64F55">
        <w:t xml:space="preserve"> klesal rychleji než celkový počet UoZ, a to o 28,8 % ve srovnání s celkovým poklesem počtu UoZ o 22 %. </w:t>
      </w:r>
      <w:r w:rsidR="00B77594">
        <w:rPr>
          <w:b/>
        </w:rPr>
        <w:t>K</w:t>
      </w:r>
      <w:r w:rsidR="00C64F55">
        <w:rPr>
          <w:b/>
        </w:rPr>
        <w:t xml:space="preserve">lesá </w:t>
      </w:r>
      <w:r w:rsidR="00B77594">
        <w:rPr>
          <w:b/>
        </w:rPr>
        <w:t xml:space="preserve">rovněž </w:t>
      </w:r>
      <w:r w:rsidR="00C64F55">
        <w:rPr>
          <w:b/>
        </w:rPr>
        <w:t xml:space="preserve">počet </w:t>
      </w:r>
      <w:r w:rsidR="0060345C">
        <w:rPr>
          <w:b/>
        </w:rPr>
        <w:t>UoZ</w:t>
      </w:r>
      <w:r w:rsidR="00C64F55">
        <w:rPr>
          <w:b/>
        </w:rPr>
        <w:t xml:space="preserve"> se zdravotním postižením</w:t>
      </w:r>
      <w:r w:rsidR="00C64F55">
        <w:t xml:space="preserve">, a to mezi pololetně o necelých 10 %. </w:t>
      </w:r>
      <w:r w:rsidR="00C64F55">
        <w:rPr>
          <w:b/>
        </w:rPr>
        <w:t xml:space="preserve">Za pozitivní lze označit pokles dlouhodobě nezaměstnaných UoZ, </w:t>
      </w:r>
      <w:r w:rsidR="00C64F55">
        <w:t>který při 19% poklesu drží krok s celkovou rychlostí poklesu UoZ (zejména ve skupině nezaměstnaných v rozmezí 12 – 24 měsíců), nicméně jejich podíl na UoZ mírně narostl, o necelých 1,5 p. b.</w:t>
      </w:r>
    </w:p>
    <w:p w:rsidR="00F871D5" w:rsidRDefault="00F871D5" w:rsidP="00975FB2">
      <w:pPr>
        <w:spacing w:line="240" w:lineRule="auto"/>
      </w:pPr>
    </w:p>
    <w:p w:rsidR="00F871D5" w:rsidRDefault="00F871D5" w:rsidP="00975FB2">
      <w:pPr>
        <w:spacing w:line="240" w:lineRule="auto"/>
      </w:pPr>
    </w:p>
    <w:p w:rsidR="00A437DE" w:rsidRDefault="00A437DE" w:rsidP="00110B70">
      <w:pPr>
        <w:pStyle w:val="Titulek"/>
        <w:keepNext/>
      </w:pPr>
      <w:bookmarkStart w:id="60" w:name="_Ref489955286"/>
      <w:bookmarkStart w:id="61" w:name="_Toc492555057"/>
      <w:r>
        <w:t xml:space="preserve">Tabulka </w:t>
      </w:r>
      <w:fldSimple w:instr=" SEQ Tabulka \* ARABIC ">
        <w:r w:rsidR="00410665">
          <w:rPr>
            <w:noProof/>
          </w:rPr>
          <w:t>5</w:t>
        </w:r>
      </w:fldSimple>
      <w:bookmarkEnd w:id="60"/>
      <w:r w:rsidR="00623753">
        <w:t xml:space="preserve"> </w:t>
      </w:r>
      <w:r>
        <w:t>Počty znevýhodněných UoZ k 30. 6. 2017 v ČR a krajích</w:t>
      </w:r>
      <w:bookmarkEnd w:id="61"/>
    </w:p>
    <w:tbl>
      <w:tblPr>
        <w:tblW w:w="9184" w:type="dxa"/>
        <w:tblInd w:w="-356" w:type="dxa"/>
        <w:tblLayout w:type="fixed"/>
        <w:tblCellMar>
          <w:left w:w="70" w:type="dxa"/>
          <w:right w:w="70" w:type="dxa"/>
        </w:tblCellMar>
        <w:tblLook w:val="04A0" w:firstRow="1" w:lastRow="0" w:firstColumn="1" w:lastColumn="0" w:noHBand="0" w:noVBand="1"/>
      </w:tblPr>
      <w:tblGrid>
        <w:gridCol w:w="892"/>
        <w:gridCol w:w="104"/>
        <w:gridCol w:w="892"/>
        <w:gridCol w:w="101"/>
        <w:gridCol w:w="867"/>
        <w:gridCol w:w="876"/>
        <w:gridCol w:w="882"/>
        <w:gridCol w:w="1049"/>
        <w:gridCol w:w="900"/>
        <w:gridCol w:w="1048"/>
        <w:gridCol w:w="851"/>
        <w:gridCol w:w="722"/>
      </w:tblGrid>
      <w:tr w:rsidR="00F871D5" w:rsidRPr="00A437DE" w:rsidTr="00F871D5">
        <w:trPr>
          <w:trHeight w:val="307"/>
        </w:trPr>
        <w:tc>
          <w:tcPr>
            <w:tcW w:w="892"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b/>
                <w:bCs/>
                <w:color w:val="000000"/>
                <w:sz w:val="16"/>
                <w:szCs w:val="16"/>
                <w:lang w:eastAsia="cs-CZ"/>
              </w:rPr>
            </w:pPr>
            <w:r w:rsidRPr="00975FB2">
              <w:rPr>
                <w:rFonts w:eastAsia="Times New Roman" w:cs="Arial"/>
                <w:b/>
                <w:bCs/>
                <w:color w:val="000000"/>
                <w:sz w:val="16"/>
                <w:szCs w:val="16"/>
                <w:lang w:eastAsia="cs-CZ"/>
              </w:rPr>
              <w:t>kraj</w:t>
            </w:r>
          </w:p>
        </w:tc>
        <w:tc>
          <w:tcPr>
            <w:tcW w:w="996" w:type="dxa"/>
            <w:gridSpan w:val="2"/>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rsidR="00F871D5" w:rsidRPr="00975FB2" w:rsidRDefault="00F871D5" w:rsidP="00110B70">
            <w:pPr>
              <w:spacing w:line="240" w:lineRule="auto"/>
              <w:jc w:val="center"/>
              <w:rPr>
                <w:rFonts w:eastAsia="Times New Roman" w:cs="Arial"/>
                <w:b/>
                <w:bCs/>
                <w:color w:val="000000"/>
                <w:sz w:val="16"/>
                <w:szCs w:val="16"/>
                <w:lang w:eastAsia="cs-CZ"/>
              </w:rPr>
            </w:pPr>
            <w:r w:rsidRPr="00975FB2">
              <w:rPr>
                <w:rFonts w:eastAsia="Times New Roman" w:cs="Arial"/>
                <w:b/>
                <w:bCs/>
                <w:color w:val="000000"/>
                <w:sz w:val="16"/>
                <w:szCs w:val="16"/>
                <w:lang w:eastAsia="cs-CZ"/>
              </w:rPr>
              <w:t>celkem UoZ</w:t>
            </w:r>
          </w:p>
        </w:tc>
        <w:tc>
          <w:tcPr>
            <w:tcW w:w="968"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OZP</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peč. o děti do 15 let</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do 25 let</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nad 50 let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max ZŠ</w:t>
            </w:r>
          </w:p>
        </w:tc>
        <w:tc>
          <w:tcPr>
            <w:tcW w:w="2621" w:type="dxa"/>
            <w:gridSpan w:val="3"/>
            <w:tcBorders>
              <w:top w:val="single" w:sz="8" w:space="0" w:color="auto"/>
              <w:left w:val="nil"/>
              <w:bottom w:val="nil"/>
              <w:right w:val="single" w:sz="8" w:space="0" w:color="000000"/>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evidence nad 12 M</w:t>
            </w:r>
          </w:p>
        </w:tc>
      </w:tr>
      <w:tr w:rsidR="00F871D5" w:rsidRPr="00A437DE" w:rsidTr="00F871D5">
        <w:trPr>
          <w:trHeight w:val="382"/>
        </w:trPr>
        <w:tc>
          <w:tcPr>
            <w:tcW w:w="892" w:type="dxa"/>
            <w:vMerge/>
            <w:tcBorders>
              <w:top w:val="nil"/>
              <w:left w:val="single" w:sz="8"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b/>
                <w:bCs/>
                <w:color w:val="000000"/>
                <w:sz w:val="16"/>
                <w:szCs w:val="16"/>
                <w:lang w:eastAsia="cs-CZ"/>
              </w:rPr>
            </w:pPr>
          </w:p>
        </w:tc>
        <w:tc>
          <w:tcPr>
            <w:tcW w:w="996" w:type="dxa"/>
            <w:gridSpan w:val="2"/>
            <w:vMerge/>
            <w:tcBorders>
              <w:top w:val="single" w:sz="8" w:space="0" w:color="auto"/>
              <w:left w:val="single" w:sz="4" w:space="0" w:color="auto"/>
              <w:bottom w:val="single" w:sz="4" w:space="0" w:color="auto"/>
              <w:right w:val="single" w:sz="8" w:space="0" w:color="auto"/>
            </w:tcBorders>
            <w:vAlign w:val="center"/>
            <w:hideMark/>
          </w:tcPr>
          <w:p w:rsidR="00F871D5" w:rsidRPr="00975FB2" w:rsidRDefault="00F871D5" w:rsidP="00110B70">
            <w:pPr>
              <w:spacing w:line="240" w:lineRule="auto"/>
              <w:jc w:val="left"/>
              <w:rPr>
                <w:rFonts w:eastAsia="Times New Roman" w:cs="Arial"/>
                <w:b/>
                <w:bCs/>
                <w:color w:val="000000"/>
                <w:sz w:val="16"/>
                <w:szCs w:val="16"/>
                <w:lang w:eastAsia="cs-CZ"/>
              </w:rPr>
            </w:pPr>
          </w:p>
        </w:tc>
        <w:tc>
          <w:tcPr>
            <w:tcW w:w="968" w:type="dxa"/>
            <w:gridSpan w:val="2"/>
            <w:vMerge/>
            <w:tcBorders>
              <w:top w:val="nil"/>
              <w:left w:val="nil"/>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876" w:type="dxa"/>
            <w:vMerge/>
            <w:tcBorders>
              <w:top w:val="nil"/>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882" w:type="dxa"/>
            <w:vMerge/>
            <w:tcBorders>
              <w:top w:val="nil"/>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1049" w:type="dxa"/>
            <w:vMerge/>
            <w:tcBorders>
              <w:top w:val="nil"/>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900" w:type="dxa"/>
            <w:vMerge/>
            <w:tcBorders>
              <w:top w:val="nil"/>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1048" w:type="dxa"/>
            <w:tcBorders>
              <w:top w:val="nil"/>
              <w:left w:val="nil"/>
              <w:bottom w:val="double" w:sz="6"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851" w:type="dxa"/>
            <w:tcBorders>
              <w:top w:val="single" w:sz="4" w:space="0" w:color="auto"/>
              <w:left w:val="nil"/>
              <w:bottom w:val="double" w:sz="6" w:space="0" w:color="auto"/>
              <w:right w:val="single" w:sz="4" w:space="0" w:color="auto"/>
            </w:tcBorders>
            <w:shd w:val="clear" w:color="auto" w:fill="auto"/>
            <w:vAlign w:val="center"/>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12M-24M</w:t>
            </w:r>
          </w:p>
        </w:tc>
        <w:tc>
          <w:tcPr>
            <w:tcW w:w="722" w:type="dxa"/>
            <w:tcBorders>
              <w:top w:val="single" w:sz="4" w:space="0" w:color="auto"/>
              <w:left w:val="nil"/>
              <w:bottom w:val="double" w:sz="6" w:space="0" w:color="auto"/>
              <w:right w:val="single" w:sz="8" w:space="0" w:color="auto"/>
            </w:tcBorders>
            <w:shd w:val="clear" w:color="auto" w:fill="auto"/>
            <w:vAlign w:val="center"/>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nad 24M</w:t>
            </w:r>
          </w:p>
        </w:tc>
      </w:tr>
      <w:tr w:rsidR="00F871D5" w:rsidRPr="00A437DE" w:rsidTr="00F871D5">
        <w:trPr>
          <w:trHeight w:val="337"/>
        </w:trPr>
        <w:tc>
          <w:tcPr>
            <w:tcW w:w="892"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left"/>
              <w:rPr>
                <w:rFonts w:eastAsia="Times New Roman" w:cs="Arial"/>
                <w:b/>
                <w:bCs/>
                <w:color w:val="000000"/>
                <w:sz w:val="16"/>
                <w:szCs w:val="16"/>
                <w:lang w:eastAsia="cs-CZ"/>
              </w:rPr>
            </w:pPr>
            <w:r w:rsidRPr="00975FB2">
              <w:rPr>
                <w:rFonts w:eastAsia="Times New Roman" w:cs="Arial"/>
                <w:b/>
                <w:bCs/>
                <w:color w:val="000000"/>
                <w:sz w:val="16"/>
                <w:szCs w:val="16"/>
                <w:lang w:eastAsia="cs-CZ"/>
              </w:rPr>
              <w:t xml:space="preserve"> ČR</w:t>
            </w:r>
          </w:p>
        </w:tc>
        <w:tc>
          <w:tcPr>
            <w:tcW w:w="996" w:type="dxa"/>
            <w:gridSpan w:val="2"/>
            <w:tcBorders>
              <w:top w:val="double" w:sz="6" w:space="0" w:color="auto"/>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297 439</w:t>
            </w:r>
          </w:p>
        </w:tc>
        <w:tc>
          <w:tcPr>
            <w:tcW w:w="968" w:type="dxa"/>
            <w:gridSpan w:val="2"/>
            <w:tcBorders>
              <w:top w:val="double" w:sz="6" w:space="0" w:color="auto"/>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49 337</w:t>
            </w:r>
          </w:p>
        </w:tc>
        <w:tc>
          <w:tcPr>
            <w:tcW w:w="876"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54 196</w:t>
            </w:r>
          </w:p>
        </w:tc>
        <w:tc>
          <w:tcPr>
            <w:tcW w:w="882"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33 335</w:t>
            </w:r>
          </w:p>
        </w:tc>
        <w:tc>
          <w:tcPr>
            <w:tcW w:w="1049"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106 575</w:t>
            </w:r>
          </w:p>
        </w:tc>
        <w:tc>
          <w:tcPr>
            <w:tcW w:w="900" w:type="dxa"/>
            <w:tcBorders>
              <w:top w:val="double" w:sz="6" w:space="0" w:color="auto"/>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94 336</w:t>
            </w:r>
          </w:p>
        </w:tc>
        <w:tc>
          <w:tcPr>
            <w:tcW w:w="1048" w:type="dxa"/>
            <w:tcBorders>
              <w:top w:val="nil"/>
              <w:left w:val="single" w:sz="4" w:space="0" w:color="auto"/>
              <w:bottom w:val="double" w:sz="6"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116 691</w:t>
            </w:r>
          </w:p>
        </w:tc>
        <w:tc>
          <w:tcPr>
            <w:tcW w:w="851" w:type="dxa"/>
            <w:tcBorders>
              <w:top w:val="nil"/>
              <w:left w:val="single" w:sz="4" w:space="0" w:color="auto"/>
              <w:bottom w:val="double" w:sz="6"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b/>
                <w:bCs/>
                <w:i/>
                <w:iCs/>
                <w:color w:val="000000"/>
                <w:sz w:val="16"/>
                <w:szCs w:val="16"/>
                <w:lang w:eastAsia="cs-CZ"/>
              </w:rPr>
            </w:pPr>
            <w:r w:rsidRPr="0029672F">
              <w:rPr>
                <w:rFonts w:eastAsia="Times New Roman" w:cs="Arial"/>
                <w:b/>
                <w:bCs/>
                <w:i/>
                <w:iCs/>
                <w:color w:val="000000"/>
                <w:sz w:val="16"/>
                <w:szCs w:val="16"/>
                <w:lang w:eastAsia="cs-CZ"/>
              </w:rPr>
              <w:t>36 100</w:t>
            </w:r>
          </w:p>
        </w:tc>
        <w:tc>
          <w:tcPr>
            <w:tcW w:w="722" w:type="dxa"/>
            <w:tcBorders>
              <w:top w:val="nil"/>
              <w:left w:val="single" w:sz="4" w:space="0" w:color="auto"/>
              <w:bottom w:val="double" w:sz="6"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b/>
                <w:bCs/>
                <w:i/>
                <w:iCs/>
                <w:color w:val="000000"/>
                <w:sz w:val="16"/>
                <w:szCs w:val="16"/>
                <w:lang w:eastAsia="cs-CZ"/>
              </w:rPr>
            </w:pPr>
            <w:r w:rsidRPr="00F07B99">
              <w:rPr>
                <w:rFonts w:eastAsia="Times New Roman" w:cs="Arial"/>
                <w:b/>
                <w:bCs/>
                <w:i/>
                <w:iCs/>
                <w:color w:val="000000"/>
                <w:sz w:val="16"/>
                <w:szCs w:val="16"/>
                <w:lang w:eastAsia="cs-CZ"/>
              </w:rPr>
              <w:t>80 591</w:t>
            </w:r>
          </w:p>
        </w:tc>
      </w:tr>
      <w:tr w:rsidR="00F871D5" w:rsidRPr="00A437DE" w:rsidTr="00F871D5">
        <w:trPr>
          <w:trHeight w:val="322"/>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Praha</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26 208</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2 507</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3 004</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2 360</w:t>
            </w:r>
          </w:p>
        </w:tc>
        <w:tc>
          <w:tcPr>
            <w:tcW w:w="1049" w:type="dxa"/>
            <w:tcBorders>
              <w:top w:val="single" w:sz="4" w:space="0" w:color="000000"/>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8406</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5 440</w:t>
            </w:r>
          </w:p>
        </w:tc>
        <w:tc>
          <w:tcPr>
            <w:tcW w:w="1048"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8 678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3 424</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5 254</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SČK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30 861</w:t>
            </w:r>
          </w:p>
        </w:tc>
        <w:tc>
          <w:tcPr>
            <w:tcW w:w="968" w:type="dxa"/>
            <w:gridSpan w:val="2"/>
            <w:tcBorders>
              <w:top w:val="single" w:sz="4" w:space="0" w:color="auto"/>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4 637</w:t>
            </w:r>
          </w:p>
        </w:tc>
        <w:tc>
          <w:tcPr>
            <w:tcW w:w="876" w:type="dxa"/>
            <w:tcBorders>
              <w:top w:val="single" w:sz="4" w:space="0" w:color="auto"/>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6 415</w:t>
            </w:r>
          </w:p>
        </w:tc>
        <w:tc>
          <w:tcPr>
            <w:tcW w:w="882" w:type="dxa"/>
            <w:tcBorders>
              <w:top w:val="single" w:sz="4" w:space="0" w:color="auto"/>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3 495</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10850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9 142</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11 009</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3 486</w:t>
            </w:r>
          </w:p>
        </w:tc>
        <w:tc>
          <w:tcPr>
            <w:tcW w:w="722" w:type="dxa"/>
            <w:tcBorders>
              <w:top w:val="single" w:sz="4" w:space="0" w:color="auto"/>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7 523</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JČK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12 938</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2 812</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2 366</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1 513</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4939</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3 634</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3 837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1 423</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2 414</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PLK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10 687</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2 449</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2 090</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1 166</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4112</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3 385</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3 567</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1 092</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2 475</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KVK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8 674</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1 083</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1 881</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987</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3186</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4 605</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3 758</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1 036</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2 722</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ULK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36 723</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5 972</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7 324</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4 642</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11897</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17 803</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16 454</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4 830</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11 624</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LBK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12 821</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2 077</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2 790</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1 594</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4329</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4 446</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4 555</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1 502</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3 053</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KHK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10 562</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1 979</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1 878</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1 334</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3746</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3 358</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3 386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1 199</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2 187</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PBK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9 783</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2 083</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1 883</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1 258</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3653</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2 788</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2 696</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968</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1 728</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VYS</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11 966</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2 709</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2 239</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1 317</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4684</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2 401</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4 482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1 276</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3 206</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JMK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38 043</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6 348</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6 784</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4 376</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12977</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10 019</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15 960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4 928</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11 032</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OLK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19 902</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3 405</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3 325</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2 010</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7516</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5 894</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7 972</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2 491</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5 481</w:t>
            </w:r>
          </w:p>
        </w:tc>
      </w:tr>
      <w:tr w:rsidR="00F871D5" w:rsidRPr="00A437DE" w:rsidTr="00F871D5">
        <w:trPr>
          <w:trHeight w:val="307"/>
        </w:trPr>
        <w:tc>
          <w:tcPr>
            <w:tcW w:w="892"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ZLK</w:t>
            </w:r>
          </w:p>
        </w:tc>
        <w:tc>
          <w:tcPr>
            <w:tcW w:w="996" w:type="dxa"/>
            <w:gridSpan w:val="2"/>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14 263</w:t>
            </w:r>
          </w:p>
        </w:tc>
        <w:tc>
          <w:tcPr>
            <w:tcW w:w="968" w:type="dxa"/>
            <w:gridSpan w:val="2"/>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2 866</w:t>
            </w:r>
          </w:p>
        </w:tc>
        <w:tc>
          <w:tcPr>
            <w:tcW w:w="87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2 832</w:t>
            </w:r>
          </w:p>
        </w:tc>
        <w:tc>
          <w:tcPr>
            <w:tcW w:w="88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1 554</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5532</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2 909</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4 950</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1 679</w:t>
            </w:r>
          </w:p>
        </w:tc>
        <w:tc>
          <w:tcPr>
            <w:tcW w:w="722" w:type="dxa"/>
            <w:tcBorders>
              <w:top w:val="nil"/>
              <w:left w:val="nil"/>
              <w:bottom w:val="single" w:sz="4"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3 271</w:t>
            </w:r>
          </w:p>
        </w:tc>
      </w:tr>
      <w:tr w:rsidR="00F871D5" w:rsidRPr="00A437DE" w:rsidTr="00F871D5">
        <w:trPr>
          <w:trHeight w:val="322"/>
        </w:trPr>
        <w:tc>
          <w:tcPr>
            <w:tcW w:w="892" w:type="dxa"/>
            <w:tcBorders>
              <w:top w:val="nil"/>
              <w:left w:val="single" w:sz="8" w:space="0" w:color="auto"/>
              <w:bottom w:val="nil"/>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MSK</w:t>
            </w:r>
          </w:p>
        </w:tc>
        <w:tc>
          <w:tcPr>
            <w:tcW w:w="996" w:type="dxa"/>
            <w:gridSpan w:val="2"/>
            <w:tcBorders>
              <w:top w:val="nil"/>
              <w:left w:val="single" w:sz="4" w:space="0" w:color="auto"/>
              <w:bottom w:val="single" w:sz="8" w:space="0" w:color="auto"/>
              <w:right w:val="single" w:sz="8"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54 008</w:t>
            </w:r>
          </w:p>
        </w:tc>
        <w:tc>
          <w:tcPr>
            <w:tcW w:w="968" w:type="dxa"/>
            <w:gridSpan w:val="2"/>
            <w:tcBorders>
              <w:top w:val="nil"/>
              <w:left w:val="nil"/>
              <w:bottom w:val="nil"/>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8 410</w:t>
            </w:r>
          </w:p>
        </w:tc>
        <w:tc>
          <w:tcPr>
            <w:tcW w:w="876" w:type="dxa"/>
            <w:tcBorders>
              <w:top w:val="nil"/>
              <w:left w:val="nil"/>
              <w:bottom w:val="nil"/>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9 385</w:t>
            </w:r>
          </w:p>
        </w:tc>
        <w:tc>
          <w:tcPr>
            <w:tcW w:w="882" w:type="dxa"/>
            <w:tcBorders>
              <w:top w:val="nil"/>
              <w:left w:val="nil"/>
              <w:bottom w:val="nil"/>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5 729</w:t>
            </w:r>
          </w:p>
        </w:tc>
        <w:tc>
          <w:tcPr>
            <w:tcW w:w="1049" w:type="dxa"/>
            <w:tcBorders>
              <w:top w:val="nil"/>
              <w:left w:val="nil"/>
              <w:bottom w:val="single" w:sz="4" w:space="0" w:color="000000"/>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20748</w:t>
            </w:r>
          </w:p>
        </w:tc>
        <w:tc>
          <w:tcPr>
            <w:tcW w:w="900" w:type="dxa"/>
            <w:tcBorders>
              <w:top w:val="nil"/>
              <w:left w:val="single" w:sz="4" w:space="0" w:color="auto"/>
              <w:bottom w:val="nil"/>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18 512</w:t>
            </w:r>
          </w:p>
        </w:tc>
        <w:tc>
          <w:tcPr>
            <w:tcW w:w="1048" w:type="dxa"/>
            <w:tcBorders>
              <w:top w:val="nil"/>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25 387</w:t>
            </w:r>
          </w:p>
        </w:tc>
        <w:tc>
          <w:tcPr>
            <w:tcW w:w="851" w:type="dxa"/>
            <w:tcBorders>
              <w:top w:val="nil"/>
              <w:left w:val="single" w:sz="4" w:space="0" w:color="auto"/>
              <w:bottom w:val="single" w:sz="8" w:space="0" w:color="auto"/>
              <w:right w:val="single" w:sz="4" w:space="0" w:color="auto"/>
            </w:tcBorders>
            <w:shd w:val="clear" w:color="auto" w:fill="auto"/>
            <w:noWrap/>
            <w:vAlign w:val="bottom"/>
            <w:hideMark/>
          </w:tcPr>
          <w:p w:rsidR="00F871D5" w:rsidRPr="008101BA" w:rsidRDefault="00F871D5" w:rsidP="00110B70">
            <w:pPr>
              <w:spacing w:line="240" w:lineRule="auto"/>
              <w:jc w:val="center"/>
              <w:rPr>
                <w:rFonts w:eastAsia="Times New Roman" w:cs="Arial"/>
                <w:i/>
                <w:iCs/>
                <w:color w:val="000000"/>
                <w:sz w:val="16"/>
                <w:szCs w:val="16"/>
                <w:lang w:eastAsia="cs-CZ"/>
              </w:rPr>
            </w:pPr>
            <w:r w:rsidRPr="0029672F">
              <w:rPr>
                <w:rFonts w:eastAsia="Times New Roman" w:cs="Arial"/>
                <w:i/>
                <w:iCs/>
                <w:color w:val="000000"/>
                <w:sz w:val="16"/>
                <w:szCs w:val="16"/>
                <w:lang w:eastAsia="cs-CZ"/>
              </w:rPr>
              <w:t>6 766</w:t>
            </w:r>
          </w:p>
        </w:tc>
        <w:tc>
          <w:tcPr>
            <w:tcW w:w="722" w:type="dxa"/>
            <w:tcBorders>
              <w:top w:val="nil"/>
              <w:left w:val="nil"/>
              <w:bottom w:val="single" w:sz="8" w:space="0" w:color="auto"/>
              <w:right w:val="single" w:sz="8" w:space="0" w:color="auto"/>
            </w:tcBorders>
            <w:shd w:val="clear" w:color="auto" w:fill="auto"/>
            <w:noWrap/>
            <w:vAlign w:val="bottom"/>
            <w:hideMark/>
          </w:tcPr>
          <w:p w:rsidR="00F871D5" w:rsidRPr="00975FB2" w:rsidRDefault="00F871D5" w:rsidP="00110B70">
            <w:pPr>
              <w:spacing w:line="240" w:lineRule="auto"/>
              <w:jc w:val="center"/>
              <w:rPr>
                <w:rFonts w:eastAsia="Times New Roman" w:cs="Arial"/>
                <w:i/>
                <w:iCs/>
                <w:color w:val="000000"/>
                <w:sz w:val="16"/>
                <w:szCs w:val="16"/>
                <w:lang w:eastAsia="cs-CZ"/>
              </w:rPr>
            </w:pPr>
            <w:r w:rsidRPr="00F07B99">
              <w:rPr>
                <w:rFonts w:eastAsia="Times New Roman" w:cs="Arial"/>
                <w:i/>
                <w:iCs/>
                <w:color w:val="000000"/>
                <w:sz w:val="16"/>
                <w:szCs w:val="16"/>
                <w:lang w:eastAsia="cs-CZ"/>
              </w:rPr>
              <w:t>18 621</w:t>
            </w:r>
          </w:p>
        </w:tc>
      </w:tr>
      <w:tr w:rsidR="00F871D5" w:rsidRPr="00A437DE" w:rsidTr="00F871D5">
        <w:trPr>
          <w:trHeight w:val="80"/>
        </w:trPr>
        <w:tc>
          <w:tcPr>
            <w:tcW w:w="2856" w:type="dxa"/>
            <w:gridSpan w:val="5"/>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975FB2">
              <w:rPr>
                <w:rFonts w:eastAsia="Times New Roman" w:cs="Arial"/>
                <w:color w:val="000000"/>
                <w:sz w:val="16"/>
                <w:szCs w:val="16"/>
                <w:lang w:eastAsia="cs-CZ"/>
              </w:rPr>
              <w:t> V tom ženy: </w:t>
            </w:r>
          </w:p>
        </w:tc>
        <w:tc>
          <w:tcPr>
            <w:tcW w:w="876" w:type="dxa"/>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882" w:type="dxa"/>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1049" w:type="dxa"/>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900" w:type="dxa"/>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1048" w:type="dxa"/>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851" w:type="dxa"/>
            <w:tcBorders>
              <w:top w:val="single" w:sz="8" w:space="0" w:color="auto"/>
              <w:left w:val="nil"/>
              <w:bottom w:val="nil"/>
              <w:right w:val="nil"/>
            </w:tcBorders>
            <w:shd w:val="clear" w:color="auto" w:fill="auto"/>
            <w:noWrap/>
            <w:vAlign w:val="bottom"/>
            <w:hideMark/>
          </w:tcPr>
          <w:p w:rsidR="00F871D5" w:rsidRPr="008101BA" w:rsidRDefault="00F871D5" w:rsidP="00110B70">
            <w:pPr>
              <w:spacing w:line="240" w:lineRule="auto"/>
              <w:jc w:val="left"/>
              <w:rPr>
                <w:rFonts w:eastAsia="Times New Roman" w:cs="Arial"/>
                <w:color w:val="000000"/>
                <w:sz w:val="16"/>
                <w:szCs w:val="16"/>
                <w:lang w:eastAsia="cs-CZ"/>
              </w:rPr>
            </w:pPr>
            <w:r w:rsidRPr="0029672F">
              <w:rPr>
                <w:rFonts w:eastAsia="Times New Roman" w:cs="Arial"/>
                <w:color w:val="000000"/>
                <w:sz w:val="16"/>
                <w:szCs w:val="16"/>
                <w:lang w:eastAsia="cs-CZ"/>
              </w:rPr>
              <w:t> </w:t>
            </w:r>
          </w:p>
        </w:tc>
        <w:tc>
          <w:tcPr>
            <w:tcW w:w="722" w:type="dxa"/>
            <w:tcBorders>
              <w:top w:val="single" w:sz="8" w:space="0" w:color="auto"/>
              <w:left w:val="nil"/>
              <w:bottom w:val="nil"/>
              <w:right w:val="nil"/>
            </w:tcBorders>
            <w:shd w:val="clear" w:color="auto" w:fill="auto"/>
            <w:noWrap/>
            <w:vAlign w:val="bottom"/>
            <w:hideMark/>
          </w:tcPr>
          <w:p w:rsidR="00F871D5" w:rsidRPr="00975FB2" w:rsidRDefault="00F871D5" w:rsidP="00110B70">
            <w:pPr>
              <w:spacing w:line="240" w:lineRule="auto"/>
              <w:jc w:val="left"/>
              <w:rPr>
                <w:rFonts w:eastAsia="Times New Roman" w:cs="Arial"/>
                <w:color w:val="000000"/>
                <w:sz w:val="16"/>
                <w:szCs w:val="16"/>
                <w:lang w:eastAsia="cs-CZ"/>
              </w:rPr>
            </w:pPr>
            <w:r w:rsidRPr="00F07B99">
              <w:rPr>
                <w:rFonts w:eastAsia="Times New Roman" w:cs="Arial"/>
                <w:color w:val="000000"/>
                <w:sz w:val="16"/>
                <w:szCs w:val="16"/>
                <w:lang w:eastAsia="cs-CZ"/>
              </w:rPr>
              <w:t> </w:t>
            </w:r>
          </w:p>
        </w:tc>
      </w:tr>
      <w:tr w:rsidR="00F871D5" w:rsidRPr="00A437DE" w:rsidTr="00F871D5">
        <w:trPr>
          <w:trHeight w:val="364"/>
        </w:trPr>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počet</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158 327</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25 665</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49 746</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16 050</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51 443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50 276</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63 729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871D5" w:rsidRPr="008101BA" w:rsidRDefault="00F871D5" w:rsidP="00110B70">
            <w:pPr>
              <w:spacing w:line="240" w:lineRule="auto"/>
              <w:jc w:val="center"/>
              <w:rPr>
                <w:rFonts w:eastAsia="Times New Roman" w:cs="Arial"/>
                <w:color w:val="000000"/>
                <w:sz w:val="16"/>
                <w:szCs w:val="16"/>
                <w:lang w:eastAsia="cs-CZ"/>
              </w:rPr>
            </w:pPr>
            <w:r w:rsidRPr="0029672F">
              <w:rPr>
                <w:rFonts w:eastAsia="Times New Roman" w:cs="Arial"/>
                <w:color w:val="000000"/>
                <w:sz w:val="16"/>
                <w:szCs w:val="16"/>
                <w:lang w:eastAsia="cs-CZ"/>
              </w:rPr>
              <w:t>20 194</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F07B99">
              <w:rPr>
                <w:rFonts w:eastAsia="Times New Roman" w:cs="Arial"/>
                <w:color w:val="000000"/>
                <w:sz w:val="16"/>
                <w:szCs w:val="16"/>
                <w:lang w:eastAsia="cs-CZ"/>
              </w:rPr>
              <w:t>43 535</w:t>
            </w:r>
          </w:p>
        </w:tc>
      </w:tr>
      <w:tr w:rsidR="00F871D5" w:rsidRPr="00A437DE" w:rsidTr="00F871D5">
        <w:trPr>
          <w:trHeight w:val="370"/>
        </w:trPr>
        <w:tc>
          <w:tcPr>
            <w:tcW w:w="996" w:type="dxa"/>
            <w:gridSpan w:val="2"/>
            <w:tcBorders>
              <w:top w:val="nil"/>
              <w:left w:val="single" w:sz="4" w:space="0" w:color="auto"/>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 ze SK</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53,23%</w:t>
            </w:r>
          </w:p>
        </w:tc>
        <w:tc>
          <w:tcPr>
            <w:tcW w:w="867"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52,02%</w:t>
            </w:r>
          </w:p>
        </w:tc>
        <w:tc>
          <w:tcPr>
            <w:tcW w:w="876"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91,79%</w:t>
            </w:r>
          </w:p>
        </w:tc>
        <w:tc>
          <w:tcPr>
            <w:tcW w:w="882"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48,15%</w:t>
            </w:r>
          </w:p>
        </w:tc>
        <w:tc>
          <w:tcPr>
            <w:tcW w:w="1049"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48,27%</w:t>
            </w:r>
          </w:p>
        </w:tc>
        <w:tc>
          <w:tcPr>
            <w:tcW w:w="900"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53,29%</w:t>
            </w:r>
          </w:p>
        </w:tc>
        <w:tc>
          <w:tcPr>
            <w:tcW w:w="1048"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54,61%</w:t>
            </w:r>
          </w:p>
        </w:tc>
        <w:tc>
          <w:tcPr>
            <w:tcW w:w="851" w:type="dxa"/>
            <w:tcBorders>
              <w:top w:val="nil"/>
              <w:left w:val="nil"/>
              <w:bottom w:val="single" w:sz="4" w:space="0" w:color="auto"/>
              <w:right w:val="single" w:sz="4" w:space="0" w:color="auto"/>
            </w:tcBorders>
            <w:shd w:val="clear" w:color="auto" w:fill="auto"/>
            <w:noWrap/>
            <w:vAlign w:val="center"/>
            <w:hideMark/>
          </w:tcPr>
          <w:p w:rsidR="00F871D5" w:rsidRPr="008101BA" w:rsidRDefault="00F871D5" w:rsidP="00110B70">
            <w:pPr>
              <w:spacing w:line="240" w:lineRule="auto"/>
              <w:jc w:val="center"/>
              <w:rPr>
                <w:rFonts w:eastAsia="Times New Roman" w:cs="Arial"/>
                <w:sz w:val="16"/>
                <w:szCs w:val="16"/>
                <w:lang w:eastAsia="cs-CZ"/>
              </w:rPr>
            </w:pPr>
            <w:r w:rsidRPr="0029672F">
              <w:rPr>
                <w:rFonts w:eastAsia="Times New Roman" w:cs="Arial"/>
                <w:sz w:val="16"/>
                <w:szCs w:val="16"/>
                <w:lang w:eastAsia="cs-CZ"/>
              </w:rPr>
              <w:t>55,94%</w:t>
            </w:r>
          </w:p>
        </w:tc>
        <w:tc>
          <w:tcPr>
            <w:tcW w:w="722" w:type="dxa"/>
            <w:tcBorders>
              <w:top w:val="nil"/>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F07B99">
              <w:rPr>
                <w:rFonts w:eastAsia="Times New Roman" w:cs="Arial"/>
                <w:sz w:val="16"/>
                <w:szCs w:val="16"/>
                <w:lang w:eastAsia="cs-CZ"/>
              </w:rPr>
              <w:t>54,02%</w:t>
            </w:r>
          </w:p>
        </w:tc>
      </w:tr>
      <w:tr w:rsidR="00F871D5" w:rsidRPr="00A437DE" w:rsidTr="00F871D5">
        <w:trPr>
          <w:trHeight w:val="362"/>
        </w:trPr>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 žen</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100,00%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sz w:val="16"/>
                <w:szCs w:val="16"/>
                <w:lang w:eastAsia="cs-CZ"/>
              </w:rPr>
            </w:pPr>
            <w:r w:rsidRPr="00975FB2">
              <w:rPr>
                <w:rFonts w:eastAsia="Times New Roman" w:cs="Arial"/>
                <w:sz w:val="16"/>
                <w:szCs w:val="16"/>
                <w:lang w:eastAsia="cs-CZ"/>
              </w:rPr>
              <w:t>16,21%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31,42%</w:t>
            </w:r>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10,14%</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32,49%</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31,75%</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40,25%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871D5" w:rsidRPr="008101BA" w:rsidRDefault="00F871D5" w:rsidP="00110B70">
            <w:pPr>
              <w:spacing w:line="240" w:lineRule="auto"/>
              <w:jc w:val="center"/>
              <w:rPr>
                <w:rFonts w:eastAsia="Times New Roman" w:cs="Arial"/>
                <w:color w:val="000000"/>
                <w:sz w:val="16"/>
                <w:szCs w:val="16"/>
                <w:lang w:eastAsia="cs-CZ"/>
              </w:rPr>
            </w:pPr>
            <w:r w:rsidRPr="0029672F">
              <w:rPr>
                <w:rFonts w:eastAsia="Times New Roman" w:cs="Arial"/>
                <w:color w:val="000000"/>
                <w:sz w:val="16"/>
                <w:szCs w:val="16"/>
                <w:lang w:eastAsia="cs-CZ"/>
              </w:rPr>
              <w:t>12,75%</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F07B99">
              <w:rPr>
                <w:rFonts w:eastAsia="Times New Roman" w:cs="Arial"/>
                <w:color w:val="000000"/>
                <w:sz w:val="16"/>
                <w:szCs w:val="16"/>
                <w:lang w:eastAsia="cs-CZ"/>
              </w:rPr>
              <w:t>27,50%</w:t>
            </w:r>
          </w:p>
        </w:tc>
      </w:tr>
    </w:tbl>
    <w:p w:rsidR="00A437DE" w:rsidRPr="0096797E" w:rsidRDefault="00A437DE" w:rsidP="00110B70">
      <w:pPr>
        <w:spacing w:line="240" w:lineRule="auto"/>
      </w:pPr>
    </w:p>
    <w:p w:rsidR="00D53991" w:rsidRDefault="00D53991" w:rsidP="00110B70">
      <w:pPr>
        <w:pStyle w:val="Titulek"/>
        <w:keepNext/>
      </w:pPr>
      <w:bookmarkStart w:id="62" w:name="_Ref489956520"/>
      <w:bookmarkStart w:id="63" w:name="_Toc492555058"/>
      <w:r>
        <w:t xml:space="preserve">Tabulka </w:t>
      </w:r>
      <w:fldSimple w:instr=" SEQ Tabulka \* ARABIC ">
        <w:r w:rsidR="00410665">
          <w:rPr>
            <w:noProof/>
          </w:rPr>
          <w:t>6</w:t>
        </w:r>
      </w:fldSimple>
      <w:bookmarkEnd w:id="62"/>
      <w:r>
        <w:t xml:space="preserve"> Podíly znevýhodněných osob v krajích k 30. 6. 2017</w:t>
      </w:r>
      <w:bookmarkEnd w:id="63"/>
    </w:p>
    <w:tbl>
      <w:tblPr>
        <w:tblW w:w="8823" w:type="dxa"/>
        <w:tblInd w:w="-356" w:type="dxa"/>
        <w:tblLayout w:type="fixed"/>
        <w:tblCellMar>
          <w:left w:w="70" w:type="dxa"/>
          <w:right w:w="70" w:type="dxa"/>
        </w:tblCellMar>
        <w:tblLook w:val="04A0" w:firstRow="1" w:lastRow="0" w:firstColumn="1" w:lastColumn="0" w:noHBand="0" w:noVBand="1"/>
      </w:tblPr>
      <w:tblGrid>
        <w:gridCol w:w="993"/>
        <w:gridCol w:w="993"/>
        <w:gridCol w:w="992"/>
        <w:gridCol w:w="1026"/>
        <w:gridCol w:w="894"/>
        <w:gridCol w:w="1090"/>
        <w:gridCol w:w="993"/>
        <w:gridCol w:w="850"/>
        <w:gridCol w:w="992"/>
      </w:tblGrid>
      <w:tr w:rsidR="00F871D5" w:rsidRPr="00D53991" w:rsidTr="00F871D5">
        <w:trPr>
          <w:trHeight w:val="300"/>
        </w:trPr>
        <w:tc>
          <w:tcPr>
            <w:tcW w:w="993" w:type="dxa"/>
            <w:vMerge w:val="restart"/>
            <w:tcBorders>
              <w:top w:val="single" w:sz="8" w:space="0" w:color="auto"/>
              <w:left w:val="single" w:sz="8" w:space="0" w:color="auto"/>
              <w:bottom w:val="double" w:sz="6" w:space="0" w:color="000000"/>
              <w:right w:val="single" w:sz="8" w:space="0" w:color="000000"/>
            </w:tcBorders>
            <w:shd w:val="clear" w:color="auto" w:fill="auto"/>
            <w:vAlign w:val="center"/>
            <w:hideMark/>
          </w:tcPr>
          <w:p w:rsidR="00F871D5" w:rsidRPr="00975FB2" w:rsidRDefault="00F871D5" w:rsidP="00110B70">
            <w:pPr>
              <w:spacing w:line="240" w:lineRule="auto"/>
              <w:jc w:val="left"/>
              <w:rPr>
                <w:rFonts w:ascii="Calibri" w:eastAsia="Times New Roman" w:hAnsi="Calibri" w:cs="Times New Roman"/>
                <w:b/>
                <w:bCs/>
                <w:color w:val="000000"/>
                <w:sz w:val="16"/>
                <w:szCs w:val="16"/>
                <w:lang w:eastAsia="cs-CZ"/>
              </w:rPr>
            </w:pPr>
            <w:r w:rsidRPr="00975FB2">
              <w:rPr>
                <w:rFonts w:ascii="Calibri" w:eastAsia="Times New Roman" w:hAnsi="Calibri" w:cs="Times New Roman"/>
                <w:b/>
                <w:bCs/>
                <w:color w:val="000000"/>
                <w:sz w:val="16"/>
                <w:szCs w:val="16"/>
                <w:lang w:eastAsia="cs-CZ"/>
              </w:rPr>
              <w:t>Kraj</w:t>
            </w:r>
          </w:p>
        </w:tc>
        <w:tc>
          <w:tcPr>
            <w:tcW w:w="993"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OZP</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pečující o děti do 15 let</w:t>
            </w:r>
          </w:p>
        </w:tc>
        <w:tc>
          <w:tcPr>
            <w:tcW w:w="10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do 25 let</w:t>
            </w:r>
          </w:p>
        </w:tc>
        <w:tc>
          <w:tcPr>
            <w:tcW w:w="89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nad 50 let</w:t>
            </w:r>
          </w:p>
        </w:tc>
        <w:tc>
          <w:tcPr>
            <w:tcW w:w="109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max. ZŠ</w:t>
            </w:r>
          </w:p>
        </w:tc>
        <w:tc>
          <w:tcPr>
            <w:tcW w:w="2835" w:type="dxa"/>
            <w:gridSpan w:val="3"/>
            <w:tcBorders>
              <w:top w:val="single" w:sz="8" w:space="0" w:color="auto"/>
              <w:left w:val="nil"/>
              <w:bottom w:val="nil"/>
              <w:right w:val="single" w:sz="8" w:space="0" w:color="000000"/>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evidence nad 12 M</w:t>
            </w:r>
          </w:p>
        </w:tc>
      </w:tr>
      <w:tr w:rsidR="00F871D5" w:rsidRPr="00D53991" w:rsidTr="00F871D5">
        <w:trPr>
          <w:trHeight w:val="328"/>
        </w:trPr>
        <w:tc>
          <w:tcPr>
            <w:tcW w:w="993" w:type="dxa"/>
            <w:vMerge/>
            <w:tcBorders>
              <w:top w:val="single" w:sz="8" w:space="0" w:color="auto"/>
              <w:left w:val="single" w:sz="8" w:space="0" w:color="auto"/>
              <w:bottom w:val="double" w:sz="6" w:space="0" w:color="000000"/>
              <w:right w:val="single" w:sz="8" w:space="0" w:color="000000"/>
            </w:tcBorders>
            <w:vAlign w:val="center"/>
            <w:hideMark/>
          </w:tcPr>
          <w:p w:rsidR="00F871D5" w:rsidRPr="00975FB2" w:rsidRDefault="00F871D5" w:rsidP="00110B70">
            <w:pPr>
              <w:spacing w:line="240" w:lineRule="auto"/>
              <w:jc w:val="left"/>
              <w:rPr>
                <w:rFonts w:ascii="Calibri" w:eastAsia="Times New Roman" w:hAnsi="Calibri" w:cs="Times New Roman"/>
                <w:b/>
                <w:bCs/>
                <w:color w:val="000000"/>
                <w:sz w:val="16"/>
                <w:szCs w:val="16"/>
                <w:lang w:eastAsia="cs-CZ"/>
              </w:rPr>
            </w:pPr>
          </w:p>
        </w:tc>
        <w:tc>
          <w:tcPr>
            <w:tcW w:w="993" w:type="dxa"/>
            <w:vMerge/>
            <w:tcBorders>
              <w:top w:val="single" w:sz="8" w:space="0" w:color="auto"/>
              <w:left w:val="single" w:sz="8"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1026" w:type="dxa"/>
            <w:vMerge/>
            <w:tcBorders>
              <w:top w:val="single" w:sz="8" w:space="0" w:color="auto"/>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894" w:type="dxa"/>
            <w:vMerge/>
            <w:tcBorders>
              <w:top w:val="single" w:sz="8" w:space="0" w:color="auto"/>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1090" w:type="dxa"/>
            <w:vMerge/>
            <w:tcBorders>
              <w:top w:val="single" w:sz="8" w:space="0" w:color="auto"/>
              <w:left w:val="single" w:sz="4" w:space="0" w:color="auto"/>
              <w:bottom w:val="single" w:sz="4" w:space="0" w:color="auto"/>
              <w:right w:val="single" w:sz="4" w:space="0" w:color="auto"/>
            </w:tcBorders>
            <w:vAlign w:val="center"/>
            <w:hideMark/>
          </w:tcPr>
          <w:p w:rsidR="00F871D5" w:rsidRPr="00975FB2" w:rsidRDefault="00F871D5" w:rsidP="00110B70">
            <w:pPr>
              <w:spacing w:line="240" w:lineRule="auto"/>
              <w:jc w:val="left"/>
              <w:rPr>
                <w:rFonts w:eastAsia="Times New Roman" w:cs="Arial"/>
                <w:color w:val="000000"/>
                <w:sz w:val="16"/>
                <w:szCs w:val="16"/>
                <w:lang w:eastAsia="cs-CZ"/>
              </w:rPr>
            </w:pPr>
          </w:p>
        </w:tc>
        <w:tc>
          <w:tcPr>
            <w:tcW w:w="993" w:type="dxa"/>
            <w:tcBorders>
              <w:top w:val="nil"/>
              <w:left w:val="nil"/>
              <w:bottom w:val="double" w:sz="6" w:space="0" w:color="auto"/>
              <w:right w:val="single" w:sz="4" w:space="0" w:color="auto"/>
            </w:tcBorders>
            <w:shd w:val="clear" w:color="auto" w:fill="auto"/>
            <w:vAlign w:val="center"/>
            <w:hideMark/>
          </w:tcPr>
          <w:p w:rsidR="00F871D5" w:rsidRPr="00975FB2" w:rsidRDefault="00F871D5" w:rsidP="00110B70">
            <w:pPr>
              <w:spacing w:line="240" w:lineRule="auto"/>
              <w:jc w:val="center"/>
              <w:rPr>
                <w:rFonts w:eastAsia="Times New Roman" w:cs="Arial"/>
                <w:color w:val="000000"/>
                <w:sz w:val="16"/>
                <w:szCs w:val="16"/>
                <w:lang w:eastAsia="cs-CZ"/>
              </w:rPr>
            </w:pPr>
            <w:r w:rsidRPr="00975FB2">
              <w:rPr>
                <w:rFonts w:eastAsia="Times New Roman" w:cs="Arial"/>
                <w:color w:val="000000"/>
                <w:sz w:val="16"/>
                <w:szCs w:val="16"/>
                <w:lang w:eastAsia="cs-CZ"/>
              </w:rPr>
              <w:t> </w:t>
            </w:r>
          </w:p>
        </w:tc>
        <w:tc>
          <w:tcPr>
            <w:tcW w:w="850" w:type="dxa"/>
            <w:tcBorders>
              <w:top w:val="single" w:sz="4" w:space="0" w:color="auto"/>
              <w:left w:val="nil"/>
              <w:bottom w:val="double" w:sz="6" w:space="0" w:color="auto"/>
              <w:right w:val="single" w:sz="4" w:space="0" w:color="auto"/>
            </w:tcBorders>
            <w:shd w:val="clear" w:color="auto" w:fill="auto"/>
            <w:vAlign w:val="center"/>
            <w:hideMark/>
          </w:tcPr>
          <w:p w:rsidR="00F871D5" w:rsidRPr="0060345C" w:rsidRDefault="00F871D5" w:rsidP="00110B70">
            <w:pPr>
              <w:spacing w:line="240" w:lineRule="auto"/>
              <w:jc w:val="center"/>
              <w:rPr>
                <w:rFonts w:eastAsia="Times New Roman" w:cs="Arial"/>
                <w:i/>
                <w:iCs/>
                <w:color w:val="000000"/>
                <w:sz w:val="16"/>
                <w:szCs w:val="16"/>
                <w:lang w:eastAsia="cs-CZ"/>
              </w:rPr>
            </w:pPr>
            <w:r w:rsidRPr="0060345C">
              <w:rPr>
                <w:rFonts w:eastAsia="Times New Roman" w:cs="Arial"/>
                <w:i/>
                <w:iCs/>
                <w:color w:val="000000"/>
                <w:sz w:val="16"/>
                <w:szCs w:val="16"/>
                <w:lang w:eastAsia="cs-CZ"/>
              </w:rPr>
              <w:t>12M-24M</w:t>
            </w:r>
          </w:p>
        </w:tc>
        <w:tc>
          <w:tcPr>
            <w:tcW w:w="992" w:type="dxa"/>
            <w:tcBorders>
              <w:top w:val="single" w:sz="4" w:space="0" w:color="auto"/>
              <w:left w:val="nil"/>
              <w:bottom w:val="double" w:sz="6" w:space="0" w:color="auto"/>
              <w:right w:val="single" w:sz="8" w:space="0" w:color="auto"/>
            </w:tcBorders>
            <w:shd w:val="clear" w:color="auto" w:fill="auto"/>
            <w:vAlign w:val="center"/>
            <w:hideMark/>
          </w:tcPr>
          <w:p w:rsidR="00F871D5" w:rsidRPr="0060345C" w:rsidRDefault="00F871D5" w:rsidP="00110B70">
            <w:pPr>
              <w:spacing w:line="240" w:lineRule="auto"/>
              <w:jc w:val="center"/>
              <w:rPr>
                <w:rFonts w:eastAsia="Times New Roman" w:cs="Arial"/>
                <w:i/>
                <w:iCs/>
                <w:color w:val="000000"/>
                <w:sz w:val="16"/>
                <w:szCs w:val="16"/>
                <w:lang w:eastAsia="cs-CZ"/>
              </w:rPr>
            </w:pPr>
            <w:r w:rsidRPr="0060345C">
              <w:rPr>
                <w:rFonts w:eastAsia="Times New Roman" w:cs="Arial"/>
                <w:i/>
                <w:iCs/>
                <w:color w:val="000000"/>
                <w:sz w:val="16"/>
                <w:szCs w:val="16"/>
                <w:lang w:eastAsia="cs-CZ"/>
              </w:rPr>
              <w:t>nad 24M</w:t>
            </w:r>
          </w:p>
        </w:tc>
      </w:tr>
      <w:tr w:rsidR="00F871D5" w:rsidRPr="00D53991" w:rsidTr="00F871D5">
        <w:trPr>
          <w:trHeight w:val="330"/>
        </w:trPr>
        <w:tc>
          <w:tcPr>
            <w:tcW w:w="993" w:type="dxa"/>
            <w:tcBorders>
              <w:top w:val="nil"/>
              <w:left w:val="double" w:sz="6" w:space="0" w:color="auto"/>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left"/>
              <w:rPr>
                <w:rFonts w:eastAsia="Times New Roman" w:cs="Arial"/>
                <w:b/>
                <w:bCs/>
                <w:color w:val="000000"/>
                <w:sz w:val="16"/>
                <w:szCs w:val="16"/>
                <w:lang w:eastAsia="cs-CZ"/>
              </w:rPr>
            </w:pPr>
            <w:r w:rsidRPr="00975FB2">
              <w:rPr>
                <w:rFonts w:eastAsia="Times New Roman" w:cs="Arial"/>
                <w:b/>
                <w:bCs/>
                <w:color w:val="000000"/>
                <w:sz w:val="16"/>
                <w:szCs w:val="16"/>
                <w:lang w:eastAsia="cs-CZ"/>
              </w:rPr>
              <w:t xml:space="preserve"> ČR</w:t>
            </w:r>
          </w:p>
        </w:tc>
        <w:tc>
          <w:tcPr>
            <w:tcW w:w="993" w:type="dxa"/>
            <w:tcBorders>
              <w:top w:val="double" w:sz="6" w:space="0" w:color="auto"/>
              <w:left w:val="single" w:sz="8" w:space="0" w:color="auto"/>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16,59%</w:t>
            </w:r>
          </w:p>
        </w:tc>
        <w:tc>
          <w:tcPr>
            <w:tcW w:w="992" w:type="dxa"/>
            <w:tcBorders>
              <w:top w:val="double" w:sz="6" w:space="0" w:color="auto"/>
              <w:left w:val="nil"/>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18,22%</w:t>
            </w:r>
          </w:p>
        </w:tc>
        <w:tc>
          <w:tcPr>
            <w:tcW w:w="1026" w:type="dxa"/>
            <w:tcBorders>
              <w:top w:val="double" w:sz="6" w:space="0" w:color="auto"/>
              <w:left w:val="nil"/>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11,21%</w:t>
            </w:r>
          </w:p>
        </w:tc>
        <w:tc>
          <w:tcPr>
            <w:tcW w:w="894" w:type="dxa"/>
            <w:tcBorders>
              <w:top w:val="double" w:sz="6" w:space="0" w:color="auto"/>
              <w:left w:val="nil"/>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35,83%</w:t>
            </w:r>
          </w:p>
        </w:tc>
        <w:tc>
          <w:tcPr>
            <w:tcW w:w="1090" w:type="dxa"/>
            <w:tcBorders>
              <w:top w:val="double" w:sz="6" w:space="0" w:color="auto"/>
              <w:left w:val="nil"/>
              <w:bottom w:val="double" w:sz="6"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31,72%</w:t>
            </w:r>
          </w:p>
        </w:tc>
        <w:tc>
          <w:tcPr>
            <w:tcW w:w="993" w:type="dxa"/>
            <w:tcBorders>
              <w:top w:val="nil"/>
              <w:left w:val="nil"/>
              <w:bottom w:val="double" w:sz="6"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b/>
                <w:bCs/>
                <w:color w:val="000000"/>
                <w:sz w:val="16"/>
                <w:szCs w:val="16"/>
                <w:lang w:eastAsia="cs-CZ"/>
              </w:rPr>
            </w:pPr>
            <w:r w:rsidRPr="00975FB2">
              <w:rPr>
                <w:rFonts w:eastAsia="Times New Roman" w:cs="Arial"/>
                <w:b/>
                <w:bCs/>
                <w:color w:val="000000"/>
                <w:sz w:val="16"/>
                <w:szCs w:val="16"/>
                <w:lang w:eastAsia="cs-CZ"/>
              </w:rPr>
              <w:t>39,23%</w:t>
            </w:r>
          </w:p>
        </w:tc>
        <w:tc>
          <w:tcPr>
            <w:tcW w:w="850" w:type="dxa"/>
            <w:tcBorders>
              <w:top w:val="nil"/>
              <w:left w:val="single" w:sz="4" w:space="0" w:color="auto"/>
              <w:bottom w:val="double" w:sz="6"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b/>
                <w:bCs/>
                <w:i/>
                <w:iCs/>
                <w:color w:val="000000"/>
                <w:sz w:val="16"/>
                <w:szCs w:val="16"/>
                <w:lang w:eastAsia="cs-CZ"/>
              </w:rPr>
            </w:pPr>
            <w:r w:rsidRPr="0060345C">
              <w:rPr>
                <w:rFonts w:eastAsia="Times New Roman" w:cs="Arial"/>
                <w:b/>
                <w:bCs/>
                <w:i/>
                <w:iCs/>
                <w:color w:val="000000"/>
                <w:sz w:val="16"/>
                <w:szCs w:val="16"/>
                <w:lang w:eastAsia="cs-CZ"/>
              </w:rPr>
              <w:t>12,14%</w:t>
            </w:r>
          </w:p>
        </w:tc>
        <w:tc>
          <w:tcPr>
            <w:tcW w:w="992" w:type="dxa"/>
            <w:tcBorders>
              <w:top w:val="nil"/>
              <w:left w:val="nil"/>
              <w:bottom w:val="double" w:sz="6" w:space="0" w:color="auto"/>
              <w:right w:val="double" w:sz="6"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b/>
                <w:bCs/>
                <w:i/>
                <w:iCs/>
                <w:color w:val="000000"/>
                <w:sz w:val="16"/>
                <w:szCs w:val="16"/>
                <w:lang w:eastAsia="cs-CZ"/>
              </w:rPr>
            </w:pPr>
            <w:r w:rsidRPr="0060345C">
              <w:rPr>
                <w:rFonts w:eastAsia="Times New Roman" w:cs="Arial"/>
                <w:b/>
                <w:bCs/>
                <w:i/>
                <w:iCs/>
                <w:color w:val="000000"/>
                <w:sz w:val="16"/>
                <w:szCs w:val="16"/>
                <w:lang w:eastAsia="cs-CZ"/>
              </w:rPr>
              <w:t>27,09%</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Praha</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9,57%</w:t>
            </w:r>
          </w:p>
        </w:tc>
        <w:tc>
          <w:tcPr>
            <w:tcW w:w="99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11,46%</w:t>
            </w:r>
          </w:p>
        </w:tc>
        <w:tc>
          <w:tcPr>
            <w:tcW w:w="102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9,00%</w:t>
            </w:r>
          </w:p>
        </w:tc>
        <w:tc>
          <w:tcPr>
            <w:tcW w:w="894"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32,07%</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20,76%</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33,11%</w:t>
            </w:r>
          </w:p>
        </w:tc>
        <w:tc>
          <w:tcPr>
            <w:tcW w:w="850" w:type="dxa"/>
            <w:tcBorders>
              <w:top w:val="double" w:sz="6" w:space="0" w:color="auto"/>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13,06%</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20,05%</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SČK</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15,03%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20,79%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11,32%</w:t>
            </w:r>
          </w:p>
        </w:tc>
        <w:tc>
          <w:tcPr>
            <w:tcW w:w="894"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35,16%</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29,62%</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35,67%</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11,30%</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24,38%</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JČK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21,73%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18,29%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11,69%</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38,17%</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28,09%</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29,66%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11,00%</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18,66%</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PLK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22,92%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19,56%</w:t>
            </w:r>
          </w:p>
        </w:tc>
        <w:tc>
          <w:tcPr>
            <w:tcW w:w="102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10,91%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38,48%</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31,67%</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33,38%</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10,22%</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23,16%</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KVK</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12,49%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21,69%</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11,38%</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36,73%</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53,09%</w:t>
            </w:r>
          </w:p>
        </w:tc>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43,32%</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11,94%</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31,38%</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ULK</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16,26%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19,94%</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12,64%</w:t>
            </w:r>
          </w:p>
        </w:tc>
        <w:tc>
          <w:tcPr>
            <w:tcW w:w="894"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32,40%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48,48%</w:t>
            </w:r>
          </w:p>
        </w:tc>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44,81%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13,15%</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31,65%</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LBK</w:t>
            </w:r>
          </w:p>
        </w:tc>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16,20%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21,76%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12,43%</w:t>
            </w:r>
          </w:p>
        </w:tc>
        <w:tc>
          <w:tcPr>
            <w:tcW w:w="894"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33,76%</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34,68%</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35,53%</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11,72%</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23,81%</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KHK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18,74%</w:t>
            </w:r>
          </w:p>
        </w:tc>
        <w:tc>
          <w:tcPr>
            <w:tcW w:w="99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17,78%</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12,63%</w:t>
            </w:r>
          </w:p>
        </w:tc>
        <w:tc>
          <w:tcPr>
            <w:tcW w:w="894"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35,47%</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31,79%</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32,06%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11,35%</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20,71%</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PBK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19,25%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12,86%</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37,34%</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28,50%</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27,56%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9,89%</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17,66%</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VYS</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22,64%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18,71%</w:t>
            </w:r>
          </w:p>
        </w:tc>
        <w:tc>
          <w:tcPr>
            <w:tcW w:w="102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11,01%</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39,14%</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20,07%</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37,46%</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10,66%</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26,79%</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JMK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16,69%</w:t>
            </w:r>
          </w:p>
        </w:tc>
        <w:tc>
          <w:tcPr>
            <w:tcW w:w="99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17,83%</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11,50%</w:t>
            </w:r>
          </w:p>
        </w:tc>
        <w:tc>
          <w:tcPr>
            <w:tcW w:w="894"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34,11%</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26,34%</w:t>
            </w:r>
          </w:p>
        </w:tc>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41,95%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12,95%</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29,00%</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OLK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17,11%</w:t>
            </w:r>
          </w:p>
        </w:tc>
        <w:tc>
          <w:tcPr>
            <w:tcW w:w="992"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16,71%</w:t>
            </w:r>
          </w:p>
        </w:tc>
        <w:tc>
          <w:tcPr>
            <w:tcW w:w="102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10,10%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37,77%</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29,62%</w:t>
            </w:r>
          </w:p>
        </w:tc>
        <w:tc>
          <w:tcPr>
            <w:tcW w:w="993" w:type="dxa"/>
            <w:tcBorders>
              <w:top w:val="single" w:sz="4" w:space="0" w:color="auto"/>
              <w:left w:val="single" w:sz="4" w:space="0" w:color="auto"/>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40,06%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12,52%</w:t>
            </w:r>
          </w:p>
        </w:tc>
        <w:tc>
          <w:tcPr>
            <w:tcW w:w="992"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27,54%</w:t>
            </w:r>
          </w:p>
        </w:tc>
      </w:tr>
      <w:tr w:rsidR="00F871D5" w:rsidRPr="00D53991" w:rsidTr="00F871D5">
        <w:trPr>
          <w:trHeight w:val="330"/>
        </w:trPr>
        <w:tc>
          <w:tcPr>
            <w:tcW w:w="993" w:type="dxa"/>
            <w:tcBorders>
              <w:top w:val="nil"/>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ZLK</w:t>
            </w:r>
          </w:p>
        </w:tc>
        <w:tc>
          <w:tcPr>
            <w:tcW w:w="99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20,09%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19,86%</w:t>
            </w:r>
          </w:p>
        </w:tc>
        <w:tc>
          <w:tcPr>
            <w:tcW w:w="1026"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10,90%</w:t>
            </w:r>
          </w:p>
        </w:tc>
        <w:tc>
          <w:tcPr>
            <w:tcW w:w="8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38,79%</w:t>
            </w:r>
          </w:p>
        </w:tc>
        <w:tc>
          <w:tcPr>
            <w:tcW w:w="1090" w:type="dxa"/>
            <w:tcBorders>
              <w:top w:val="nil"/>
              <w:left w:val="nil"/>
              <w:bottom w:val="single" w:sz="4"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20,40%</w:t>
            </w:r>
          </w:p>
        </w:tc>
        <w:tc>
          <w:tcPr>
            <w:tcW w:w="993" w:type="dxa"/>
            <w:tcBorders>
              <w:top w:val="nil"/>
              <w:left w:val="nil"/>
              <w:bottom w:val="single" w:sz="4"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34,71%</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11,77%</w:t>
            </w:r>
          </w:p>
        </w:tc>
        <w:tc>
          <w:tcPr>
            <w:tcW w:w="992" w:type="dxa"/>
            <w:tcBorders>
              <w:top w:val="nil"/>
              <w:left w:val="nil"/>
              <w:bottom w:val="single" w:sz="4"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000000"/>
                <w:sz w:val="16"/>
                <w:szCs w:val="16"/>
                <w:lang w:eastAsia="cs-CZ"/>
              </w:rPr>
            </w:pPr>
            <w:r w:rsidRPr="0060345C">
              <w:rPr>
                <w:rFonts w:eastAsia="Times New Roman" w:cs="Arial"/>
                <w:i/>
                <w:iCs/>
                <w:color w:val="000000"/>
                <w:sz w:val="16"/>
                <w:szCs w:val="16"/>
                <w:lang w:eastAsia="cs-CZ"/>
              </w:rPr>
              <w:t>22,93%</w:t>
            </w:r>
          </w:p>
        </w:tc>
      </w:tr>
      <w:tr w:rsidR="00F871D5" w:rsidRPr="00D53991" w:rsidTr="00F871D5">
        <w:trPr>
          <w:trHeight w:val="330"/>
        </w:trPr>
        <w:tc>
          <w:tcPr>
            <w:tcW w:w="993" w:type="dxa"/>
            <w:tcBorders>
              <w:top w:val="nil"/>
              <w:left w:val="single" w:sz="8" w:space="0" w:color="auto"/>
              <w:bottom w:val="single" w:sz="8"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MSK</w:t>
            </w:r>
          </w:p>
        </w:tc>
        <w:tc>
          <w:tcPr>
            <w:tcW w:w="993" w:type="dxa"/>
            <w:tcBorders>
              <w:top w:val="nil"/>
              <w:left w:val="single" w:sz="8" w:space="0" w:color="auto"/>
              <w:bottom w:val="single" w:sz="8"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15,57%</w:t>
            </w:r>
          </w:p>
        </w:tc>
        <w:tc>
          <w:tcPr>
            <w:tcW w:w="992" w:type="dxa"/>
            <w:tcBorders>
              <w:top w:val="nil"/>
              <w:left w:val="nil"/>
              <w:bottom w:val="single" w:sz="8"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17,38%</w:t>
            </w:r>
          </w:p>
        </w:tc>
        <w:tc>
          <w:tcPr>
            <w:tcW w:w="1026" w:type="dxa"/>
            <w:tcBorders>
              <w:top w:val="nil"/>
              <w:left w:val="nil"/>
              <w:bottom w:val="single" w:sz="8"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000000"/>
                <w:sz w:val="16"/>
                <w:szCs w:val="16"/>
                <w:lang w:eastAsia="cs-CZ"/>
              </w:rPr>
            </w:pPr>
            <w:r w:rsidRPr="00975FB2">
              <w:rPr>
                <w:rFonts w:eastAsia="Times New Roman" w:cs="Arial"/>
                <w:color w:val="000000"/>
                <w:sz w:val="16"/>
                <w:szCs w:val="16"/>
                <w:lang w:eastAsia="cs-CZ"/>
              </w:rPr>
              <w:t>10,61%</w:t>
            </w:r>
          </w:p>
        </w:tc>
        <w:tc>
          <w:tcPr>
            <w:tcW w:w="894"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38,42%</w:t>
            </w:r>
          </w:p>
        </w:tc>
        <w:tc>
          <w:tcPr>
            <w:tcW w:w="109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34,28%</w:t>
            </w:r>
          </w:p>
        </w:tc>
        <w:tc>
          <w:tcPr>
            <w:tcW w:w="993" w:type="dxa"/>
            <w:tcBorders>
              <w:top w:val="single" w:sz="4" w:space="0" w:color="auto"/>
              <w:left w:val="single" w:sz="4" w:space="0" w:color="auto"/>
              <w:bottom w:val="single" w:sz="8" w:space="0" w:color="auto"/>
              <w:right w:val="nil"/>
            </w:tcBorders>
            <w:shd w:val="clear" w:color="auto" w:fill="auto"/>
            <w:noWrap/>
            <w:vAlign w:val="bottom"/>
            <w:hideMark/>
          </w:tcPr>
          <w:p w:rsidR="00F871D5" w:rsidRPr="00975FB2" w:rsidRDefault="00F871D5" w:rsidP="00110B70">
            <w:pPr>
              <w:spacing w:line="240" w:lineRule="auto"/>
              <w:jc w:val="right"/>
              <w:rPr>
                <w:rFonts w:eastAsia="Times New Roman" w:cs="Arial"/>
                <w:color w:val="9C0006"/>
                <w:sz w:val="16"/>
                <w:szCs w:val="16"/>
                <w:lang w:eastAsia="cs-CZ"/>
              </w:rPr>
            </w:pPr>
            <w:r w:rsidRPr="00975FB2">
              <w:rPr>
                <w:rFonts w:eastAsia="Times New Roman" w:cs="Arial"/>
                <w:color w:val="9C0006"/>
                <w:sz w:val="16"/>
                <w:szCs w:val="16"/>
                <w:lang w:eastAsia="cs-CZ"/>
              </w:rPr>
              <w:t>47,01%</w:t>
            </w:r>
          </w:p>
        </w:tc>
        <w:tc>
          <w:tcPr>
            <w:tcW w:w="85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12,53%</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F871D5" w:rsidRPr="0060345C" w:rsidRDefault="00F871D5" w:rsidP="00110B70">
            <w:pPr>
              <w:spacing w:line="240" w:lineRule="auto"/>
              <w:jc w:val="right"/>
              <w:rPr>
                <w:rFonts w:eastAsia="Times New Roman" w:cs="Arial"/>
                <w:i/>
                <w:iCs/>
                <w:color w:val="9C0006"/>
                <w:sz w:val="16"/>
                <w:szCs w:val="16"/>
                <w:lang w:eastAsia="cs-CZ"/>
              </w:rPr>
            </w:pPr>
            <w:r w:rsidRPr="0060345C">
              <w:rPr>
                <w:rFonts w:eastAsia="Times New Roman" w:cs="Arial"/>
                <w:i/>
                <w:iCs/>
                <w:color w:val="9C0006"/>
                <w:sz w:val="16"/>
                <w:szCs w:val="16"/>
                <w:lang w:eastAsia="cs-CZ"/>
              </w:rPr>
              <w:t>34,48%</w:t>
            </w:r>
          </w:p>
        </w:tc>
      </w:tr>
    </w:tbl>
    <w:p w:rsidR="00D53991" w:rsidRDefault="00D53991" w:rsidP="00110B70">
      <w:pPr>
        <w:spacing w:after="200" w:line="240" w:lineRule="auto"/>
      </w:pPr>
      <w:r>
        <w:t>Z tabul</w:t>
      </w:r>
      <w:r w:rsidR="0060345C">
        <w:t>e</w:t>
      </w:r>
      <w:r>
        <w:t xml:space="preserve">k výše vyplývá, že z pohledu struktury </w:t>
      </w:r>
      <w:r w:rsidR="000F62D5">
        <w:t>UoZ</w:t>
      </w:r>
      <w:r>
        <w:t xml:space="preserve"> si k 30. 6. 2017 nejhůře vedl Karlovarský kraj, který vykazoval nadprůměrné zastoupení znevýhodněných osob ve všech skupinách s výjimkou OZP, následovaný krajem Ústeckým, v němž s ohledem na jeho demografickou strukturu nebylo ta</w:t>
      </w:r>
      <w:r w:rsidR="00DC7345">
        <w:t>k</w:t>
      </w:r>
      <w:r>
        <w:t xml:space="preserve"> výrazné zastoupení starších osob v evidenci UoZ.</w:t>
      </w:r>
      <w:r w:rsidR="00522CC1">
        <w:t xml:space="preserve"> Na druhé straně Karlovarský kraj s ohledem na vysoké zastoupení znevýhodněných osob vykázal výraznější pokles evidovaných UoZ ve všech znevýhodněných skupinách, než byl celorepublikový průměr, oproti tomu v Ústeckém kraji byl pokles počtu znevýhodněných pomalejší než ve zbytku ČR.</w:t>
      </w:r>
    </w:p>
    <w:p w:rsidR="00203E7D" w:rsidRDefault="00203E7D" w:rsidP="00110B70">
      <w:pPr>
        <w:pStyle w:val="Titulek"/>
        <w:keepNext/>
      </w:pPr>
      <w:bookmarkStart w:id="64" w:name="_Ref489958702"/>
      <w:bookmarkStart w:id="65" w:name="_Ref489958679"/>
      <w:bookmarkStart w:id="66" w:name="_Toc492555043"/>
      <w:r>
        <w:t xml:space="preserve">Graf č.: </w:t>
      </w:r>
      <w:fldSimple w:instr=" SEQ Graf_č.: \* ARABIC ">
        <w:r w:rsidR="00410665">
          <w:rPr>
            <w:noProof/>
          </w:rPr>
          <w:t>13</w:t>
        </w:r>
      </w:fldSimple>
      <w:bookmarkEnd w:id="64"/>
      <w:r>
        <w:t xml:space="preserve"> Podíly znevýhodněných UoZ v krajích k 30. 6. 2017 (kumulovaně)</w:t>
      </w:r>
      <w:bookmarkEnd w:id="65"/>
      <w:bookmarkEnd w:id="66"/>
    </w:p>
    <w:p w:rsidR="00203E7D" w:rsidRDefault="00F871D5" w:rsidP="00110B70">
      <w:pPr>
        <w:spacing w:after="200" w:line="240" w:lineRule="auto"/>
      </w:pPr>
      <w:r>
        <w:rPr>
          <w:noProof/>
          <w:lang w:eastAsia="cs-CZ"/>
        </w:rPr>
        <w:drawing>
          <wp:inline distT="0" distB="0" distL="0" distR="0" wp14:anchorId="0C5DC1A4" wp14:editId="03DA616F">
            <wp:extent cx="5760720" cy="2620068"/>
            <wp:effectExtent l="0" t="0" r="11430" b="279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01FFF" w:rsidRDefault="00501FFF" w:rsidP="00110B70">
      <w:pPr>
        <w:spacing w:after="200" w:line="240" w:lineRule="auto"/>
      </w:pPr>
      <w:r>
        <w:fldChar w:fldCharType="begin"/>
      </w:r>
      <w:r>
        <w:instrText xml:space="preserve"> REF _Ref489958679 \h </w:instrText>
      </w:r>
      <w:r w:rsidR="00110B70">
        <w:instrText xml:space="preserve"> \* MERGEFORMAT </w:instrText>
      </w:r>
      <w:r>
        <w:fldChar w:fldCharType="separate"/>
      </w:r>
      <w:r w:rsidR="00410665">
        <w:t xml:space="preserve">Graf č.: </w:t>
      </w:r>
      <w:r w:rsidR="00410665">
        <w:rPr>
          <w:noProof/>
        </w:rPr>
        <w:t>13</w:t>
      </w:r>
      <w:r w:rsidR="00410665">
        <w:t xml:space="preserve"> Podíly znevýhodněných UoZ v krajích k 30. 6. 2017 (kumulovaně)</w:t>
      </w:r>
      <w:r>
        <w:fldChar w:fldCharType="end"/>
      </w:r>
      <w:r>
        <w:t xml:space="preserve"> slouží pouze k názornému zobrazení problémových regionů, jednotlivá znevýhodnění se mohou napříč skupinami překrývat, resp. kumulovat.</w:t>
      </w:r>
    </w:p>
    <w:p w:rsidR="00D96BC5" w:rsidRDefault="001428B8" w:rsidP="00110B70">
      <w:pPr>
        <w:spacing w:after="200" w:line="240" w:lineRule="auto"/>
      </w:pPr>
      <w:r>
        <w:t>Nadále nejvyšší regionální výkyv existuje v zastoupení osob znevýhodněných z důvodu nízkého vzdělání, když podíl této skupiny na UoZ v Karlovarském kraji přesahuje 53 %, zatímco na Vysočině, v Praze a ve Zlínském kraji jen mírně přesahuje hladinu 20 % z celkového počtu UoZ. Naopak dlouhodobá nezaměstnanost je největším problémem v Moravskoslezském a Ústeckém kraji.</w:t>
      </w:r>
    </w:p>
    <w:p w:rsidR="00D96BC5" w:rsidRDefault="00D96BC5" w:rsidP="00110B70">
      <w:pPr>
        <w:spacing w:after="200" w:line="240" w:lineRule="auto"/>
      </w:pPr>
      <w:r>
        <w:t>Přestože oproti závěru roku 2016 došlo k mírnému zvýšení podílu dlouhodobě nezaměstnaných osob, byl jejich podíl k 30. 6. 2017 na celkové nezaměstnanosti nižší než ke stejnému datu loňského roku a došlo tak k meziročnímu zlepšení</w:t>
      </w:r>
      <w:r w:rsidR="0060345C">
        <w:t xml:space="preserve">. Strukturu UoZ podle doby nezaměstnanosti ukazuje </w:t>
      </w:r>
      <w:r w:rsidR="0060345C">
        <w:fldChar w:fldCharType="begin"/>
      </w:r>
      <w:r w:rsidR="0060345C">
        <w:instrText xml:space="preserve"> REF _Ref492385739 \h </w:instrText>
      </w:r>
      <w:r w:rsidR="0060345C">
        <w:fldChar w:fldCharType="separate"/>
      </w:r>
      <w:r w:rsidR="00410665">
        <w:t xml:space="preserve">Graf č.: </w:t>
      </w:r>
      <w:r w:rsidR="00410665">
        <w:rPr>
          <w:noProof/>
        </w:rPr>
        <w:t>14</w:t>
      </w:r>
      <w:r w:rsidR="0060345C">
        <w:fldChar w:fldCharType="end"/>
      </w:r>
      <w:r w:rsidR="00ED1D84">
        <w:t xml:space="preserve"> a to jak v časové řadě za ČR, tak k 30. 6. 2017 v jednotlivých krajích.</w:t>
      </w:r>
    </w:p>
    <w:p w:rsidR="00203E7D" w:rsidRDefault="00203E7D" w:rsidP="00110B70">
      <w:pPr>
        <w:spacing w:after="200" w:line="240" w:lineRule="auto"/>
      </w:pPr>
    </w:p>
    <w:p w:rsidR="0030663A" w:rsidRDefault="0030663A" w:rsidP="00110B70">
      <w:pPr>
        <w:spacing w:after="200" w:line="240" w:lineRule="auto"/>
      </w:pPr>
    </w:p>
    <w:p w:rsidR="00D96BC5" w:rsidRDefault="00D96BC5" w:rsidP="00110B70">
      <w:pPr>
        <w:pStyle w:val="Titulek"/>
        <w:keepNext/>
      </w:pPr>
      <w:bookmarkStart w:id="67" w:name="_Ref492385739"/>
      <w:bookmarkStart w:id="68" w:name="_Ref492385731"/>
      <w:bookmarkStart w:id="69" w:name="_Toc492555044"/>
      <w:r>
        <w:t xml:space="preserve">Graf č.: </w:t>
      </w:r>
      <w:fldSimple w:instr=" SEQ Graf_č.: \* ARABIC ">
        <w:r w:rsidR="00410665">
          <w:rPr>
            <w:noProof/>
          </w:rPr>
          <w:t>14</w:t>
        </w:r>
      </w:fldSimple>
      <w:bookmarkEnd w:id="67"/>
      <w:r>
        <w:t xml:space="preserve"> Struktura UoZ podle délky nezaměstnanosti (srovnání ČR a kraje)</w:t>
      </w:r>
      <w:bookmarkEnd w:id="68"/>
      <w:bookmarkEnd w:id="69"/>
    </w:p>
    <w:p w:rsidR="00203E7D" w:rsidRDefault="0030663A" w:rsidP="00110B70">
      <w:pPr>
        <w:spacing w:after="200" w:line="240" w:lineRule="auto"/>
      </w:pPr>
      <w:r>
        <w:rPr>
          <w:noProof/>
          <w:lang w:eastAsia="cs-CZ"/>
        </w:rPr>
        <w:drawing>
          <wp:inline distT="0" distB="0" distL="0" distR="0" wp14:anchorId="363486BA" wp14:editId="182169F6">
            <wp:extent cx="5762847" cy="2434856"/>
            <wp:effectExtent l="0" t="0" r="9525" b="2286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03E7D" w:rsidRDefault="00D96BC5" w:rsidP="00110B70">
      <w:pPr>
        <w:spacing w:after="200" w:line="240" w:lineRule="auto"/>
        <w:rPr>
          <w:sz w:val="20"/>
        </w:rPr>
      </w:pPr>
      <w:r w:rsidRPr="00D96BC5">
        <w:rPr>
          <w:i/>
          <w:sz w:val="20"/>
        </w:rPr>
        <w:t>PZN: Čísla v grafu výše ukazují absolutní počty v jednotlivých kategoriích, graf níže ukazuje strukturu UoZ podle doby nezaměstnanosti v krajích ČR k 31. 12. 201</w:t>
      </w:r>
      <w:r w:rsidR="00ED1D84">
        <w:rPr>
          <w:i/>
          <w:sz w:val="20"/>
        </w:rPr>
        <w:t>7</w:t>
      </w:r>
      <w:r w:rsidRPr="00D96BC5">
        <w:rPr>
          <w:i/>
          <w:sz w:val="20"/>
        </w:rPr>
        <w:t>, legenda shodná s grafem výše</w:t>
      </w:r>
    </w:p>
    <w:p w:rsidR="00D96BC5" w:rsidRDefault="00D96BC5" w:rsidP="00110B70">
      <w:pPr>
        <w:spacing w:after="200" w:line="240" w:lineRule="auto"/>
      </w:pPr>
      <w:r>
        <w:rPr>
          <w:noProof/>
          <w:lang w:eastAsia="cs-CZ"/>
        </w:rPr>
        <w:drawing>
          <wp:inline distT="0" distB="0" distL="0" distR="0" wp14:anchorId="696CD69F" wp14:editId="0F72714C">
            <wp:extent cx="5762847" cy="2987749"/>
            <wp:effectExtent l="0" t="0" r="9525" b="22225"/>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D4574" w:rsidRDefault="005D4574" w:rsidP="00110B70">
      <w:pPr>
        <w:pStyle w:val="Nadpis3"/>
      </w:pPr>
      <w:bookmarkStart w:id="70" w:name="_Toc492628597"/>
      <w:r>
        <w:t>Vzdělanostní struktura UoZ</w:t>
      </w:r>
      <w:bookmarkEnd w:id="70"/>
    </w:p>
    <w:p w:rsidR="00D96BC5" w:rsidRDefault="008D026F" w:rsidP="00110B70">
      <w:pPr>
        <w:spacing w:after="200" w:line="240" w:lineRule="auto"/>
      </w:pPr>
      <w:r>
        <w:t xml:space="preserve">Z pohledu vzdělanostní struktury jsou dlouhodobě </w:t>
      </w:r>
      <w:r w:rsidRPr="00B05308">
        <w:rPr>
          <w:b/>
        </w:rPr>
        <w:t>v evidenci UoZ nejčastěji zastoupeny osoby se středním vzděláním, zejména středním odborným vzděláním s vyučením, k 30. 6. 2017 činil jejich podíl na UoZ 34,2 %.</w:t>
      </w:r>
      <w:r>
        <w:t xml:space="preserve"> Zároveň se však jednalo o skupinu osob, jejíž podíl se mezi polole</w:t>
      </w:r>
      <w:r w:rsidR="005B5083">
        <w:t>tími snížil nejvýrazněji</w:t>
      </w:r>
      <w:r w:rsidR="00ED1D84">
        <w:t>,</w:t>
      </w:r>
      <w:r w:rsidR="005B5083">
        <w:t xml:space="preserve"> a to o </w:t>
      </w:r>
      <w:r>
        <w:t xml:space="preserve">více jak 2,6 p. b. </w:t>
      </w:r>
      <w:r w:rsidRPr="00B05308">
        <w:rPr>
          <w:b/>
        </w:rPr>
        <w:t>Druhou nejčastější skupinou jsou pak osoby s</w:t>
      </w:r>
      <w:r w:rsidR="00ED1D84">
        <w:rPr>
          <w:b/>
        </w:rPr>
        <w:t xml:space="preserve"> nejvýše </w:t>
      </w:r>
      <w:r w:rsidRPr="00B05308">
        <w:rPr>
          <w:b/>
        </w:rPr>
        <w:t>dosaženým základním vzděláním.</w:t>
      </w:r>
      <w:r>
        <w:t xml:space="preserve"> Přestože i v této skupině došlo k úbytku UoZ nebyl jejich úbytek tak dynamický jako úbytek počtu všech UoZ a podíl této skupiny na UoZ tak mírně narostl na téměř 28 %, a to i přes skutečnost, že požadavek na ZŠ vzdělání je nejčastějším požadavkem mezi VPM (viz </w:t>
      </w:r>
      <w:r w:rsidR="00B05308">
        <w:fldChar w:fldCharType="begin"/>
      </w:r>
      <w:r w:rsidR="00B05308">
        <w:instrText xml:space="preserve"> REF _Ref489614634 \h </w:instrText>
      </w:r>
      <w:r w:rsidR="00110B70">
        <w:instrText xml:space="preserve"> \* MERGEFORMAT </w:instrText>
      </w:r>
      <w:r w:rsidR="00B05308">
        <w:fldChar w:fldCharType="separate"/>
      </w:r>
      <w:r w:rsidR="00410665">
        <w:t xml:space="preserve">Graf č.: </w:t>
      </w:r>
      <w:r w:rsidR="00410665">
        <w:rPr>
          <w:noProof/>
        </w:rPr>
        <w:t>4</w:t>
      </w:r>
      <w:r w:rsidR="00B05308">
        <w:fldChar w:fldCharType="end"/>
      </w:r>
      <w:r w:rsidR="00B05308">
        <w:t xml:space="preserve"> na str. </w:t>
      </w:r>
      <w:r w:rsidR="00B05308">
        <w:fldChar w:fldCharType="begin"/>
      </w:r>
      <w:r w:rsidR="00B05308">
        <w:instrText xml:space="preserve"> PAGEREF _Ref489972508 \h </w:instrText>
      </w:r>
      <w:r w:rsidR="00B05308">
        <w:fldChar w:fldCharType="separate"/>
      </w:r>
      <w:r w:rsidR="00410665">
        <w:rPr>
          <w:noProof/>
        </w:rPr>
        <w:t>5</w:t>
      </w:r>
      <w:r w:rsidR="00B05308">
        <w:fldChar w:fldCharType="end"/>
      </w:r>
      <w:r w:rsidR="00B05308">
        <w:t>).</w:t>
      </w:r>
    </w:p>
    <w:p w:rsidR="00B05308" w:rsidRDefault="00B05308" w:rsidP="00110B70">
      <w:pPr>
        <w:spacing w:after="200" w:line="240" w:lineRule="auto"/>
      </w:pPr>
      <w:r>
        <w:rPr>
          <w:b/>
        </w:rPr>
        <w:t>Negativně se však projevuje absolutní i relativní nárůst UoZ bez dosaženého základního vzdělání, přičemž se jedná o dlouhodobější trend, zejména v některých krajích.</w:t>
      </w:r>
      <w:r>
        <w:t xml:space="preserve"> Počet těchto osob v evidenci </w:t>
      </w:r>
      <w:r w:rsidR="00ED1D84">
        <w:t>Ú</w:t>
      </w:r>
      <w:r>
        <w:t>P ČR vzrostl od počátku roku o</w:t>
      </w:r>
      <w:r w:rsidR="00ED1D84">
        <w:t> </w:t>
      </w:r>
      <w:r>
        <w:t>17,5 %. Jedná se však o relativně málo četnou skupinu, která je na celkové nezaměstnanosti zastoupena 3,8% podílem. Absolutně vzrostl počet UoZ bez dosaženého základního vzdělání mezi 31. 12. 2016 a 30. 6. 2017 o 1 678 osob na počet 11 282 UoZ</w:t>
      </w:r>
      <w:r w:rsidR="00E0460D">
        <w:t xml:space="preserve"> a jedná se z pohledu vzdělanostní struktury o jedinou skupinu, u</w:t>
      </w:r>
      <w:r w:rsidR="00ED1D84">
        <w:t> </w:t>
      </w:r>
      <w:r w:rsidR="00E0460D">
        <w:t>níž byl v 1. pololetí 2017 i přes pozitivní vývoj trhu práce zaznamenán nárůst absolutních počtů.</w:t>
      </w:r>
      <w:r>
        <w:t xml:space="preserve"> Majoritně jsou osoby bez základního vzdělání koncentrovány v Karlovarském a Ústeckém kraji, v nichž je evidováno celkem 69,3 %</w:t>
      </w:r>
      <w:r w:rsidR="00E0460D">
        <w:t xml:space="preserve"> všech UoZ s nedokončeným vzděláním (či bez vzdělání). Mírně rovněž vzrostl podíl UoZ na opačném konci kvalifikačního spektra, tj. osob s vysokoškolským vzděláním, jejich podíl na celkové nezaměstnanosti se zvýšil na 7,6 %. Nejvíce nezaměstnaných vysokoškoláků je evidováno v hl. m. Praze, což souvisí se vzdělanostní strukturou v hlavním městě, jejich podíl na UoZ v hl. m. Praze činí 18,4 %.</w:t>
      </w:r>
    </w:p>
    <w:p w:rsidR="005D4574" w:rsidRDefault="005D4574" w:rsidP="00110B70">
      <w:pPr>
        <w:pStyle w:val="Titulek"/>
        <w:keepNext/>
      </w:pPr>
      <w:bookmarkStart w:id="71" w:name="_Toc492555045"/>
      <w:r>
        <w:t xml:space="preserve">Graf č.: </w:t>
      </w:r>
      <w:fldSimple w:instr=" SEQ Graf_č.: \* ARABIC ">
        <w:r w:rsidR="00410665">
          <w:rPr>
            <w:noProof/>
          </w:rPr>
          <w:t>15</w:t>
        </w:r>
      </w:fldSimple>
      <w:r>
        <w:t xml:space="preserve"> Struktura UoZ podle vzdělání v krajích k 30. 6. 2017</w:t>
      </w:r>
      <w:bookmarkEnd w:id="71"/>
    </w:p>
    <w:p w:rsidR="00E0460D" w:rsidRPr="00B05308" w:rsidRDefault="00E0460D" w:rsidP="00110B70">
      <w:pPr>
        <w:spacing w:after="200" w:line="240" w:lineRule="auto"/>
      </w:pPr>
      <w:r>
        <w:rPr>
          <w:noProof/>
          <w:lang w:eastAsia="cs-CZ"/>
        </w:rPr>
        <w:drawing>
          <wp:inline distT="0" distB="0" distL="0" distR="0" wp14:anchorId="51497884" wp14:editId="0AA14CC1">
            <wp:extent cx="5760720" cy="5368139"/>
            <wp:effectExtent l="0" t="0" r="11430" b="23495"/>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034AF" w:rsidRDefault="002034AF" w:rsidP="00110B70">
      <w:pPr>
        <w:spacing w:line="240" w:lineRule="auto"/>
      </w:pPr>
    </w:p>
    <w:p w:rsidR="002034AF" w:rsidRDefault="002034AF" w:rsidP="00110B70">
      <w:pPr>
        <w:spacing w:line="240" w:lineRule="auto"/>
      </w:pPr>
    </w:p>
    <w:p w:rsidR="00072A49" w:rsidRDefault="0099030C" w:rsidP="00110B70">
      <w:pPr>
        <w:pStyle w:val="Titulek"/>
        <w:keepNext/>
      </w:pPr>
      <w:bookmarkStart w:id="72" w:name="_Toc492555046"/>
      <w:r>
        <w:t xml:space="preserve">Graf č.: </w:t>
      </w:r>
      <w:fldSimple w:instr=" SEQ Graf_č.: \* ARABIC ">
        <w:r w:rsidR="00410665">
          <w:rPr>
            <w:noProof/>
          </w:rPr>
          <w:t>16</w:t>
        </w:r>
      </w:fldSimple>
      <w:r>
        <w:t xml:space="preserve"> </w:t>
      </w:r>
      <w:r w:rsidR="009C082E">
        <w:t>P</w:t>
      </w:r>
      <w:r w:rsidR="00444292">
        <w:t>oč</w:t>
      </w:r>
      <w:r w:rsidR="009C082E">
        <w:t>e</w:t>
      </w:r>
      <w:r w:rsidR="00444292">
        <w:t>t UoZ a VPM k 30. 6. 2017 a počtu UoZ/VPM k 30. 6. 2017 a 31. 12. 2016 podle vzdělání</w:t>
      </w:r>
      <w:bookmarkEnd w:id="72"/>
    </w:p>
    <w:p w:rsidR="0099030C" w:rsidRDefault="00107A5E" w:rsidP="00110B70">
      <w:pPr>
        <w:pStyle w:val="Titulek"/>
        <w:keepNext/>
      </w:pPr>
      <w:r>
        <w:rPr>
          <w:noProof/>
          <w:lang w:eastAsia="cs-CZ"/>
        </w:rPr>
        <w:drawing>
          <wp:inline distT="0" distB="0" distL="0" distR="0" wp14:anchorId="105A2914" wp14:editId="6DE6A6A6">
            <wp:extent cx="5760720" cy="2680270"/>
            <wp:effectExtent l="0" t="0" r="11430" b="25400"/>
            <wp:docPr id="25" name="Graf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bl>
      <w:tblPr>
        <w:tblW w:w="8827" w:type="dxa"/>
        <w:tblInd w:w="70" w:type="dxa"/>
        <w:tblLayout w:type="fixed"/>
        <w:tblCellMar>
          <w:left w:w="70" w:type="dxa"/>
          <w:right w:w="70" w:type="dxa"/>
        </w:tblCellMar>
        <w:tblLook w:val="04A0" w:firstRow="1" w:lastRow="0" w:firstColumn="1" w:lastColumn="0" w:noHBand="0" w:noVBand="1"/>
      </w:tblPr>
      <w:tblGrid>
        <w:gridCol w:w="264"/>
        <w:gridCol w:w="4580"/>
        <w:gridCol w:w="284"/>
        <w:gridCol w:w="3699"/>
      </w:tblGrid>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A</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Bez vzdělání</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sidRPr="001167E7">
              <w:rPr>
                <w:rFonts w:eastAsia="Times New Roman" w:cs="Arial"/>
                <w:color w:val="000000"/>
                <w:sz w:val="16"/>
                <w:lang w:eastAsia="cs-CZ"/>
              </w:rPr>
              <w:t>L</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Úplné střední odborné vzdělání s vyučením i maturitou</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B</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Neúplné základní vzdělání</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sidRPr="001167E7">
              <w:rPr>
                <w:rFonts w:eastAsia="Times New Roman" w:cs="Arial"/>
                <w:color w:val="000000"/>
                <w:sz w:val="16"/>
                <w:lang w:eastAsia="cs-CZ"/>
              </w:rPr>
              <w:t>M</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Úplné střední vzdělání s maturitou (bez vyučení)</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C</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Základní vzdělání</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sidRPr="001167E7">
              <w:rPr>
                <w:rFonts w:eastAsia="Times New Roman" w:cs="Arial"/>
                <w:color w:val="000000"/>
                <w:sz w:val="16"/>
                <w:lang w:eastAsia="cs-CZ"/>
              </w:rPr>
              <w:t>N</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Vyšší odborné vzdělání</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D</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Nižší střední vzdělání</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sidRPr="001167E7">
              <w:rPr>
                <w:rFonts w:eastAsia="Times New Roman" w:cs="Arial"/>
                <w:color w:val="000000"/>
                <w:sz w:val="16"/>
                <w:lang w:eastAsia="cs-CZ"/>
              </w:rPr>
              <w:t>P</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Vyšší odborné vzdělání v konzervatoři</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E</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Nižší střední odborné vzdělání</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sidRPr="001167E7">
              <w:rPr>
                <w:rFonts w:eastAsia="Times New Roman" w:cs="Arial"/>
                <w:color w:val="000000"/>
                <w:sz w:val="16"/>
                <w:lang w:eastAsia="cs-CZ"/>
              </w:rPr>
              <w:t>R</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Vysokoškolské bakalářské vzdělání</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H</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Střední odborné vzdělání s výučním listem</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sidRPr="001167E7">
              <w:rPr>
                <w:rFonts w:eastAsia="Times New Roman" w:cs="Arial"/>
                <w:color w:val="000000"/>
                <w:sz w:val="16"/>
                <w:lang w:eastAsia="cs-CZ"/>
              </w:rPr>
              <w:t>S</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Vysokoškolské magisterské vzdělání</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J</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Střední nebo střední odborné vzdělání bez maturity i výučního listu</w:t>
            </w:r>
          </w:p>
        </w:tc>
        <w:tc>
          <w:tcPr>
            <w:tcW w:w="284" w:type="dxa"/>
            <w:shd w:val="clear" w:color="auto" w:fill="auto"/>
            <w:vAlign w:val="center"/>
          </w:tcPr>
          <w:p w:rsidR="00245E3E" w:rsidRPr="001167E7" w:rsidRDefault="00245E3E" w:rsidP="00975FB2">
            <w:pPr>
              <w:spacing w:line="240" w:lineRule="auto"/>
              <w:jc w:val="right"/>
              <w:rPr>
                <w:rFonts w:eastAsia="Times New Roman" w:cs="Arial"/>
                <w:color w:val="000000"/>
                <w:sz w:val="16"/>
                <w:lang w:eastAsia="cs-CZ"/>
              </w:rPr>
            </w:pPr>
            <w:r>
              <w:rPr>
                <w:rFonts w:eastAsia="Times New Roman" w:cs="Arial"/>
                <w:color w:val="000000"/>
                <w:sz w:val="16"/>
                <w:lang w:eastAsia="cs-CZ"/>
              </w:rPr>
              <w:t>T</w:t>
            </w: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Vysokoškolské doktorské vzdělání</w:t>
            </w:r>
          </w:p>
        </w:tc>
      </w:tr>
      <w:tr w:rsidR="00245E3E" w:rsidRPr="001167E7" w:rsidTr="00975FB2">
        <w:trPr>
          <w:trHeight w:val="300"/>
        </w:trPr>
        <w:tc>
          <w:tcPr>
            <w:tcW w:w="264" w:type="dxa"/>
            <w:shd w:val="clear" w:color="auto" w:fill="auto"/>
            <w:noWrap/>
            <w:vAlign w:val="center"/>
            <w:hideMark/>
          </w:tcPr>
          <w:p w:rsidR="00245E3E" w:rsidRPr="001167E7" w:rsidRDefault="00245E3E" w:rsidP="0029672F">
            <w:pPr>
              <w:spacing w:line="240" w:lineRule="auto"/>
              <w:jc w:val="left"/>
              <w:rPr>
                <w:rFonts w:eastAsia="Times New Roman" w:cs="Arial"/>
                <w:color w:val="000000"/>
                <w:sz w:val="16"/>
                <w:lang w:eastAsia="cs-CZ"/>
              </w:rPr>
            </w:pPr>
            <w:r w:rsidRPr="001167E7">
              <w:rPr>
                <w:rFonts w:eastAsia="Times New Roman" w:cs="Arial"/>
                <w:color w:val="000000"/>
                <w:sz w:val="16"/>
                <w:lang w:eastAsia="cs-CZ"/>
              </w:rPr>
              <w:t>K</w:t>
            </w:r>
          </w:p>
        </w:tc>
        <w:tc>
          <w:tcPr>
            <w:tcW w:w="4580" w:type="dxa"/>
            <w:shd w:val="clear" w:color="auto" w:fill="auto"/>
            <w:noWrap/>
            <w:vAlign w:val="center"/>
          </w:tcPr>
          <w:p w:rsidR="00245E3E" w:rsidRPr="001167E7" w:rsidRDefault="00245E3E" w:rsidP="0029672F">
            <w:pPr>
              <w:spacing w:line="240" w:lineRule="auto"/>
              <w:jc w:val="left"/>
              <w:rPr>
                <w:rFonts w:eastAsia="Times New Roman" w:cs="Arial"/>
                <w:color w:val="000000"/>
                <w:sz w:val="16"/>
                <w:lang w:eastAsia="cs-CZ"/>
              </w:rPr>
            </w:pPr>
            <w:r>
              <w:rPr>
                <w:rFonts w:eastAsia="Times New Roman" w:cs="Arial"/>
                <w:color w:val="000000"/>
                <w:sz w:val="16"/>
                <w:lang w:eastAsia="cs-CZ"/>
              </w:rPr>
              <w:t>Úplné střední všeobecné vzdělání</w:t>
            </w:r>
          </w:p>
        </w:tc>
        <w:tc>
          <w:tcPr>
            <w:tcW w:w="284"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p>
        </w:tc>
        <w:tc>
          <w:tcPr>
            <w:tcW w:w="3699" w:type="dxa"/>
            <w:shd w:val="clear" w:color="auto" w:fill="auto"/>
            <w:vAlign w:val="center"/>
          </w:tcPr>
          <w:p w:rsidR="00245E3E" w:rsidRPr="001167E7" w:rsidRDefault="00245E3E" w:rsidP="0029672F">
            <w:pPr>
              <w:spacing w:line="240" w:lineRule="auto"/>
              <w:jc w:val="left"/>
              <w:rPr>
                <w:rFonts w:eastAsia="Times New Roman" w:cs="Arial"/>
                <w:color w:val="000000"/>
                <w:sz w:val="16"/>
                <w:lang w:eastAsia="cs-CZ"/>
              </w:rPr>
            </w:pPr>
          </w:p>
        </w:tc>
      </w:tr>
    </w:tbl>
    <w:p w:rsidR="00D96BC5" w:rsidRDefault="005B5083" w:rsidP="00110B70">
      <w:pPr>
        <w:pStyle w:val="Nadpis3"/>
        <w:rPr>
          <w:i w:val="0"/>
        </w:rPr>
      </w:pPr>
      <w:bookmarkStart w:id="73" w:name="_Toc492555019"/>
      <w:bookmarkStart w:id="74" w:name="_Toc492628598"/>
      <w:bookmarkStart w:id="75" w:name="_Toc492628599"/>
      <w:bookmarkEnd w:id="73"/>
      <w:bookmarkEnd w:id="74"/>
      <w:r>
        <w:t>P</w:t>
      </w:r>
      <w:r w:rsidR="00110B70">
        <w:t>vN</w:t>
      </w:r>
      <w:r>
        <w:t>, nekolidující zaměstnání a dosažitelní UoZ</w:t>
      </w:r>
      <w:bookmarkEnd w:id="75"/>
    </w:p>
    <w:p w:rsidR="004143DA" w:rsidRDefault="00DC7345" w:rsidP="00110B70">
      <w:pPr>
        <w:spacing w:line="240" w:lineRule="auto"/>
      </w:pPr>
      <w:r>
        <w:t xml:space="preserve">Vývoj nezaměstnanosti se dlouhodobě odráží ve vývoji počtu </w:t>
      </w:r>
      <w:r w:rsidR="009C082E">
        <w:t>UoZ</w:t>
      </w:r>
      <w:r>
        <w:t xml:space="preserve"> s nárokem na podporu v</w:t>
      </w:r>
      <w:r w:rsidR="009C082E">
        <w:t> </w:t>
      </w:r>
      <w:r>
        <w:t>nezaměstnanosti</w:t>
      </w:r>
      <w:r w:rsidR="009C082E">
        <w:t xml:space="preserve"> (PvN)</w:t>
      </w:r>
      <w:r w:rsidR="004143DA">
        <w:t xml:space="preserve">. </w:t>
      </w:r>
      <w:r w:rsidR="0029672F">
        <w:t>Ten se s</w:t>
      </w:r>
      <w:r w:rsidR="004143DA">
        <w:t>tandardně pohybuje v posledních letech mezi zhruba 100 až 150 tisíci osob v závislosti na ročním období (narůstá v zimních měsících, mírně i v letních). S klesajícím absolutním počtem UoZ však mírně narůstá podíl této skupiny na UoZ. Sezónní výkyv v zimních měsících se dlouhodobě pohybuje kolem necelých 50 000 osob.</w:t>
      </w:r>
    </w:p>
    <w:p w:rsidR="004143DA" w:rsidRDefault="004143DA" w:rsidP="00110B70">
      <w:pPr>
        <w:spacing w:line="240" w:lineRule="auto"/>
      </w:pPr>
    </w:p>
    <w:p w:rsidR="004143DA" w:rsidRDefault="004143DA" w:rsidP="00110B70">
      <w:pPr>
        <w:spacing w:line="240" w:lineRule="auto"/>
      </w:pPr>
      <w:r>
        <w:t>Pozitivní vývoj na trhu práce v 1. pololetí roku 2017 se výrazně neprojevil v počtu poklesu UoZ, kteří na základě § 25 odst. 3 ZoZ vykonávají výdělečnou činnost nebránící s ohledem na její minimální rozsah vedení dané osoby v evidenci UoZ, tz</w:t>
      </w:r>
      <w:r w:rsidR="001E5DBA">
        <w:t>v</w:t>
      </w:r>
      <w:r>
        <w:t xml:space="preserve">. „nekolidující zaměstnání“. Počet osob vykonávající nekolidující zaměstnání k 30. 6. 2017 činil téměř </w:t>
      </w:r>
      <w:r w:rsidR="00352436">
        <w:t>35 308, oproti závěru roku 2016 tak jejich počet poklesl o</w:t>
      </w:r>
      <w:r w:rsidR="0000643C">
        <w:t> </w:t>
      </w:r>
      <w:r w:rsidR="00352436">
        <w:t>13,7 %, což je méně než obecný pokles počtu UoZ. Podíl osob vykonávajících nekolidující zaměstnání tak dosáhl na konci června téměř 12 %. Nicméně tentýž vývoj byl patrný i</w:t>
      </w:r>
      <w:r w:rsidR="0029672F">
        <w:t> </w:t>
      </w:r>
      <w:r w:rsidR="00352436">
        <w:t xml:space="preserve">v 1. polovině roku 2016, v jehož závěru dosáhl podíl UoZ vykonávajících nekolidující zaměstnání rovněž necelých 12 %. </w:t>
      </w:r>
      <w:r w:rsidR="001E5DBA">
        <w:t>Nejvyšší</w:t>
      </w:r>
      <w:r w:rsidR="00352436">
        <w:t xml:space="preserve"> podíl takto si přivydělávajících uchazečů byl evidován v MSK (14,8 %), nejméně pak v Plzeňském kraji a hl. m. Praze, přičemž v těchto dvou regionech podíl nekolidujících zaměstnání jako v jediných krajích ČR oproti konci lo</w:t>
      </w:r>
      <w:r w:rsidR="001E5DBA">
        <w:t xml:space="preserve">ňského roku poklesl. </w:t>
      </w:r>
      <w:r w:rsidR="0029672F">
        <w:fldChar w:fldCharType="begin"/>
      </w:r>
      <w:r w:rsidR="0029672F">
        <w:instrText xml:space="preserve"> REF _Ref492472207 \h </w:instrText>
      </w:r>
      <w:r w:rsidR="0029672F">
        <w:fldChar w:fldCharType="separate"/>
      </w:r>
      <w:r w:rsidR="00410665">
        <w:t xml:space="preserve">Graf č.: </w:t>
      </w:r>
      <w:r w:rsidR="00410665">
        <w:rPr>
          <w:noProof/>
        </w:rPr>
        <w:t>17</w:t>
      </w:r>
      <w:r w:rsidR="0029672F">
        <w:fldChar w:fldCharType="end"/>
      </w:r>
      <w:r w:rsidR="0029672F">
        <w:t xml:space="preserve"> </w:t>
      </w:r>
      <w:r w:rsidR="001E5DBA">
        <w:t>zobrazuje vývoj počtu UoZ vykonávajících nekolidující zaměstnání od počátku loňského roku v porovnání s celkovým počtem UoZ (levá osa) a vývoj jejich podílu na celkovém počtu evidovaných UoZ (pravá osa).</w:t>
      </w:r>
      <w:r w:rsidR="001B60FA">
        <w:t xml:space="preserve"> </w:t>
      </w:r>
      <w:r w:rsidR="0029672F">
        <w:fldChar w:fldCharType="begin"/>
      </w:r>
      <w:r w:rsidR="0029672F">
        <w:instrText xml:space="preserve"> REF _Ref492472292 \h </w:instrText>
      </w:r>
      <w:r w:rsidR="0029672F">
        <w:fldChar w:fldCharType="separate"/>
      </w:r>
      <w:r w:rsidR="00410665">
        <w:t xml:space="preserve">Tabulka </w:t>
      </w:r>
      <w:r w:rsidR="00410665">
        <w:rPr>
          <w:noProof/>
        </w:rPr>
        <w:t>7</w:t>
      </w:r>
      <w:r w:rsidR="0029672F">
        <w:fldChar w:fldCharType="end"/>
      </w:r>
      <w:r w:rsidR="0029672F">
        <w:t xml:space="preserve"> </w:t>
      </w:r>
      <w:r w:rsidR="001B60FA">
        <w:t xml:space="preserve">ukazuje počet a podíl UoZ vykonávajících nekolidující zaměstnání </w:t>
      </w:r>
      <w:r w:rsidR="009C082E">
        <w:t>v</w:t>
      </w:r>
      <w:r w:rsidR="001B60FA">
        <w:t xml:space="preserve"> kraj</w:t>
      </w:r>
      <w:r w:rsidR="009C082E">
        <w:t>ích</w:t>
      </w:r>
      <w:r w:rsidR="001B60FA">
        <w:t xml:space="preserve"> ČR k 30. 6. 2017 a 31. 12. 201</w:t>
      </w:r>
      <w:r w:rsidR="0029672F">
        <w:t>6</w:t>
      </w:r>
      <w:r w:rsidR="001B60FA">
        <w:t xml:space="preserve">. MPSV přijalo opatření </w:t>
      </w:r>
      <w:r w:rsidR="0000643C">
        <w:t xml:space="preserve">v podobě novelizace příslušných ustanovení </w:t>
      </w:r>
      <w:r w:rsidR="009C082E">
        <w:t>zákona o zaměstnanosti</w:t>
      </w:r>
      <w:r w:rsidR="0000643C">
        <w:t xml:space="preserve"> </w:t>
      </w:r>
      <w:r w:rsidR="001B60FA">
        <w:t>k</w:t>
      </w:r>
      <w:r w:rsidR="0000643C">
        <w:t xml:space="preserve"> úpravě možnosti </w:t>
      </w:r>
      <w:r w:rsidR="001B60FA">
        <w:t>výkonu nekolidujícího zaměstnání</w:t>
      </w:r>
      <w:r w:rsidR="0000643C">
        <w:rPr>
          <w:rStyle w:val="Znakapoznpodarou"/>
        </w:rPr>
        <w:footnoteReference w:id="8"/>
      </w:r>
      <w:r w:rsidR="0029672F">
        <w:t>.</w:t>
      </w:r>
      <w:r w:rsidR="001B60FA">
        <w:t xml:space="preserve"> </w:t>
      </w:r>
      <w:r w:rsidR="0029672F">
        <w:t xml:space="preserve">Tato činnost </w:t>
      </w:r>
      <w:r w:rsidR="001B60FA">
        <w:t>na jedné straně sice pomáhá nezaměstnaným osobám ve zlepšení jejich příjmové situace a</w:t>
      </w:r>
      <w:r w:rsidR="0029672F">
        <w:t> </w:t>
      </w:r>
      <w:r w:rsidR="001B60FA">
        <w:t>udržení pracovních návyků, na straně druhé však při déle trvajícím pracovním vztahu může „blokovat“ UoZ v přijetí standardního zaměstnání a fakticky tak snižovat objem dostupné pracovní síly.</w:t>
      </w:r>
    </w:p>
    <w:p w:rsidR="001E5DBA" w:rsidRDefault="001E5DBA" w:rsidP="00110B70">
      <w:pPr>
        <w:spacing w:line="240" w:lineRule="auto"/>
      </w:pPr>
    </w:p>
    <w:p w:rsidR="001E5DBA" w:rsidRDefault="001E5DBA" w:rsidP="00110B70">
      <w:pPr>
        <w:pStyle w:val="Titulek"/>
        <w:keepNext/>
      </w:pPr>
      <w:bookmarkStart w:id="76" w:name="_Ref492472207"/>
      <w:bookmarkStart w:id="77" w:name="_Toc492555047"/>
      <w:r>
        <w:t xml:space="preserve">Graf č.: </w:t>
      </w:r>
      <w:fldSimple w:instr=" SEQ Graf_č.: \* ARABIC ">
        <w:r w:rsidR="00410665">
          <w:rPr>
            <w:noProof/>
          </w:rPr>
          <w:t>17</w:t>
        </w:r>
      </w:fldSimple>
      <w:bookmarkEnd w:id="76"/>
      <w:r>
        <w:t xml:space="preserve"> Vývoj počtu UoZ vykonávajících nekolidující zaměstnání a jejich podílu na UoZ</w:t>
      </w:r>
      <w:bookmarkEnd w:id="77"/>
    </w:p>
    <w:p w:rsidR="001E5DBA" w:rsidRPr="004143DA" w:rsidRDefault="001E5DBA" w:rsidP="00110B70">
      <w:pPr>
        <w:spacing w:line="240" w:lineRule="auto"/>
      </w:pPr>
      <w:r>
        <w:rPr>
          <w:noProof/>
          <w:lang w:eastAsia="cs-CZ"/>
        </w:rPr>
        <w:drawing>
          <wp:inline distT="0" distB="0" distL="0" distR="0" wp14:anchorId="3941CC01" wp14:editId="2C3C208D">
            <wp:extent cx="5657850" cy="2790825"/>
            <wp:effectExtent l="0" t="0" r="19050" b="952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B5083" w:rsidRPr="005B5083" w:rsidRDefault="005B5083" w:rsidP="00110B70">
      <w:pPr>
        <w:spacing w:line="240" w:lineRule="auto"/>
      </w:pPr>
    </w:p>
    <w:p w:rsidR="001B60FA" w:rsidRDefault="001B60FA" w:rsidP="00110B70">
      <w:pPr>
        <w:pStyle w:val="Titulek"/>
        <w:keepNext/>
      </w:pPr>
      <w:bookmarkStart w:id="78" w:name="_Ref492472292"/>
      <w:bookmarkStart w:id="79" w:name="_Toc492555059"/>
      <w:r>
        <w:t xml:space="preserve">Tabulka </w:t>
      </w:r>
      <w:fldSimple w:instr=" SEQ Tabulka \* ARABIC ">
        <w:r w:rsidR="00410665">
          <w:rPr>
            <w:noProof/>
          </w:rPr>
          <w:t>7</w:t>
        </w:r>
      </w:fldSimple>
      <w:bookmarkEnd w:id="78"/>
      <w:r>
        <w:t xml:space="preserve"> Počet a podíl UoZ vykonávajících nekolidující zaměstnání k 30. 6. 2017 a 31. 12. 2016</w:t>
      </w:r>
      <w:bookmarkEnd w:id="79"/>
    </w:p>
    <w:tbl>
      <w:tblPr>
        <w:tblW w:w="9021" w:type="dxa"/>
        <w:tblInd w:w="60" w:type="dxa"/>
        <w:tblCellMar>
          <w:left w:w="70" w:type="dxa"/>
          <w:right w:w="70" w:type="dxa"/>
        </w:tblCellMar>
        <w:tblLook w:val="04A0" w:firstRow="1" w:lastRow="0" w:firstColumn="1" w:lastColumn="0" w:noHBand="0" w:noVBand="1"/>
      </w:tblPr>
      <w:tblGrid>
        <w:gridCol w:w="1440"/>
        <w:gridCol w:w="1548"/>
        <w:gridCol w:w="1448"/>
        <w:gridCol w:w="1568"/>
        <w:gridCol w:w="1437"/>
        <w:gridCol w:w="1580"/>
      </w:tblGrid>
      <w:tr w:rsidR="001B60FA" w:rsidRPr="001B60FA" w:rsidTr="00975FB2">
        <w:trPr>
          <w:trHeight w:val="42"/>
        </w:trPr>
        <w:tc>
          <w:tcPr>
            <w:tcW w:w="1440" w:type="dxa"/>
            <w:tcBorders>
              <w:top w:val="single" w:sz="8" w:space="0" w:color="auto"/>
              <w:left w:val="single" w:sz="8" w:space="0" w:color="auto"/>
              <w:bottom w:val="nil"/>
              <w:right w:val="nil"/>
            </w:tcBorders>
            <w:shd w:val="clear" w:color="auto" w:fill="auto"/>
            <w:noWrap/>
            <w:vAlign w:val="bottom"/>
            <w:hideMark/>
          </w:tcPr>
          <w:p w:rsidR="001B60FA" w:rsidRPr="001B60FA" w:rsidRDefault="001B60FA" w:rsidP="00110B70">
            <w:pPr>
              <w:spacing w:line="240" w:lineRule="auto"/>
              <w:jc w:val="left"/>
              <w:rPr>
                <w:rFonts w:ascii="Calibri" w:eastAsia="Times New Roman" w:hAnsi="Calibri" w:cs="Times New Roman"/>
                <w:color w:val="000000"/>
                <w:sz w:val="22"/>
                <w:lang w:eastAsia="cs-CZ"/>
              </w:rPr>
            </w:pPr>
            <w:r w:rsidRPr="001B60FA">
              <w:rPr>
                <w:rFonts w:ascii="Calibri" w:eastAsia="Times New Roman" w:hAnsi="Calibri" w:cs="Times New Roman"/>
                <w:color w:val="000000"/>
                <w:sz w:val="22"/>
                <w:lang w:eastAsia="cs-CZ"/>
              </w:rPr>
              <w:t> </w:t>
            </w:r>
          </w:p>
        </w:tc>
        <w:tc>
          <w:tcPr>
            <w:tcW w:w="1548" w:type="dxa"/>
            <w:tcBorders>
              <w:top w:val="single" w:sz="8" w:space="0" w:color="auto"/>
              <w:left w:val="single" w:sz="4" w:space="0" w:color="auto"/>
              <w:bottom w:val="nil"/>
              <w:right w:val="single" w:sz="8" w:space="0" w:color="auto"/>
            </w:tcBorders>
            <w:shd w:val="clear" w:color="auto" w:fill="auto"/>
            <w:noWrap/>
            <w:vAlign w:val="bottom"/>
            <w:hideMark/>
          </w:tcPr>
          <w:p w:rsidR="001B60FA" w:rsidRPr="001B60FA" w:rsidRDefault="001B60FA" w:rsidP="00110B70">
            <w:pPr>
              <w:spacing w:line="240" w:lineRule="auto"/>
              <w:jc w:val="center"/>
              <w:rPr>
                <w:rFonts w:ascii="Calibri" w:eastAsia="Times New Roman" w:hAnsi="Calibri" w:cs="Times New Roman"/>
                <w:b/>
                <w:bCs/>
                <w:color w:val="000000"/>
                <w:sz w:val="22"/>
                <w:lang w:eastAsia="cs-CZ"/>
              </w:rPr>
            </w:pPr>
            <w:r w:rsidRPr="001B60FA">
              <w:rPr>
                <w:rFonts w:ascii="Calibri" w:eastAsia="Times New Roman" w:hAnsi="Calibri" w:cs="Times New Roman"/>
                <w:b/>
                <w:bCs/>
                <w:color w:val="000000"/>
                <w:sz w:val="22"/>
                <w:lang w:eastAsia="cs-CZ"/>
              </w:rPr>
              <w:t xml:space="preserve">UoZ </w:t>
            </w:r>
          </w:p>
        </w:tc>
        <w:tc>
          <w:tcPr>
            <w:tcW w:w="6033" w:type="dxa"/>
            <w:gridSpan w:val="4"/>
            <w:tcBorders>
              <w:top w:val="single" w:sz="8" w:space="0" w:color="auto"/>
              <w:left w:val="nil"/>
              <w:bottom w:val="single" w:sz="4" w:space="0" w:color="auto"/>
              <w:right w:val="single" w:sz="8" w:space="0" w:color="000000"/>
            </w:tcBorders>
            <w:shd w:val="clear" w:color="auto" w:fill="auto"/>
            <w:noWrap/>
            <w:vAlign w:val="bottom"/>
            <w:hideMark/>
          </w:tcPr>
          <w:p w:rsidR="001B60FA" w:rsidRPr="001B60FA" w:rsidRDefault="001B60FA" w:rsidP="00110B70">
            <w:pPr>
              <w:spacing w:line="240" w:lineRule="auto"/>
              <w:jc w:val="center"/>
              <w:rPr>
                <w:rFonts w:ascii="Calibri" w:eastAsia="Times New Roman" w:hAnsi="Calibri" w:cs="Times New Roman"/>
                <w:b/>
                <w:bCs/>
                <w:color w:val="000000"/>
                <w:sz w:val="22"/>
                <w:lang w:eastAsia="cs-CZ"/>
              </w:rPr>
            </w:pPr>
            <w:r w:rsidRPr="001B60FA">
              <w:rPr>
                <w:rFonts w:ascii="Calibri" w:eastAsia="Times New Roman" w:hAnsi="Calibri" w:cs="Times New Roman"/>
                <w:b/>
                <w:bCs/>
                <w:color w:val="000000"/>
                <w:sz w:val="22"/>
                <w:lang w:eastAsia="cs-CZ"/>
              </w:rPr>
              <w:t>UoZ vykonávající nekolidující zaměstnání k:</w:t>
            </w:r>
          </w:p>
        </w:tc>
      </w:tr>
      <w:tr w:rsidR="001B60FA" w:rsidRPr="001B60FA" w:rsidTr="00975FB2">
        <w:trPr>
          <w:trHeight w:val="42"/>
        </w:trPr>
        <w:tc>
          <w:tcPr>
            <w:tcW w:w="1440" w:type="dxa"/>
            <w:tcBorders>
              <w:top w:val="nil"/>
              <w:left w:val="single" w:sz="8" w:space="0" w:color="auto"/>
              <w:bottom w:val="nil"/>
              <w:right w:val="nil"/>
            </w:tcBorders>
            <w:shd w:val="clear" w:color="auto" w:fill="auto"/>
            <w:noWrap/>
            <w:vAlign w:val="center"/>
            <w:hideMark/>
          </w:tcPr>
          <w:p w:rsidR="001B60FA" w:rsidRPr="00975FB2" w:rsidRDefault="001B60FA" w:rsidP="00110B70">
            <w:pPr>
              <w:spacing w:line="240" w:lineRule="auto"/>
              <w:jc w:val="center"/>
              <w:rPr>
                <w:rFonts w:eastAsia="Times New Roman" w:cs="Arial"/>
                <w:b/>
                <w:bCs/>
                <w:color w:val="000000"/>
                <w:sz w:val="20"/>
                <w:szCs w:val="20"/>
                <w:lang w:eastAsia="cs-CZ"/>
              </w:rPr>
            </w:pPr>
            <w:r w:rsidRPr="00975FB2">
              <w:rPr>
                <w:rFonts w:eastAsia="Times New Roman" w:cs="Arial"/>
                <w:b/>
                <w:bCs/>
                <w:color w:val="000000"/>
                <w:sz w:val="20"/>
                <w:szCs w:val="20"/>
                <w:lang w:eastAsia="cs-CZ"/>
              </w:rPr>
              <w:t>Kraj</w:t>
            </w:r>
          </w:p>
        </w:tc>
        <w:tc>
          <w:tcPr>
            <w:tcW w:w="1548" w:type="dxa"/>
            <w:tcBorders>
              <w:top w:val="nil"/>
              <w:left w:val="single" w:sz="4" w:space="0" w:color="auto"/>
              <w:bottom w:val="nil"/>
              <w:right w:val="single" w:sz="8"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b/>
                <w:bCs/>
                <w:color w:val="000000"/>
                <w:sz w:val="20"/>
                <w:szCs w:val="20"/>
                <w:lang w:eastAsia="cs-CZ"/>
              </w:rPr>
            </w:pPr>
            <w:r w:rsidRPr="00975FB2">
              <w:rPr>
                <w:rFonts w:eastAsia="Times New Roman" w:cs="Arial"/>
                <w:b/>
                <w:bCs/>
                <w:color w:val="000000"/>
                <w:sz w:val="20"/>
                <w:szCs w:val="20"/>
                <w:lang w:eastAsia="cs-CZ"/>
              </w:rPr>
              <w:t>celkem k:</w:t>
            </w:r>
          </w:p>
        </w:tc>
        <w:tc>
          <w:tcPr>
            <w:tcW w:w="3016" w:type="dxa"/>
            <w:gridSpan w:val="2"/>
            <w:tcBorders>
              <w:top w:val="single" w:sz="4" w:space="0" w:color="auto"/>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31. 12. 2016</w:t>
            </w:r>
          </w:p>
        </w:tc>
        <w:tc>
          <w:tcPr>
            <w:tcW w:w="301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30. 6. 2017</w:t>
            </w:r>
          </w:p>
        </w:tc>
      </w:tr>
      <w:tr w:rsidR="001B60FA" w:rsidRPr="001B60FA" w:rsidTr="00975FB2">
        <w:trPr>
          <w:trHeight w:val="44"/>
        </w:trPr>
        <w:tc>
          <w:tcPr>
            <w:tcW w:w="1440" w:type="dxa"/>
            <w:tcBorders>
              <w:top w:val="nil"/>
              <w:left w:val="single" w:sz="8" w:space="0" w:color="auto"/>
              <w:bottom w:val="single" w:sz="8" w:space="0" w:color="auto"/>
              <w:right w:val="nil"/>
            </w:tcBorders>
            <w:shd w:val="clear" w:color="auto" w:fill="auto"/>
            <w:noWrap/>
            <w:vAlign w:val="bottom"/>
            <w:hideMark/>
          </w:tcPr>
          <w:p w:rsidR="001B60FA" w:rsidRPr="00975FB2" w:rsidRDefault="001B60FA" w:rsidP="00110B70">
            <w:pPr>
              <w:spacing w:line="240" w:lineRule="auto"/>
              <w:jc w:val="left"/>
              <w:rPr>
                <w:rFonts w:eastAsia="Times New Roman" w:cs="Arial"/>
                <w:color w:val="000000"/>
                <w:sz w:val="20"/>
                <w:szCs w:val="20"/>
                <w:lang w:eastAsia="cs-CZ"/>
              </w:rPr>
            </w:pPr>
            <w:r w:rsidRPr="00975FB2">
              <w:rPr>
                <w:rFonts w:eastAsia="Times New Roman" w:cs="Arial"/>
                <w:color w:val="000000"/>
                <w:sz w:val="20"/>
                <w:szCs w:val="20"/>
                <w:lang w:eastAsia="cs-CZ"/>
              </w:rPr>
              <w:t> </w:t>
            </w:r>
          </w:p>
        </w:tc>
        <w:tc>
          <w:tcPr>
            <w:tcW w:w="1548" w:type="dxa"/>
            <w:tcBorders>
              <w:top w:val="nil"/>
              <w:left w:val="single" w:sz="4" w:space="0" w:color="auto"/>
              <w:bottom w:val="single" w:sz="8" w:space="0" w:color="auto"/>
              <w:right w:val="single" w:sz="8"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30. 6. 2017</w:t>
            </w:r>
          </w:p>
        </w:tc>
        <w:tc>
          <w:tcPr>
            <w:tcW w:w="1448" w:type="dxa"/>
            <w:tcBorders>
              <w:top w:val="nil"/>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počet</w:t>
            </w:r>
          </w:p>
        </w:tc>
        <w:tc>
          <w:tcPr>
            <w:tcW w:w="1568" w:type="dxa"/>
            <w:tcBorders>
              <w:top w:val="nil"/>
              <w:left w:val="single" w:sz="4" w:space="0" w:color="auto"/>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podíl</w:t>
            </w:r>
          </w:p>
        </w:tc>
        <w:tc>
          <w:tcPr>
            <w:tcW w:w="1437" w:type="dxa"/>
            <w:tcBorders>
              <w:top w:val="nil"/>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počet</w:t>
            </w:r>
          </w:p>
        </w:tc>
        <w:tc>
          <w:tcPr>
            <w:tcW w:w="1579" w:type="dxa"/>
            <w:tcBorders>
              <w:top w:val="nil"/>
              <w:left w:val="nil"/>
              <w:bottom w:val="single" w:sz="8" w:space="0" w:color="auto"/>
              <w:right w:val="single" w:sz="8"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podíl</w:t>
            </w:r>
          </w:p>
        </w:tc>
      </w:tr>
      <w:tr w:rsidR="001B60FA" w:rsidRPr="001B60FA" w:rsidTr="00975FB2">
        <w:trPr>
          <w:trHeight w:val="42"/>
        </w:trPr>
        <w:tc>
          <w:tcPr>
            <w:tcW w:w="14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Praha</w:t>
            </w:r>
          </w:p>
        </w:tc>
        <w:tc>
          <w:tcPr>
            <w:tcW w:w="1548" w:type="dxa"/>
            <w:tcBorders>
              <w:top w:val="single" w:sz="8" w:space="0" w:color="auto"/>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26 208</w:t>
            </w:r>
          </w:p>
        </w:tc>
        <w:tc>
          <w:tcPr>
            <w:tcW w:w="1448" w:type="dxa"/>
            <w:tcBorders>
              <w:top w:val="single" w:sz="8" w:space="0" w:color="auto"/>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2 580</w:t>
            </w:r>
          </w:p>
        </w:tc>
        <w:tc>
          <w:tcPr>
            <w:tcW w:w="1568" w:type="dxa"/>
            <w:tcBorders>
              <w:top w:val="nil"/>
              <w:left w:val="single" w:sz="4"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8,55%</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2 233</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8,52%</w:t>
            </w:r>
          </w:p>
        </w:tc>
      </w:tr>
      <w:tr w:rsidR="001B60FA" w:rsidRPr="001B60FA" w:rsidTr="00975FB2">
        <w:trPr>
          <w:trHeight w:val="42"/>
        </w:trPr>
        <w:tc>
          <w:tcPr>
            <w:tcW w:w="144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SČK</w:t>
            </w:r>
          </w:p>
        </w:tc>
        <w:tc>
          <w:tcPr>
            <w:tcW w:w="1548" w:type="dxa"/>
            <w:tcBorders>
              <w:top w:val="single" w:sz="4" w:space="0" w:color="auto"/>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30 861</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3 561</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9,14%</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3 186</w:t>
            </w:r>
          </w:p>
        </w:tc>
        <w:tc>
          <w:tcPr>
            <w:tcW w:w="1579" w:type="dxa"/>
            <w:tcBorders>
              <w:top w:val="single" w:sz="4" w:space="0" w:color="auto"/>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10,32%</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JČK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12 938</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1 754</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9,05%</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1 441</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11,14%</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PLK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10 687</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1 166</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7,96%</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838</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7,84%</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KVK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8 674</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1 123</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9,52%</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858</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9,89%</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ULK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36 723</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4 618</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10,37%</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4 167</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11,35%</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LBK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12 821</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1 663</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10,33%</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1 522</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11,87%</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KHK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10 562</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1 587</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11,12%</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1 212</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11,48%</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PBK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9 783</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1 333</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9,25%</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1 015</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10,38%</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VYS</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11 966</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2 053</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11,62%</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1 593</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13,31%</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JMK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38 043</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5 326</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10,86%</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4 713</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12,39%</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OLK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19 902</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3 104</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11,72%</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2 654</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13,34%</w:t>
            </w:r>
          </w:p>
        </w:tc>
      </w:tr>
      <w:tr w:rsidR="001B60FA" w:rsidRPr="001B60FA" w:rsidTr="00975FB2">
        <w:trPr>
          <w:trHeight w:val="42"/>
        </w:trPr>
        <w:tc>
          <w:tcPr>
            <w:tcW w:w="1440" w:type="dxa"/>
            <w:tcBorders>
              <w:top w:val="nil"/>
              <w:left w:val="single" w:sz="8" w:space="0" w:color="auto"/>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ZLK</w:t>
            </w:r>
          </w:p>
        </w:tc>
        <w:tc>
          <w:tcPr>
            <w:tcW w:w="1548"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14 263</w:t>
            </w:r>
          </w:p>
        </w:tc>
        <w:tc>
          <w:tcPr>
            <w:tcW w:w="144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2 431</w:t>
            </w:r>
          </w:p>
        </w:tc>
        <w:tc>
          <w:tcPr>
            <w:tcW w:w="1568"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12,25%</w:t>
            </w:r>
          </w:p>
        </w:tc>
        <w:tc>
          <w:tcPr>
            <w:tcW w:w="1437" w:type="dxa"/>
            <w:tcBorders>
              <w:top w:val="nil"/>
              <w:left w:val="nil"/>
              <w:bottom w:val="single" w:sz="4"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1 885</w:t>
            </w:r>
          </w:p>
        </w:tc>
        <w:tc>
          <w:tcPr>
            <w:tcW w:w="1579" w:type="dxa"/>
            <w:tcBorders>
              <w:top w:val="nil"/>
              <w:left w:val="nil"/>
              <w:bottom w:val="single" w:sz="4"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13,22%</w:t>
            </w:r>
          </w:p>
        </w:tc>
      </w:tr>
      <w:tr w:rsidR="001B60FA" w:rsidRPr="001B60FA" w:rsidTr="00975FB2">
        <w:trPr>
          <w:trHeight w:val="44"/>
        </w:trPr>
        <w:tc>
          <w:tcPr>
            <w:tcW w:w="1440" w:type="dxa"/>
            <w:tcBorders>
              <w:top w:val="nil"/>
              <w:left w:val="single" w:sz="8" w:space="0" w:color="auto"/>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color w:val="000000"/>
                <w:sz w:val="20"/>
                <w:szCs w:val="20"/>
                <w:lang w:eastAsia="cs-CZ"/>
              </w:rPr>
            </w:pPr>
            <w:r w:rsidRPr="00975FB2">
              <w:rPr>
                <w:rFonts w:eastAsia="Times New Roman" w:cs="Arial"/>
                <w:color w:val="000000"/>
                <w:sz w:val="20"/>
                <w:szCs w:val="20"/>
                <w:lang w:eastAsia="cs-CZ"/>
              </w:rPr>
              <w:t>MSK</w:t>
            </w:r>
          </w:p>
        </w:tc>
        <w:tc>
          <w:tcPr>
            <w:tcW w:w="1548" w:type="dxa"/>
            <w:tcBorders>
              <w:top w:val="nil"/>
              <w:left w:val="nil"/>
              <w:bottom w:val="single" w:sz="8"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54 008</w:t>
            </w:r>
          </w:p>
        </w:tc>
        <w:tc>
          <w:tcPr>
            <w:tcW w:w="1448" w:type="dxa"/>
            <w:tcBorders>
              <w:top w:val="nil"/>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8 634</w:t>
            </w:r>
          </w:p>
        </w:tc>
        <w:tc>
          <w:tcPr>
            <w:tcW w:w="1568" w:type="dxa"/>
            <w:tcBorders>
              <w:top w:val="nil"/>
              <w:left w:val="single" w:sz="4" w:space="0" w:color="auto"/>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13,48%</w:t>
            </w:r>
          </w:p>
        </w:tc>
        <w:tc>
          <w:tcPr>
            <w:tcW w:w="1437" w:type="dxa"/>
            <w:tcBorders>
              <w:top w:val="nil"/>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7 991</w:t>
            </w:r>
          </w:p>
        </w:tc>
        <w:tc>
          <w:tcPr>
            <w:tcW w:w="1579" w:type="dxa"/>
            <w:tcBorders>
              <w:top w:val="nil"/>
              <w:left w:val="nil"/>
              <w:bottom w:val="single" w:sz="8"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color w:val="000000"/>
                <w:sz w:val="20"/>
                <w:szCs w:val="20"/>
                <w:lang w:eastAsia="cs-CZ"/>
              </w:rPr>
            </w:pPr>
            <w:r w:rsidRPr="00975FB2">
              <w:rPr>
                <w:rFonts w:eastAsia="Times New Roman" w:cs="Arial"/>
                <w:color w:val="000000"/>
                <w:sz w:val="20"/>
                <w:szCs w:val="20"/>
                <w:lang w:eastAsia="cs-CZ"/>
              </w:rPr>
              <w:t>14,80%</w:t>
            </w:r>
          </w:p>
        </w:tc>
      </w:tr>
      <w:tr w:rsidR="001B60FA" w:rsidRPr="001B60FA" w:rsidTr="00975FB2">
        <w:trPr>
          <w:trHeight w:val="44"/>
        </w:trPr>
        <w:tc>
          <w:tcPr>
            <w:tcW w:w="14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center"/>
              <w:rPr>
                <w:rFonts w:eastAsia="Times New Roman" w:cs="Arial"/>
                <w:b/>
                <w:bCs/>
                <w:color w:val="000000"/>
                <w:sz w:val="20"/>
                <w:szCs w:val="20"/>
                <w:lang w:eastAsia="cs-CZ"/>
              </w:rPr>
            </w:pPr>
            <w:r w:rsidRPr="00975FB2">
              <w:rPr>
                <w:rFonts w:eastAsia="Times New Roman" w:cs="Arial"/>
                <w:b/>
                <w:bCs/>
                <w:color w:val="000000"/>
                <w:sz w:val="20"/>
                <w:szCs w:val="20"/>
                <w:lang w:eastAsia="cs-CZ"/>
              </w:rPr>
              <w:t>ČR</w:t>
            </w:r>
          </w:p>
        </w:tc>
        <w:tc>
          <w:tcPr>
            <w:tcW w:w="1548" w:type="dxa"/>
            <w:tcBorders>
              <w:top w:val="single" w:sz="8" w:space="0" w:color="auto"/>
              <w:left w:val="nil"/>
              <w:bottom w:val="single" w:sz="8"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b/>
                <w:bCs/>
                <w:color w:val="000000"/>
                <w:sz w:val="20"/>
                <w:szCs w:val="20"/>
                <w:lang w:eastAsia="cs-CZ"/>
              </w:rPr>
            </w:pPr>
            <w:r w:rsidRPr="00975FB2">
              <w:rPr>
                <w:rFonts w:eastAsia="Times New Roman" w:cs="Arial"/>
                <w:b/>
                <w:bCs/>
                <w:color w:val="000000"/>
                <w:sz w:val="20"/>
                <w:szCs w:val="20"/>
                <w:lang w:eastAsia="cs-CZ"/>
              </w:rPr>
              <w:t>297 439</w:t>
            </w:r>
          </w:p>
        </w:tc>
        <w:tc>
          <w:tcPr>
            <w:tcW w:w="1448" w:type="dxa"/>
            <w:tcBorders>
              <w:top w:val="single" w:sz="8" w:space="0" w:color="auto"/>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b/>
                <w:bCs/>
                <w:color w:val="000000"/>
                <w:sz w:val="20"/>
                <w:szCs w:val="20"/>
                <w:lang w:eastAsia="cs-CZ"/>
              </w:rPr>
            </w:pPr>
            <w:r w:rsidRPr="00975FB2">
              <w:rPr>
                <w:rFonts w:eastAsia="Times New Roman" w:cs="Arial"/>
                <w:b/>
                <w:bCs/>
                <w:color w:val="000000"/>
                <w:sz w:val="20"/>
                <w:szCs w:val="20"/>
                <w:lang w:eastAsia="cs-CZ"/>
              </w:rPr>
              <w:t>40 933</w:t>
            </w:r>
          </w:p>
        </w:tc>
        <w:tc>
          <w:tcPr>
            <w:tcW w:w="1568" w:type="dxa"/>
            <w:tcBorders>
              <w:top w:val="single" w:sz="8" w:space="0" w:color="auto"/>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b/>
                <w:bCs/>
                <w:color w:val="000000"/>
                <w:sz w:val="20"/>
                <w:szCs w:val="20"/>
                <w:lang w:eastAsia="cs-CZ"/>
              </w:rPr>
            </w:pPr>
            <w:r w:rsidRPr="00975FB2">
              <w:rPr>
                <w:rFonts w:eastAsia="Times New Roman" w:cs="Arial"/>
                <w:b/>
                <w:bCs/>
                <w:color w:val="000000"/>
                <w:sz w:val="20"/>
                <w:szCs w:val="20"/>
                <w:lang w:eastAsia="cs-CZ"/>
              </w:rPr>
              <w:t>10,73%</w:t>
            </w:r>
          </w:p>
        </w:tc>
        <w:tc>
          <w:tcPr>
            <w:tcW w:w="1437" w:type="dxa"/>
            <w:tcBorders>
              <w:top w:val="single" w:sz="8" w:space="0" w:color="auto"/>
              <w:left w:val="nil"/>
              <w:bottom w:val="single" w:sz="8" w:space="0" w:color="auto"/>
              <w:right w:val="single" w:sz="4"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b/>
                <w:bCs/>
                <w:color w:val="000000"/>
                <w:sz w:val="20"/>
                <w:szCs w:val="20"/>
                <w:lang w:eastAsia="cs-CZ"/>
              </w:rPr>
            </w:pPr>
            <w:r w:rsidRPr="00975FB2">
              <w:rPr>
                <w:rFonts w:eastAsia="Times New Roman" w:cs="Arial"/>
                <w:b/>
                <w:bCs/>
                <w:color w:val="000000"/>
                <w:sz w:val="20"/>
                <w:szCs w:val="20"/>
                <w:lang w:eastAsia="cs-CZ"/>
              </w:rPr>
              <w:t>35 308</w:t>
            </w:r>
          </w:p>
        </w:tc>
        <w:tc>
          <w:tcPr>
            <w:tcW w:w="1579" w:type="dxa"/>
            <w:tcBorders>
              <w:top w:val="single" w:sz="8" w:space="0" w:color="auto"/>
              <w:left w:val="nil"/>
              <w:bottom w:val="single" w:sz="8" w:space="0" w:color="auto"/>
              <w:right w:val="single" w:sz="8" w:space="0" w:color="auto"/>
            </w:tcBorders>
            <w:shd w:val="clear" w:color="auto" w:fill="auto"/>
            <w:noWrap/>
            <w:vAlign w:val="bottom"/>
            <w:hideMark/>
          </w:tcPr>
          <w:p w:rsidR="001B60FA" w:rsidRPr="00975FB2" w:rsidRDefault="001B60FA" w:rsidP="00110B70">
            <w:pPr>
              <w:spacing w:line="240" w:lineRule="auto"/>
              <w:jc w:val="right"/>
              <w:rPr>
                <w:rFonts w:eastAsia="Times New Roman" w:cs="Arial"/>
                <w:b/>
                <w:bCs/>
                <w:color w:val="000000"/>
                <w:sz w:val="20"/>
                <w:szCs w:val="20"/>
                <w:lang w:eastAsia="cs-CZ"/>
              </w:rPr>
            </w:pPr>
            <w:r w:rsidRPr="00975FB2">
              <w:rPr>
                <w:rFonts w:eastAsia="Times New Roman" w:cs="Arial"/>
                <w:b/>
                <w:bCs/>
                <w:color w:val="000000"/>
                <w:sz w:val="20"/>
                <w:szCs w:val="20"/>
                <w:lang w:eastAsia="cs-CZ"/>
              </w:rPr>
              <w:t>11,87%</w:t>
            </w:r>
          </w:p>
        </w:tc>
      </w:tr>
    </w:tbl>
    <w:p w:rsidR="005B27E3" w:rsidRDefault="001B60FA" w:rsidP="00975FB2">
      <w:pPr>
        <w:spacing w:before="120" w:line="240" w:lineRule="auto"/>
      </w:pPr>
      <w:r>
        <w:t xml:space="preserve">Přestože k 30. 6. 2017 evidoval UP ČR celkem 297 439 </w:t>
      </w:r>
      <w:r w:rsidR="0029672F">
        <w:t>UoZ</w:t>
      </w:r>
      <w:r>
        <w:t xml:space="preserve">, nereprezentuje tento počet dostupnou pracovní sílu, která je schopna okamžitě nastoupit do zaměstnání. Při porovnávání nabídkové a poptávkové strany trhu práce je proto nutné mít na zřeteli další sledovaný údaj, kterým je počet tzv. dosažitelných </w:t>
      </w:r>
      <w:r w:rsidR="0029672F">
        <w:t>UoZ</w:t>
      </w:r>
      <w:r>
        <w:t xml:space="preserve">. Těch z výše uvedeného počtu evidoval ÚP ČR v závěru </w:t>
      </w:r>
      <w:r w:rsidR="003F478C">
        <w:t>1. </w:t>
      </w:r>
      <w:r>
        <w:t>pololetí roku 2017 celkem 274 499</w:t>
      </w:r>
      <w:bookmarkStart w:id="80" w:name="_Ref492628305"/>
      <w:r w:rsidR="003F478C">
        <w:rPr>
          <w:rStyle w:val="Znakapoznpodarou"/>
        </w:rPr>
        <w:footnoteReference w:id="9"/>
      </w:r>
      <w:bookmarkEnd w:id="80"/>
      <w:r>
        <w:t>, tj.</w:t>
      </w:r>
      <w:r w:rsidR="00C920DA">
        <w:t> </w:t>
      </w:r>
      <w:r w:rsidR="003F478C">
        <w:t xml:space="preserve">92,3 %. </w:t>
      </w:r>
      <w:r w:rsidR="003F478C">
        <w:rPr>
          <w:b/>
        </w:rPr>
        <w:t xml:space="preserve">Negativním jevem posledních měsíců je nejenom relativní pokles dosažitelných UoZ na celkovém počtu UoZ, ale rovněž absolutní nárůst počtu nedosažitelných UoZ. </w:t>
      </w:r>
      <w:r w:rsidR="003F478C">
        <w:t xml:space="preserve">Oproti konci loňského roku stoupl jejich počet o </w:t>
      </w:r>
      <w:r w:rsidR="005B27E3">
        <w:t xml:space="preserve">1 737 osob, oproti červnu loňského roku pak o 4 206 osob (tj. o 22,5 %). Následující </w:t>
      </w:r>
      <w:r w:rsidR="00033FEC">
        <w:fldChar w:fldCharType="begin"/>
      </w:r>
      <w:r w:rsidR="00033FEC">
        <w:instrText xml:space="preserve"> REF _Ref492478424 \h </w:instrText>
      </w:r>
      <w:r w:rsidR="00033FEC">
        <w:fldChar w:fldCharType="separate"/>
      </w:r>
      <w:r w:rsidR="00410665">
        <w:t xml:space="preserve">Graf č.: </w:t>
      </w:r>
      <w:r w:rsidR="00410665">
        <w:rPr>
          <w:noProof/>
        </w:rPr>
        <w:t>18</w:t>
      </w:r>
      <w:r w:rsidR="00033FEC">
        <w:fldChar w:fldCharType="end"/>
      </w:r>
      <w:r w:rsidR="009C082E">
        <w:t xml:space="preserve"> z</w:t>
      </w:r>
      <w:r w:rsidR="005B27E3">
        <w:t>obrazuje vývoj počtu dosažitelných UoZ ponižovaný o UoZ vykonávajících nekolidujících zaměstnání, tedy osoby, u nichž je okamžitý nástup do zaměstnání z důvodu výkonu nekolidujícího zaměstnání rovněž diskutabilní. Za reálně dostupné UoZ jsou proto považováni dosažitelní UoZ nevykonávající nekolidující zaměstnání</w:t>
      </w:r>
      <w:r w:rsidR="00033FEC">
        <w:t>.</w:t>
      </w:r>
      <w:r w:rsidR="005B27E3">
        <w:t xml:space="preserve"> </w:t>
      </w:r>
      <w:r w:rsidR="00033FEC">
        <w:t>N</w:t>
      </w:r>
      <w:r w:rsidR="005B27E3">
        <w:t xml:space="preserve">a levé ose (sloupce) </w:t>
      </w:r>
      <w:r w:rsidR="00033FEC">
        <w:t xml:space="preserve">jsou </w:t>
      </w:r>
      <w:r w:rsidR="005B27E3">
        <w:t>absolutní počty, na pravé ose (spojnice) pak podíl reálně dosažitelných UoZ na celkovém počtu UoZ, a to v průběhu roku 2016 a 1. polovině 2017.</w:t>
      </w:r>
    </w:p>
    <w:p w:rsidR="009C082E" w:rsidRDefault="009C082E" w:rsidP="00975FB2">
      <w:pPr>
        <w:pStyle w:val="Titulek"/>
        <w:keepNext/>
        <w:spacing w:before="120" w:after="120"/>
      </w:pPr>
      <w:bookmarkStart w:id="82" w:name="_Ref492478424"/>
      <w:bookmarkStart w:id="83" w:name="_Toc492555048"/>
      <w:r>
        <w:t xml:space="preserve">Graf č.: </w:t>
      </w:r>
      <w:fldSimple w:instr=" SEQ Graf_č.: \* ARABIC ">
        <w:r w:rsidR="00410665">
          <w:rPr>
            <w:noProof/>
          </w:rPr>
          <w:t>18</w:t>
        </w:r>
      </w:fldSimple>
      <w:bookmarkEnd w:id="82"/>
      <w:r>
        <w:t xml:space="preserve"> Vývoj dosažitelných UoZ (měsíčně) od ledna 2016</w:t>
      </w:r>
      <w:bookmarkEnd w:id="83"/>
    </w:p>
    <w:p w:rsidR="003F478C" w:rsidRDefault="005B27E3" w:rsidP="00975FB2">
      <w:pPr>
        <w:pStyle w:val="Titulek"/>
        <w:keepNext/>
      </w:pPr>
      <w:r>
        <w:rPr>
          <w:noProof/>
          <w:lang w:eastAsia="cs-CZ"/>
        </w:rPr>
        <w:drawing>
          <wp:inline distT="0" distB="0" distL="0" distR="0" wp14:anchorId="449F46B5" wp14:editId="2D68632C">
            <wp:extent cx="5741582" cy="3976577"/>
            <wp:effectExtent l="0" t="0" r="12065" b="2413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3F478C">
        <w:t xml:space="preserve"> </w:t>
      </w:r>
    </w:p>
    <w:p w:rsidR="00E11457" w:rsidRDefault="00E11457" w:rsidP="00110B70">
      <w:pPr>
        <w:spacing w:after="200" w:line="240" w:lineRule="auto"/>
        <w:jc w:val="left"/>
      </w:pPr>
      <w:r>
        <w:br w:type="page"/>
      </w:r>
    </w:p>
    <w:p w:rsidR="00920E91" w:rsidRDefault="00920E91" w:rsidP="00110B70">
      <w:pPr>
        <w:pStyle w:val="Nadpis3"/>
      </w:pPr>
      <w:bookmarkStart w:id="84" w:name="_Toc492628600"/>
      <w:r>
        <w:t>Dlouhodobá nezaměstnanost</w:t>
      </w:r>
      <w:bookmarkEnd w:id="84"/>
    </w:p>
    <w:p w:rsidR="00920E91" w:rsidRDefault="00920E91" w:rsidP="00110B70">
      <w:pPr>
        <w:spacing w:line="240" w:lineRule="auto"/>
        <w:rPr>
          <w:b/>
        </w:rPr>
      </w:pPr>
      <w:r>
        <w:t xml:space="preserve">Zvýšení dynamiky poklesu počtu UoZ v 1. pololetí roku 2017 zvrátilo pozitivní vývoj zvýšeného poklesu podílu dlouhodobě nezaměstnaných UoZ na celkové nezaměstnanosti. Přestože </w:t>
      </w:r>
      <w:r w:rsidR="00033FEC">
        <w:t xml:space="preserve">počet </w:t>
      </w:r>
      <w:r>
        <w:t xml:space="preserve">UoZ s evidencí </w:t>
      </w:r>
      <w:r w:rsidR="00033FEC">
        <w:t>nad</w:t>
      </w:r>
      <w:r>
        <w:t xml:space="preserve"> 12 měsíců v posledních měsících nadále klesal, vzhledem k výraznějšímu poklesu počtu UoZ s kratší evidencí vzrostl podíl dlouhodobě nezaměstnaných osob na celkovém počtu UoZ o 1,4 p. b. na 39,2 %. </w:t>
      </w:r>
      <w:r>
        <w:rPr>
          <w:b/>
        </w:rPr>
        <w:t xml:space="preserve">Nicméně pozitivním jevem je, že i přes mírně zvýšený podíl dlouhodobě nezaměstnaných na počtu UoZ se mezičtvrtletní pokles </w:t>
      </w:r>
      <w:r w:rsidR="00033FEC">
        <w:rPr>
          <w:b/>
        </w:rPr>
        <w:t>této skupiny</w:t>
      </w:r>
      <w:r>
        <w:rPr>
          <w:b/>
        </w:rPr>
        <w:t xml:space="preserve"> zrychluje</w:t>
      </w:r>
      <w:r w:rsidR="00033FEC">
        <w:rPr>
          <w:b/>
        </w:rPr>
        <w:t>.</w:t>
      </w:r>
      <w:r>
        <w:rPr>
          <w:b/>
        </w:rPr>
        <w:t xml:space="preserve"> </w:t>
      </w:r>
      <w:r w:rsidR="00033FEC">
        <w:rPr>
          <w:b/>
        </w:rPr>
        <w:t>T</w:t>
      </w:r>
      <w:r>
        <w:rPr>
          <w:b/>
        </w:rPr>
        <w:t xml:space="preserve">rh práce je </w:t>
      </w:r>
      <w:r w:rsidR="00033FEC">
        <w:rPr>
          <w:b/>
        </w:rPr>
        <w:t xml:space="preserve">tedy </w:t>
      </w:r>
      <w:r>
        <w:rPr>
          <w:b/>
        </w:rPr>
        <w:t>nadále schopen při nastavení adekvátních podmínek vstřebávat i</w:t>
      </w:r>
      <w:r w:rsidR="00033FEC">
        <w:rPr>
          <w:b/>
        </w:rPr>
        <w:t> </w:t>
      </w:r>
      <w:r>
        <w:rPr>
          <w:b/>
        </w:rPr>
        <w:t>dlouhodobě nezaměstnané osoby</w:t>
      </w:r>
      <w:r w:rsidR="00474129">
        <w:rPr>
          <w:b/>
        </w:rPr>
        <w:t>.</w:t>
      </w:r>
    </w:p>
    <w:p w:rsidR="00474129" w:rsidRDefault="00474129" w:rsidP="00110B70">
      <w:pPr>
        <w:spacing w:line="240" w:lineRule="auto"/>
        <w:rPr>
          <w:b/>
        </w:rPr>
      </w:pPr>
    </w:p>
    <w:p w:rsidR="00474129" w:rsidRDefault="00474129" w:rsidP="00110B70">
      <w:pPr>
        <w:pStyle w:val="Titulek"/>
        <w:keepNext/>
      </w:pPr>
      <w:bookmarkStart w:id="85" w:name="_Toc492555049"/>
      <w:r>
        <w:t xml:space="preserve">Graf č.: </w:t>
      </w:r>
      <w:fldSimple w:instr=" SEQ Graf_č.: \* ARABIC ">
        <w:r w:rsidR="00410665">
          <w:rPr>
            <w:noProof/>
          </w:rPr>
          <w:t>19</w:t>
        </w:r>
      </w:fldSimple>
      <w:r>
        <w:t xml:space="preserve"> Vývoj počtu UoZ podle doby evidence</w:t>
      </w:r>
      <w:bookmarkEnd w:id="85"/>
    </w:p>
    <w:p w:rsidR="00474129" w:rsidRDefault="00474129" w:rsidP="00110B70">
      <w:pPr>
        <w:spacing w:line="240" w:lineRule="auto"/>
        <w:rPr>
          <w:b/>
        </w:rPr>
      </w:pPr>
      <w:r>
        <w:rPr>
          <w:noProof/>
          <w:lang w:eastAsia="cs-CZ"/>
        </w:rPr>
        <w:drawing>
          <wp:inline distT="0" distB="0" distL="0" distR="0" wp14:anchorId="76C4A131" wp14:editId="7068D4B3">
            <wp:extent cx="5762847" cy="2349795"/>
            <wp:effectExtent l="0" t="0" r="9525" b="1270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74129" w:rsidRDefault="00474129" w:rsidP="00110B70">
      <w:pPr>
        <w:spacing w:line="240" w:lineRule="auto"/>
        <w:rPr>
          <w:b/>
        </w:rPr>
      </w:pPr>
    </w:p>
    <w:p w:rsidR="00E11457" w:rsidRPr="00E11457" w:rsidRDefault="00E11457" w:rsidP="00110B70">
      <w:pPr>
        <w:spacing w:line="240" w:lineRule="auto"/>
      </w:pPr>
      <w:r>
        <w:fldChar w:fldCharType="begin"/>
      </w:r>
      <w:r>
        <w:instrText xml:space="preserve"> REF _Ref490049103 \h </w:instrText>
      </w:r>
      <w:r w:rsidR="00110B70">
        <w:instrText xml:space="preserve"> \* MERGEFORMAT </w:instrText>
      </w:r>
      <w:r>
        <w:fldChar w:fldCharType="separate"/>
      </w:r>
      <w:r w:rsidR="00410665">
        <w:t xml:space="preserve">Graf č.: </w:t>
      </w:r>
      <w:r w:rsidR="00410665">
        <w:rPr>
          <w:noProof/>
        </w:rPr>
        <w:t>20</w:t>
      </w:r>
      <w:r>
        <w:fldChar w:fldCharType="end"/>
      </w:r>
      <w:r>
        <w:t xml:space="preserve"> </w:t>
      </w:r>
      <w:r w:rsidR="00033FEC">
        <w:t>z</w:t>
      </w:r>
      <w:r>
        <w:t>obrazuje mezičtvrtletní změnu počtu UoZ podle doby evidence za posledních 5 let (v %), na levé straně pro skupinu UoZ s evidencí nad 12, resp. 24 měsíců, na pravé straně pak UoZ do 12 měsíců evidence, resp. UoZ všech skupin.</w:t>
      </w:r>
    </w:p>
    <w:p w:rsidR="00474129" w:rsidRDefault="00E11457" w:rsidP="00110B70">
      <w:pPr>
        <w:spacing w:line="240" w:lineRule="auto"/>
        <w:rPr>
          <w:b/>
        </w:rPr>
      </w:pPr>
      <w:r>
        <w:rPr>
          <w:noProof/>
          <w:lang w:eastAsia="cs-CZ"/>
        </w:rPr>
        <mc:AlternateContent>
          <mc:Choice Requires="wps">
            <w:drawing>
              <wp:anchor distT="0" distB="0" distL="114300" distR="114300" simplePos="0" relativeHeight="251671552" behindDoc="0" locked="0" layoutInCell="1" allowOverlap="1" wp14:anchorId="35032F06" wp14:editId="562FD74A">
                <wp:simplePos x="0" y="0"/>
                <wp:positionH relativeFrom="column">
                  <wp:posOffset>3810</wp:posOffset>
                </wp:positionH>
                <wp:positionV relativeFrom="paragraph">
                  <wp:posOffset>161290</wp:posOffset>
                </wp:positionV>
                <wp:extent cx="5762625" cy="191135"/>
                <wp:effectExtent l="0" t="0" r="9525" b="0"/>
                <wp:wrapNone/>
                <wp:docPr id="30" name="Textové pole 30"/>
                <wp:cNvGraphicFramePr/>
                <a:graphic xmlns:a="http://schemas.openxmlformats.org/drawingml/2006/main">
                  <a:graphicData uri="http://schemas.microsoft.com/office/word/2010/wordprocessingShape">
                    <wps:wsp>
                      <wps:cNvSpPr txBox="1"/>
                      <wps:spPr>
                        <a:xfrm>
                          <a:off x="0" y="0"/>
                          <a:ext cx="5762625" cy="191135"/>
                        </a:xfrm>
                        <a:prstGeom prst="rect">
                          <a:avLst/>
                        </a:prstGeom>
                        <a:solidFill>
                          <a:prstClr val="white"/>
                        </a:solidFill>
                        <a:ln>
                          <a:noFill/>
                        </a:ln>
                        <a:effectLst/>
                      </wps:spPr>
                      <wps:txbx>
                        <w:txbxContent>
                          <w:p w:rsidR="00B235F1" w:rsidRPr="001D5093" w:rsidRDefault="00B235F1" w:rsidP="00E11457">
                            <w:pPr>
                              <w:pStyle w:val="Titulek"/>
                              <w:rPr>
                                <w:noProof/>
                                <w:sz w:val="24"/>
                              </w:rPr>
                            </w:pPr>
                            <w:bookmarkStart w:id="86" w:name="_Ref490049103"/>
                            <w:bookmarkStart w:id="87" w:name="_Toc492555050"/>
                            <w:r>
                              <w:t xml:space="preserve">Graf č.: </w:t>
                            </w:r>
                            <w:fldSimple w:instr=" SEQ Graf_č.: \* ARABIC ">
                              <w:r>
                                <w:rPr>
                                  <w:noProof/>
                                </w:rPr>
                                <w:t>20</w:t>
                              </w:r>
                            </w:fldSimple>
                            <w:bookmarkEnd w:id="86"/>
                            <w:r>
                              <w:t xml:space="preserve"> Vývoj dynamiky změny počtu UoZ podle doby evidence</w:t>
                            </w:r>
                            <w:bookmarkEnd w:id="8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0" o:spid="_x0000_s1028" type="#_x0000_t202" style="position:absolute;left:0;text-align:left;margin-left:.3pt;margin-top:12.7pt;width:453.75pt;height:15.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" stroked="f">
                <v:textbox inset="0,0,0,0">
                  <w:txbxContent>
                    <w:p w:rsidR="00B235F1" w:rsidRPr="001D5093" w:rsidRDefault="00B235F1" w:rsidP="00E11457">
                      <w:pPr>
                        <w:pStyle w:val="Titulek"/>
                        <w:rPr>
                          <w:noProof/>
                          <w:sz w:val="24"/>
                        </w:rPr>
                      </w:pPr>
                      <w:bookmarkStart w:id="97" w:name="_Ref490049103"/>
                      <w:bookmarkStart w:id="98" w:name="_Toc492555050"/>
                      <w:r>
                        <w:t xml:space="preserve">Graf č.: </w:t>
                      </w:r>
                      <w:fldSimple w:instr=" SEQ Graf_č.: \* ARABIC ">
                        <w:r>
                          <w:rPr>
                            <w:noProof/>
                          </w:rPr>
                          <w:t>20</w:t>
                        </w:r>
                      </w:fldSimple>
                      <w:bookmarkEnd w:id="97"/>
                      <w:r>
                        <w:t xml:space="preserve"> Vývoj dynamiky změny počtu </w:t>
                      </w:r>
                      <w:proofErr w:type="spellStart"/>
                      <w:r>
                        <w:t>UoZ</w:t>
                      </w:r>
                      <w:proofErr w:type="spellEnd"/>
                      <w:r>
                        <w:t xml:space="preserve"> podle doby evidence</w:t>
                      </w:r>
                      <w:bookmarkEnd w:id="98"/>
                    </w:p>
                  </w:txbxContent>
                </v:textbox>
              </v:shape>
            </w:pict>
          </mc:Fallback>
        </mc:AlternateContent>
      </w:r>
    </w:p>
    <w:p w:rsidR="00474129" w:rsidRDefault="00474129" w:rsidP="00110B70">
      <w:pPr>
        <w:spacing w:line="240" w:lineRule="auto"/>
        <w:rPr>
          <w:b/>
        </w:rPr>
      </w:pPr>
    </w:p>
    <w:p w:rsidR="00474129" w:rsidRPr="00474129" w:rsidRDefault="00E11457" w:rsidP="00110B70">
      <w:pPr>
        <w:spacing w:line="240" w:lineRule="auto"/>
      </w:pPr>
      <w:r>
        <w:rPr>
          <w:noProof/>
          <w:lang w:eastAsia="cs-CZ"/>
        </w:rPr>
        <mc:AlternateContent>
          <mc:Choice Requires="wpg">
            <w:drawing>
              <wp:anchor distT="0" distB="0" distL="114300" distR="114300" simplePos="0" relativeHeight="251669504" behindDoc="0" locked="0" layoutInCell="1" allowOverlap="1" wp14:anchorId="0463111F" wp14:editId="67948091">
                <wp:simplePos x="0" y="0"/>
                <wp:positionH relativeFrom="column">
                  <wp:posOffset>-233045</wp:posOffset>
                </wp:positionH>
                <wp:positionV relativeFrom="paragraph">
                  <wp:posOffset>2540</wp:posOffset>
                </wp:positionV>
                <wp:extent cx="5996438" cy="3152775"/>
                <wp:effectExtent l="0" t="0" r="23495" b="9525"/>
                <wp:wrapNone/>
                <wp:docPr id="27" name="Skupina 11"/>
                <wp:cNvGraphicFramePr/>
                <a:graphic xmlns:a="http://schemas.openxmlformats.org/drawingml/2006/main">
                  <a:graphicData uri="http://schemas.microsoft.com/office/word/2010/wordprocessingGroup">
                    <wpg:wgp>
                      <wpg:cNvGrpSpPr/>
                      <wpg:grpSpPr>
                        <a:xfrm>
                          <a:off x="0" y="0"/>
                          <a:ext cx="5996438" cy="3152775"/>
                          <a:chOff x="0" y="0"/>
                          <a:chExt cx="14068425" cy="4076699"/>
                        </a:xfrm>
                      </wpg:grpSpPr>
                      <wpg:graphicFrame>
                        <wpg:cNvPr id="28" name="Graf 28"/>
                        <wpg:cNvFrPr>
                          <a:graphicFrameLocks/>
                        </wpg:cNvFrPr>
                        <wpg:xfrm>
                          <a:off x="0" y="9525"/>
                          <a:ext cx="7029449" cy="4067174"/>
                        </wpg:xfrm>
                        <a:graphic>
                          <a:graphicData uri="http://schemas.openxmlformats.org/drawingml/2006/chart">
                            <c:chart xmlns:c="http://schemas.openxmlformats.org/drawingml/2006/chart" xmlns:r="http://schemas.openxmlformats.org/officeDocument/2006/relationships" r:id="rId41"/>
                          </a:graphicData>
                        </a:graphic>
                      </wpg:graphicFrame>
                      <wpg:graphicFrame>
                        <wpg:cNvPr id="29" name="Graf 29"/>
                        <wpg:cNvFrPr>
                          <a:graphicFrameLocks/>
                        </wpg:cNvFrPr>
                        <wpg:xfrm>
                          <a:off x="7038975" y="0"/>
                          <a:ext cx="7029450" cy="4062414"/>
                        </wpg:xfrm>
                        <a:graphic>
                          <a:graphicData uri="http://schemas.openxmlformats.org/drawingml/2006/chart">
                            <c:chart xmlns:c="http://schemas.openxmlformats.org/drawingml/2006/chart" xmlns:r="http://schemas.openxmlformats.org/officeDocument/2006/relationships" r:id="rId42"/>
                          </a:graphicData>
                        </a:graphic>
                      </wpg:graphicFrame>
                    </wpg:wgp>
                  </a:graphicData>
                </a:graphic>
                <wp14:sizeRelH relativeFrom="margin">
                  <wp14:pctWidth>0</wp14:pctWidth>
                </wp14:sizeRelH>
                <wp14:sizeRelV relativeFrom="margin">
                  <wp14:pctHeight>0</wp14:pctHeight>
                </wp14:sizeRelV>
              </wp:anchor>
            </w:drawing>
          </mc:Choice>
          <mc:Fallback>
            <w:pict>
              <v:group id="Skupina 11" o:spid="_x0000_s1026" style="position:absolute;margin-left:-18.35pt;margin-top:.2pt;width:472.15pt;height:248.25pt;z-index:251669504;mso-width-relative:margin;mso-height-relative:margin" coordsize="140684,40766"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28" o:spid="_x0000_s1027" type="#_x0000_t75" style="position:absolute;left:-143;width:70508;height:408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">
                  <v:imagedata r:id="rId43" o:title=""/>
                  <o:lock v:ext="edit" aspectratio="f"/>
                </v:shape>
                <v:shape id="Graf 29" o:spid="_x0000_s1028" type="#_x0000_t75" style="position:absolute;left:70222;top:-78;width:70652;height:40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">
                  <v:imagedata r:id="rId44" o:title=""/>
                  <o:lock v:ext="edit" aspectratio="f"/>
                </v:shape>
              </v:group>
            </w:pict>
          </mc:Fallback>
        </mc:AlternateContent>
      </w: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3F478C" w:rsidRDefault="003F478C" w:rsidP="00110B70">
      <w:pPr>
        <w:spacing w:after="200" w:line="240" w:lineRule="auto"/>
      </w:pPr>
    </w:p>
    <w:p w:rsidR="008B716F" w:rsidRDefault="008B716F" w:rsidP="00110B70">
      <w:pPr>
        <w:pStyle w:val="Nadpis2"/>
        <w:numPr>
          <w:ilvl w:val="0"/>
          <w:numId w:val="6"/>
        </w:numPr>
        <w:spacing w:line="240" w:lineRule="auto"/>
      </w:pPr>
      <w:bookmarkStart w:id="88" w:name="_Toc476556239"/>
      <w:bookmarkStart w:id="89" w:name="_Toc492628601"/>
      <w:r>
        <w:t>Cizí státní příslušníci na českém trhu práce</w:t>
      </w:r>
      <w:bookmarkEnd w:id="88"/>
      <w:bookmarkEnd w:id="89"/>
    </w:p>
    <w:p w:rsidR="008B716F" w:rsidRDefault="008B716F" w:rsidP="00110B70">
      <w:pPr>
        <w:spacing w:before="120" w:line="240" w:lineRule="auto"/>
        <w:rPr>
          <w:szCs w:val="24"/>
        </w:rPr>
      </w:pPr>
      <w:r>
        <w:rPr>
          <w:szCs w:val="24"/>
        </w:rPr>
        <w:t>Počet cizích státních příslušníků pohybujících se na českém trhu práce v posledních letech významně narůstá, a to v souvislosti s obnoveným růstem české ekonomiky od roku 2014</w:t>
      </w:r>
      <w:r>
        <w:rPr>
          <w:rStyle w:val="Znakapoznpodarou"/>
        </w:rPr>
        <w:footnoteReference w:id="10"/>
      </w:r>
      <w:r>
        <w:rPr>
          <w:szCs w:val="24"/>
        </w:rPr>
        <w:t xml:space="preserve">. </w:t>
      </w:r>
      <w:r w:rsidRPr="00017052">
        <w:rPr>
          <w:b/>
          <w:szCs w:val="24"/>
        </w:rPr>
        <w:t xml:space="preserve">Zatímco počet </w:t>
      </w:r>
      <w:r>
        <w:rPr>
          <w:b/>
          <w:szCs w:val="24"/>
        </w:rPr>
        <w:t>cizích státních příslušníků</w:t>
      </w:r>
      <w:r w:rsidRPr="00017052">
        <w:rPr>
          <w:b/>
          <w:szCs w:val="24"/>
        </w:rPr>
        <w:t xml:space="preserve"> se živnostenským oprávněním je stabilní a</w:t>
      </w:r>
      <w:r>
        <w:rPr>
          <w:b/>
          <w:szCs w:val="24"/>
        </w:rPr>
        <w:t> </w:t>
      </w:r>
      <w:r w:rsidRPr="00017052">
        <w:rPr>
          <w:b/>
          <w:szCs w:val="24"/>
        </w:rPr>
        <w:t>pohyboval se v </w:t>
      </w:r>
      <w:r>
        <w:rPr>
          <w:b/>
          <w:szCs w:val="24"/>
        </w:rPr>
        <w:t xml:space="preserve"> roce 2016</w:t>
      </w:r>
      <w:r w:rsidRPr="00017052">
        <w:rPr>
          <w:b/>
          <w:szCs w:val="24"/>
        </w:rPr>
        <w:t xml:space="preserve"> kolem </w:t>
      </w:r>
      <w:r>
        <w:rPr>
          <w:b/>
          <w:szCs w:val="24"/>
        </w:rPr>
        <w:t>86 000</w:t>
      </w:r>
      <w:r w:rsidRPr="00017052">
        <w:rPr>
          <w:b/>
          <w:szCs w:val="24"/>
        </w:rPr>
        <w:t xml:space="preserve"> osob</w:t>
      </w:r>
      <w:r>
        <w:rPr>
          <w:szCs w:val="24"/>
        </w:rPr>
        <w:t xml:space="preserve">, </w:t>
      </w:r>
      <w:r w:rsidRPr="00017052">
        <w:rPr>
          <w:b/>
          <w:szCs w:val="24"/>
        </w:rPr>
        <w:t xml:space="preserve">rapidně vzrůstá počet zaměstnanců, tj. osob, které eviduje ÚP ČR. </w:t>
      </w:r>
      <w:r>
        <w:rPr>
          <w:b/>
          <w:szCs w:val="24"/>
        </w:rPr>
        <w:t xml:space="preserve"> K 30. 6. 2017</w:t>
      </w:r>
      <w:r w:rsidRPr="00017052">
        <w:rPr>
          <w:b/>
          <w:szCs w:val="24"/>
        </w:rPr>
        <w:t xml:space="preserve"> se na českém trhu práce pohybovalo v postavení zaměstnanců celkem </w:t>
      </w:r>
      <w:r>
        <w:rPr>
          <w:b/>
          <w:szCs w:val="24"/>
        </w:rPr>
        <w:t>423 104</w:t>
      </w:r>
      <w:r w:rsidRPr="00017052">
        <w:rPr>
          <w:b/>
          <w:szCs w:val="24"/>
        </w:rPr>
        <w:t xml:space="preserve"> cizích státních příslušníků</w:t>
      </w:r>
      <w:r>
        <w:rPr>
          <w:szCs w:val="24"/>
        </w:rPr>
        <w:t>, což je o 40 215 osob více než ke konci roku 2016 (nárůst o</w:t>
      </w:r>
      <w:r w:rsidR="00033FEC">
        <w:rPr>
          <w:szCs w:val="24"/>
        </w:rPr>
        <w:t> </w:t>
      </w:r>
      <w:r>
        <w:rPr>
          <w:szCs w:val="24"/>
        </w:rPr>
        <w:t>10,5 %) a o 218 862 osob více než v roce 2007.</w:t>
      </w:r>
    </w:p>
    <w:p w:rsidR="008B716F" w:rsidRDefault="008B716F" w:rsidP="00110B70">
      <w:pPr>
        <w:pStyle w:val="Nadpis3"/>
        <w:numPr>
          <w:ilvl w:val="1"/>
          <w:numId w:val="6"/>
        </w:numPr>
      </w:pPr>
      <w:bookmarkStart w:id="90" w:name="_Toc476556240"/>
      <w:bookmarkStart w:id="91" w:name="_Toc492628602"/>
      <w:r>
        <w:t>Cizí státní příslušníci - zaměstnanci</w:t>
      </w:r>
      <w:bookmarkEnd w:id="90"/>
      <w:bookmarkEnd w:id="91"/>
    </w:p>
    <w:p w:rsidR="008B716F" w:rsidRDefault="008B716F" w:rsidP="00110B70">
      <w:pPr>
        <w:spacing w:before="120" w:line="240" w:lineRule="auto"/>
        <w:rPr>
          <w:szCs w:val="24"/>
        </w:rPr>
      </w:pPr>
      <w:r>
        <w:rPr>
          <w:szCs w:val="24"/>
        </w:rPr>
        <w:t>Většina cizích státních příslušníků v postavení zaměstnanců na českém trhu práce jsou občané zemí EU, a to k 30. 6. 2017 s podílem 71,6 %, tj.   302 924 osob. Podíl občanů zemí EU tak při souběžném nárůstu absolutního počtu podílově poklesl oproti roku 2016 o 2,8 p. b. Obecně se na růstu počtu cizích státních příslušníků-zaměstnanců podílejí právě občané EU. Výrazně v této skupině k 30. 6. 2017 (ale i</w:t>
      </w:r>
      <w:r w:rsidR="00033FEC">
        <w:rPr>
          <w:szCs w:val="24"/>
        </w:rPr>
        <w:t> </w:t>
      </w:r>
      <w:r>
        <w:rPr>
          <w:szCs w:val="24"/>
        </w:rPr>
        <w:t xml:space="preserve">v dlouhodobějším časovém horizontu) </w:t>
      </w:r>
      <w:r w:rsidRPr="00473DD2">
        <w:rPr>
          <w:b/>
          <w:szCs w:val="24"/>
        </w:rPr>
        <w:t xml:space="preserve">dominují občané Slovenska s počtem </w:t>
      </w:r>
      <w:r>
        <w:rPr>
          <w:b/>
          <w:szCs w:val="24"/>
        </w:rPr>
        <w:t xml:space="preserve"> 165 698 </w:t>
      </w:r>
      <w:r w:rsidRPr="00473DD2">
        <w:rPr>
          <w:b/>
          <w:szCs w:val="24"/>
        </w:rPr>
        <w:t>osob.</w:t>
      </w:r>
      <w:r>
        <w:rPr>
          <w:szCs w:val="24"/>
        </w:rPr>
        <w:t xml:space="preserve"> Následují občané Rumunska –   35 783 osob, Polska – 34 778 osob a Bulharska – 28 420. U všech těchto skupin došlo v 1. pololetí roku 2017 k růstu.</w:t>
      </w:r>
    </w:p>
    <w:p w:rsidR="008B716F" w:rsidRDefault="008B716F" w:rsidP="00110B70">
      <w:pPr>
        <w:spacing w:before="120" w:line="240" w:lineRule="auto"/>
        <w:rPr>
          <w:szCs w:val="24"/>
        </w:rPr>
      </w:pPr>
      <w:r w:rsidRPr="00473DD2">
        <w:rPr>
          <w:b/>
          <w:szCs w:val="24"/>
        </w:rPr>
        <w:t xml:space="preserve">Z občanů třetích zemí měli </w:t>
      </w:r>
      <w:r>
        <w:rPr>
          <w:b/>
          <w:szCs w:val="24"/>
        </w:rPr>
        <w:t>k 30. 6. 2017</w:t>
      </w:r>
      <w:r w:rsidRPr="00473DD2">
        <w:rPr>
          <w:b/>
          <w:szCs w:val="24"/>
        </w:rPr>
        <w:t xml:space="preserve"> dominantní zastoupení mezi zaměstnanci občané Ukrajiny</w:t>
      </w:r>
      <w:r>
        <w:rPr>
          <w:b/>
          <w:szCs w:val="24"/>
        </w:rPr>
        <w:t>,</w:t>
      </w:r>
      <w:r w:rsidRPr="00473DD2">
        <w:rPr>
          <w:b/>
          <w:szCs w:val="24"/>
        </w:rPr>
        <w:t xml:space="preserve"> a to s počtem </w:t>
      </w:r>
      <w:r>
        <w:rPr>
          <w:b/>
          <w:szCs w:val="24"/>
        </w:rPr>
        <w:t>  69 876</w:t>
      </w:r>
      <w:r w:rsidRPr="00473DD2">
        <w:rPr>
          <w:b/>
          <w:szCs w:val="24"/>
        </w:rPr>
        <w:t xml:space="preserve"> osob</w:t>
      </w:r>
      <w:r>
        <w:rPr>
          <w:szCs w:val="24"/>
        </w:rPr>
        <w:t xml:space="preserve">, kteří tak tvoří mezi zaměstnanci druhou </w:t>
      </w:r>
      <w:r w:rsidR="00C46831">
        <w:rPr>
          <w:szCs w:val="24"/>
        </w:rPr>
        <w:t>nejpočetnější skupinu a u nichž tedy došlo oproti roku konci roku 2016</w:t>
      </w:r>
      <w:r>
        <w:rPr>
          <w:szCs w:val="24"/>
        </w:rPr>
        <w:t xml:space="preserve"> </w:t>
      </w:r>
      <w:r w:rsidR="00C46831">
        <w:rPr>
          <w:szCs w:val="24"/>
        </w:rPr>
        <w:t xml:space="preserve">k nárůstu o 28 %. </w:t>
      </w:r>
      <w:r>
        <w:rPr>
          <w:szCs w:val="24"/>
        </w:rPr>
        <w:t>Ostatní státní příslušníci byli zastoupeni řádově méně, tj. občané Ruska –   8 752 osob, Vietnamu –   8 317 osob.</w:t>
      </w:r>
    </w:p>
    <w:p w:rsidR="007006B5" w:rsidRDefault="007006B5" w:rsidP="00110B70">
      <w:pPr>
        <w:spacing w:before="120" w:line="240" w:lineRule="auto"/>
        <w:rPr>
          <w:szCs w:val="24"/>
        </w:rPr>
      </w:pPr>
    </w:p>
    <w:p w:rsidR="007006B5" w:rsidRDefault="007006B5" w:rsidP="00110B70">
      <w:pPr>
        <w:pStyle w:val="Titulek"/>
        <w:keepNext/>
      </w:pPr>
      <w:bookmarkStart w:id="92" w:name="_Ref490052943"/>
      <w:bookmarkStart w:id="93" w:name="_Toc492555051"/>
      <w:r>
        <w:t xml:space="preserve">Graf č.: </w:t>
      </w:r>
      <w:fldSimple w:instr=" SEQ Graf_č.: \* ARABIC ">
        <w:r w:rsidR="00410665">
          <w:rPr>
            <w:noProof/>
          </w:rPr>
          <w:t>21</w:t>
        </w:r>
      </w:fldSimple>
      <w:bookmarkEnd w:id="92"/>
      <w:r>
        <w:t xml:space="preserve"> Vývoj počtu cizích státních příslušníků v postavení zaměstnanci podle státní příslušnosti</w:t>
      </w:r>
      <w:bookmarkEnd w:id="93"/>
    </w:p>
    <w:p w:rsidR="007006B5" w:rsidRDefault="007006B5" w:rsidP="00110B70">
      <w:pPr>
        <w:spacing w:before="120" w:line="240" w:lineRule="auto"/>
        <w:rPr>
          <w:szCs w:val="24"/>
        </w:rPr>
      </w:pPr>
      <w:r>
        <w:rPr>
          <w:noProof/>
          <w:lang w:eastAsia="cs-CZ"/>
        </w:rPr>
        <w:drawing>
          <wp:inline distT="0" distB="0" distL="0" distR="0" wp14:anchorId="7CE68F9F" wp14:editId="3420B249">
            <wp:extent cx="5760720" cy="3292540"/>
            <wp:effectExtent l="0" t="0" r="11430" b="22225"/>
            <wp:docPr id="516" name="Graf 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B716F" w:rsidRDefault="007006B5" w:rsidP="00110B70">
      <w:pPr>
        <w:spacing w:before="120" w:line="240" w:lineRule="auto"/>
        <w:rPr>
          <w:szCs w:val="24"/>
        </w:rPr>
      </w:pPr>
      <w:r>
        <w:rPr>
          <w:szCs w:val="24"/>
        </w:rPr>
        <w:t xml:space="preserve">Jak ukazuje </w:t>
      </w:r>
      <w:r>
        <w:rPr>
          <w:szCs w:val="24"/>
        </w:rPr>
        <w:fldChar w:fldCharType="begin"/>
      </w:r>
      <w:r>
        <w:rPr>
          <w:szCs w:val="24"/>
        </w:rPr>
        <w:instrText xml:space="preserve"> REF _Ref490052943 \h </w:instrText>
      </w:r>
      <w:r w:rsidR="00110B70">
        <w:rPr>
          <w:szCs w:val="24"/>
        </w:rPr>
        <w:instrText xml:space="preserve"> \* MERGEFORMAT </w:instrText>
      </w:r>
      <w:r>
        <w:rPr>
          <w:szCs w:val="24"/>
        </w:rPr>
      </w:r>
      <w:r>
        <w:rPr>
          <w:szCs w:val="24"/>
        </w:rPr>
        <w:fldChar w:fldCharType="separate"/>
      </w:r>
      <w:r w:rsidR="00410665">
        <w:t xml:space="preserve">Graf č.: </w:t>
      </w:r>
      <w:r w:rsidR="00410665">
        <w:rPr>
          <w:noProof/>
        </w:rPr>
        <w:t>21</w:t>
      </w:r>
      <w:r>
        <w:rPr>
          <w:szCs w:val="24"/>
        </w:rPr>
        <w:fldChar w:fldCharType="end"/>
      </w:r>
      <w:r>
        <w:rPr>
          <w:szCs w:val="24"/>
        </w:rPr>
        <w:t xml:space="preserve"> z</w:t>
      </w:r>
      <w:r w:rsidR="008B716F">
        <w:rPr>
          <w:szCs w:val="24"/>
        </w:rPr>
        <w:t> dlouhodobého hlediska nejvyšší nárůst vykazuje počet občanů Slovenska. Velmi výrazný je nárůst zejména po roce 201</w:t>
      </w:r>
      <w:r>
        <w:rPr>
          <w:szCs w:val="24"/>
        </w:rPr>
        <w:t>3</w:t>
      </w:r>
      <w:r w:rsidR="008B716F">
        <w:rPr>
          <w:szCs w:val="24"/>
        </w:rPr>
        <w:t>. Oproti tomu počet státních příslušníků Ukrajiny rostl zejména v letech 2004 až 2008, kdy dosáhl svého dosavadního maxima (81 tis. osob) s následným poklesem. Teprve v posledních letech s obnoveným hospodářským růstem je znatelný opětovný nárůst této skup</w:t>
      </w:r>
      <w:r>
        <w:rPr>
          <w:szCs w:val="24"/>
        </w:rPr>
        <w:t>iny cizích státních příslušníků a to s velmi výraznou dynamikou.</w:t>
      </w:r>
      <w:r w:rsidR="008B716F">
        <w:rPr>
          <w:szCs w:val="24"/>
        </w:rPr>
        <w:t xml:space="preserve"> Významný je rovněž nárůst občanů Rumunska a Bulharska po vstupu těchto zemí do EU.</w:t>
      </w:r>
    </w:p>
    <w:p w:rsidR="008B716F" w:rsidRDefault="008B716F" w:rsidP="00110B70">
      <w:pPr>
        <w:spacing w:before="240" w:line="240" w:lineRule="auto"/>
        <w:rPr>
          <w:szCs w:val="24"/>
        </w:rPr>
      </w:pPr>
      <w:r>
        <w:rPr>
          <w:szCs w:val="24"/>
        </w:rPr>
        <w:t>Většina cizích státních příslušníků pracuje ve zpracovatelském průmyslu, a to 30,4</w:t>
      </w:r>
      <w:r w:rsidR="00C46831">
        <w:rPr>
          <w:szCs w:val="24"/>
        </w:rPr>
        <w:t> </w:t>
      </w:r>
      <w:r>
        <w:rPr>
          <w:szCs w:val="24"/>
        </w:rPr>
        <w:t>%</w:t>
      </w:r>
      <w:r w:rsidR="00C46831">
        <w:rPr>
          <w:szCs w:val="24"/>
        </w:rPr>
        <w:t xml:space="preserve"> (nárůst o 1 p. b.)</w:t>
      </w:r>
      <w:r>
        <w:rPr>
          <w:szCs w:val="24"/>
        </w:rPr>
        <w:t>, z toho 78,5</w:t>
      </w:r>
      <w:r w:rsidR="00C46831">
        <w:rPr>
          <w:szCs w:val="24"/>
        </w:rPr>
        <w:t xml:space="preserve"> % připadalo na občany EU, přičemž podíl občanů EU v tomto sektoru mírně poklesl z hodnoty 80,5 % roku 2016.</w:t>
      </w:r>
      <w:r>
        <w:rPr>
          <w:szCs w:val="24"/>
        </w:rPr>
        <w:t xml:space="preserve"> V posledních letech pak nabývá na významu sektor administrativních a podpůrných činností, v tomto sektoru bylo k 30. 6. 2017 zaměstnáno celkem 15,5 % z celkového počtu cizích státních příslušníků evidovaných ÚP ČR, z toho 76,9 % připadalo na občany EU</w:t>
      </w:r>
      <w:r w:rsidR="00C46831">
        <w:rPr>
          <w:szCs w:val="24"/>
        </w:rPr>
        <w:t xml:space="preserve"> (rovněž pokles podílu občanů EU)</w:t>
      </w:r>
      <w:r>
        <w:rPr>
          <w:szCs w:val="24"/>
        </w:rPr>
        <w:t xml:space="preserve">. Z pohledu hlavních tříd zaměstnání dominují mezi cizími státními příslušníky zejména pomocní a nekvalifikovaní pracovníci (třída 9) s 31,7% zastoupením následovaní obsluhou strojů a zařízení (třída 8) s 20,2 %. V obou třídách došlo </w:t>
      </w:r>
      <w:r w:rsidR="00C46831">
        <w:rPr>
          <w:szCs w:val="24"/>
        </w:rPr>
        <w:t xml:space="preserve">k </w:t>
      </w:r>
      <w:r>
        <w:rPr>
          <w:szCs w:val="24"/>
        </w:rPr>
        <w:t>nárůstu, a to o 1,2 p. b.</w:t>
      </w:r>
    </w:p>
    <w:p w:rsidR="008B716F" w:rsidRDefault="008B716F" w:rsidP="00110B70">
      <w:pPr>
        <w:spacing w:before="120" w:line="240" w:lineRule="auto"/>
        <w:rPr>
          <w:szCs w:val="24"/>
        </w:rPr>
      </w:pPr>
    </w:p>
    <w:p w:rsidR="007006B5" w:rsidRDefault="008B716F" w:rsidP="00110B70">
      <w:pPr>
        <w:pStyle w:val="Titulek"/>
        <w:keepNext/>
        <w:rPr>
          <w:i/>
        </w:rPr>
      </w:pPr>
      <w:bookmarkStart w:id="94" w:name="_Toc476556294"/>
      <w:bookmarkStart w:id="95" w:name="_Toc492555052"/>
      <w:r>
        <w:t xml:space="preserve">Graf č.: </w:t>
      </w:r>
      <w:fldSimple w:instr=" SEQ Graf_č.: \* ARABIC ">
        <w:r w:rsidR="00410665">
          <w:rPr>
            <w:noProof/>
          </w:rPr>
          <w:t>22</w:t>
        </w:r>
      </w:fldSimple>
      <w:r>
        <w:t xml:space="preserve"> Vývoj struktury cizinců evidovaných ÚP ČR (zaměstnanci) podle státního občanství</w:t>
      </w:r>
      <w:bookmarkStart w:id="96" w:name="_Toc476556241"/>
      <w:bookmarkEnd w:id="94"/>
      <w:bookmarkEnd w:id="95"/>
    </w:p>
    <w:p w:rsidR="007006B5" w:rsidRDefault="007006B5" w:rsidP="00110B70">
      <w:pPr>
        <w:spacing w:line="240" w:lineRule="auto"/>
      </w:pPr>
      <w:r>
        <w:rPr>
          <w:noProof/>
          <w:lang w:eastAsia="cs-CZ"/>
        </w:rPr>
        <w:drawing>
          <wp:anchor distT="0" distB="0" distL="114300" distR="114300" simplePos="0" relativeHeight="251672576" behindDoc="1" locked="0" layoutInCell="1" allowOverlap="1" wp14:anchorId="7A4F3A7C" wp14:editId="4C8395DE">
            <wp:simplePos x="0" y="0"/>
            <wp:positionH relativeFrom="column">
              <wp:posOffset>3810</wp:posOffset>
            </wp:positionH>
            <wp:positionV relativeFrom="paragraph">
              <wp:posOffset>8890</wp:posOffset>
            </wp:positionV>
            <wp:extent cx="5762625" cy="3210560"/>
            <wp:effectExtent l="0" t="0" r="9525" b="27940"/>
            <wp:wrapTight wrapText="bothSides">
              <wp:wrapPolygon edited="0">
                <wp:start x="0" y="0"/>
                <wp:lineTo x="0" y="21660"/>
                <wp:lineTo x="21564" y="21660"/>
                <wp:lineTo x="21564" y="0"/>
                <wp:lineTo x="0" y="0"/>
              </wp:wrapPolygon>
            </wp:wrapTight>
            <wp:docPr id="517" name="Graf 5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page">
              <wp14:pctWidth>0</wp14:pctWidth>
            </wp14:sizeRelH>
            <wp14:sizeRelV relativeFrom="page">
              <wp14:pctHeight>0</wp14:pctHeight>
            </wp14:sizeRelV>
          </wp:anchor>
        </w:drawing>
      </w:r>
    </w:p>
    <w:p w:rsidR="008B716F" w:rsidRDefault="008B716F" w:rsidP="00110B70">
      <w:pPr>
        <w:pStyle w:val="Nadpis3"/>
        <w:numPr>
          <w:ilvl w:val="1"/>
          <w:numId w:val="6"/>
        </w:numPr>
      </w:pPr>
      <w:bookmarkStart w:id="97" w:name="_Toc492628603"/>
      <w:r>
        <w:t>Cizí státní příslušníci – držitelé živnostenského oprávnění</w:t>
      </w:r>
      <w:bookmarkEnd w:id="96"/>
      <w:bookmarkEnd w:id="97"/>
    </w:p>
    <w:p w:rsidR="008B716F" w:rsidRPr="005E7C7C" w:rsidRDefault="008B716F" w:rsidP="00110B70">
      <w:pPr>
        <w:spacing w:line="240" w:lineRule="auto"/>
      </w:pPr>
      <w:r>
        <w:t>V této skupině na rozdíl od cizích státních příslušníků-zaměstnanců převažují zejména občané třetích zemí, jejichž počet rostl i v době hospodářské recese. Částečně lze tento jev vysvětlit snahou přizpůsobit se restriktivním opatřením vůči cizincům-zaměstnancům z třetích zemí na počátku hospodářské krize (přechod ze zaměstnaneckého poměru do oblasti podnikání). Od roku 2011 počet cizinců – občanů třetích zemí s živnostenským oprávněním klesá, naopak počet občanů EU s živnostenským oprávněním stoupá, celkové saldo je však negativní. V roce 2016 působilo na českém trhu práce   85 628 cizích státních příslušníků, z toho 28 723 občanů EU,</w:t>
      </w:r>
      <w:r w:rsidR="00C46831">
        <w:t xml:space="preserve"> </w:t>
      </w:r>
      <w:r>
        <w:t>se živnostenským oprávněním. Nejčastěji zastoupení jsou občané Vietnamu (22 415) těsně následovaní Ukrajinci (22 150), dále pak občané Slovenska (15 442).</w:t>
      </w:r>
    </w:p>
    <w:p w:rsidR="008B716F" w:rsidRDefault="008B716F" w:rsidP="00110B70">
      <w:pPr>
        <w:pStyle w:val="Nadpis3"/>
        <w:numPr>
          <w:ilvl w:val="1"/>
          <w:numId w:val="6"/>
        </w:numPr>
      </w:pPr>
      <w:bookmarkStart w:id="98" w:name="_Toc476556242"/>
      <w:bookmarkStart w:id="99" w:name="_Toc492628604"/>
      <w:r>
        <w:t>Zjednodušení přístupu občanů „třetích států“ na český trh práce</w:t>
      </w:r>
      <w:bookmarkEnd w:id="98"/>
      <w:bookmarkEnd w:id="99"/>
    </w:p>
    <w:p w:rsidR="008B716F" w:rsidRDefault="008B716F" w:rsidP="00110B70">
      <w:pPr>
        <w:spacing w:before="120" w:line="240" w:lineRule="auto"/>
        <w:rPr>
          <w:szCs w:val="24"/>
        </w:rPr>
      </w:pPr>
      <w:r w:rsidRPr="005A7D7E">
        <w:rPr>
          <w:szCs w:val="24"/>
        </w:rPr>
        <w:t>V soul</w:t>
      </w:r>
      <w:r>
        <w:rPr>
          <w:szCs w:val="24"/>
        </w:rPr>
        <w:t xml:space="preserve">adu se zákonem o zaměstnanosti </w:t>
      </w:r>
      <w:r w:rsidRPr="005A7D7E">
        <w:rPr>
          <w:szCs w:val="24"/>
        </w:rPr>
        <w:t>jsou na volné pracovní pozice přednostně umísťován</w:t>
      </w:r>
      <w:r>
        <w:rPr>
          <w:szCs w:val="24"/>
        </w:rPr>
        <w:t>i</w:t>
      </w:r>
      <w:r w:rsidRPr="005A7D7E">
        <w:rPr>
          <w:szCs w:val="24"/>
        </w:rPr>
        <w:t xml:space="preserve"> uchazeči o zaměstnání – občané ČR, případně občané EU nebo občané třetích zemí, kteří </w:t>
      </w:r>
      <w:r>
        <w:rPr>
          <w:szCs w:val="24"/>
        </w:rPr>
        <w:t>mají podle zákona o zaměstnanosti volný přístup na trh práce.</w:t>
      </w:r>
      <w:r w:rsidRPr="005A7D7E">
        <w:rPr>
          <w:szCs w:val="24"/>
        </w:rPr>
        <w:t xml:space="preserve"> Teprve pokud volné pracovní místo nelze s ohledem na požadovanou kvalifikaci nebo nedostatek pracovních sil obsadit jinak, může takové místo obs</w:t>
      </w:r>
      <w:r>
        <w:rPr>
          <w:szCs w:val="24"/>
        </w:rPr>
        <w:t>adit cizinec z </w:t>
      </w:r>
      <w:r w:rsidRPr="005A7D7E">
        <w:rPr>
          <w:szCs w:val="24"/>
        </w:rPr>
        <w:t xml:space="preserve">tzv. třetích států, tedy i Ukrajiny. </w:t>
      </w:r>
    </w:p>
    <w:p w:rsidR="008B716F" w:rsidRDefault="008B716F" w:rsidP="00110B70">
      <w:pPr>
        <w:spacing w:before="120" w:line="240" w:lineRule="auto"/>
        <w:rPr>
          <w:rFonts w:cs="Arial"/>
          <w:bCs/>
          <w:i/>
          <w:szCs w:val="24"/>
        </w:rPr>
      </w:pPr>
      <w:r w:rsidRPr="00376552">
        <w:rPr>
          <w:szCs w:val="24"/>
        </w:rPr>
        <w:t xml:space="preserve">Zájem o různá pobytová oprávnění ze strany občanů Ukrajiny mnohonásobně překračuje kapacitu zastupitelských úřadů ČR na Ukrajině. </w:t>
      </w:r>
      <w:r>
        <w:rPr>
          <w:szCs w:val="24"/>
        </w:rPr>
        <w:t xml:space="preserve">Z tohoto důvodu schválila vláda ČR dva projekty ukrajinské migrace: </w:t>
      </w:r>
      <w:r>
        <w:rPr>
          <w:rFonts w:cs="Arial"/>
          <w:bCs/>
          <w:i/>
          <w:szCs w:val="24"/>
        </w:rPr>
        <w:t xml:space="preserve">Projekt </w:t>
      </w:r>
      <w:r w:rsidRPr="005A7D7E">
        <w:rPr>
          <w:rFonts w:cs="Arial"/>
          <w:bCs/>
          <w:i/>
          <w:szCs w:val="24"/>
        </w:rPr>
        <w:t>Zvláštní postupy pro vysoce kvalifikované zaměstnance z</w:t>
      </w:r>
      <w:r>
        <w:rPr>
          <w:rFonts w:cs="Arial"/>
          <w:bCs/>
          <w:i/>
          <w:szCs w:val="24"/>
        </w:rPr>
        <w:t> </w:t>
      </w:r>
      <w:r w:rsidRPr="005A7D7E">
        <w:rPr>
          <w:rFonts w:cs="Arial"/>
          <w:bCs/>
          <w:i/>
          <w:szCs w:val="24"/>
        </w:rPr>
        <w:t>Ukrajiny</w:t>
      </w:r>
      <w:r>
        <w:rPr>
          <w:rFonts w:cs="Arial"/>
          <w:bCs/>
          <w:i/>
          <w:szCs w:val="24"/>
        </w:rPr>
        <w:t xml:space="preserve"> (dále jen „Projekt“)</w:t>
      </w:r>
      <w:r>
        <w:rPr>
          <w:rFonts w:cs="Arial"/>
          <w:bCs/>
          <w:szCs w:val="24"/>
        </w:rPr>
        <w:t xml:space="preserve"> a </w:t>
      </w:r>
      <w:r w:rsidRPr="005A7D7E">
        <w:rPr>
          <w:rFonts w:cs="Arial"/>
          <w:bCs/>
          <w:i/>
          <w:szCs w:val="24"/>
        </w:rPr>
        <w:t>Režim zvláštního zacházení pro kvalifikované zaměstnance z</w:t>
      </w:r>
      <w:r>
        <w:rPr>
          <w:rFonts w:cs="Arial"/>
          <w:bCs/>
          <w:i/>
          <w:szCs w:val="24"/>
        </w:rPr>
        <w:t> </w:t>
      </w:r>
      <w:r w:rsidRPr="005A7D7E">
        <w:rPr>
          <w:rFonts w:cs="Arial"/>
          <w:bCs/>
          <w:i/>
          <w:szCs w:val="24"/>
        </w:rPr>
        <w:t>Ukrajiny</w:t>
      </w:r>
      <w:r>
        <w:rPr>
          <w:rFonts w:cs="Arial"/>
          <w:bCs/>
          <w:i/>
          <w:szCs w:val="24"/>
        </w:rPr>
        <w:t xml:space="preserve"> (dále jen „Režim“). </w:t>
      </w:r>
      <w:r>
        <w:rPr>
          <w:szCs w:val="24"/>
        </w:rPr>
        <w:t>P</w:t>
      </w:r>
      <w:r w:rsidRPr="00376552">
        <w:rPr>
          <w:szCs w:val="24"/>
        </w:rPr>
        <w:t xml:space="preserve">rincip spočívá v tom, že budoucí zaměstnavatel se přihlašuje do </w:t>
      </w:r>
      <w:r>
        <w:rPr>
          <w:szCs w:val="24"/>
        </w:rPr>
        <w:t>P</w:t>
      </w:r>
      <w:r w:rsidRPr="00376552">
        <w:rPr>
          <w:szCs w:val="24"/>
        </w:rPr>
        <w:t>rojektu či Režimu již s</w:t>
      </w:r>
      <w:r w:rsidR="00033FEC">
        <w:rPr>
          <w:szCs w:val="24"/>
        </w:rPr>
        <w:t> </w:t>
      </w:r>
      <w:r w:rsidRPr="00376552">
        <w:rPr>
          <w:szCs w:val="24"/>
        </w:rPr>
        <w:t xml:space="preserve">vytipovanými konkrétními zaměstnanci, které následně zastupitelský úřad aktivně kontaktuje a domlouvá si s nimi napřímo termín </w:t>
      </w:r>
      <w:r>
        <w:rPr>
          <w:szCs w:val="24"/>
        </w:rPr>
        <w:t>podání žádosti o zaměstnaneckou kartu</w:t>
      </w:r>
      <w:r w:rsidRPr="00376552">
        <w:rPr>
          <w:szCs w:val="24"/>
        </w:rPr>
        <w:t xml:space="preserve">. Náběr žádostí o zaměstnanecké karty pro zaměstnavatele zařazené do </w:t>
      </w:r>
      <w:r>
        <w:rPr>
          <w:szCs w:val="24"/>
        </w:rPr>
        <w:t>P</w:t>
      </w:r>
      <w:r w:rsidRPr="00376552">
        <w:rPr>
          <w:szCs w:val="24"/>
        </w:rPr>
        <w:t>rojektu a R</w:t>
      </w:r>
      <w:r>
        <w:rPr>
          <w:szCs w:val="24"/>
        </w:rPr>
        <w:t>ežimu</w:t>
      </w:r>
      <w:r w:rsidRPr="00376552">
        <w:rPr>
          <w:szCs w:val="24"/>
        </w:rPr>
        <w:t xml:space="preserve"> je takto výrazně urychlen.</w:t>
      </w:r>
    </w:p>
    <w:p w:rsidR="008B716F" w:rsidRPr="00CB271C" w:rsidRDefault="008B716F" w:rsidP="00110B70">
      <w:pPr>
        <w:pStyle w:val="Odstavecseseznamem"/>
        <w:numPr>
          <w:ilvl w:val="0"/>
          <w:numId w:val="13"/>
        </w:numPr>
        <w:spacing w:before="120" w:line="240" w:lineRule="auto"/>
        <w:rPr>
          <w:rFonts w:cs="Arial"/>
          <w:bCs/>
          <w:i/>
          <w:szCs w:val="24"/>
        </w:rPr>
      </w:pPr>
      <w:r w:rsidRPr="00CB271C">
        <w:rPr>
          <w:rFonts w:cs="Arial"/>
          <w:bCs/>
          <w:i/>
          <w:szCs w:val="24"/>
        </w:rPr>
        <w:t>Projekt „Zvláštní postupy pro vysoce kvalifikované zaměstnance z Ukrajiny“</w:t>
      </w:r>
    </w:p>
    <w:p w:rsidR="008B716F" w:rsidRPr="005A7D7E" w:rsidRDefault="008B716F" w:rsidP="00110B70">
      <w:pPr>
        <w:spacing w:before="120" w:line="240" w:lineRule="auto"/>
        <w:rPr>
          <w:szCs w:val="24"/>
        </w:rPr>
      </w:pPr>
      <w:r>
        <w:rPr>
          <w:szCs w:val="24"/>
        </w:rPr>
        <w:t>Od 9. 11. 2015 je na základě usnesení vlády pilotně r</w:t>
      </w:r>
      <w:r w:rsidRPr="005A7D7E">
        <w:rPr>
          <w:szCs w:val="24"/>
        </w:rPr>
        <w:t xml:space="preserve">ealizován </w:t>
      </w:r>
      <w:r>
        <w:rPr>
          <w:szCs w:val="24"/>
        </w:rPr>
        <w:t xml:space="preserve">projekt „Zvláštní postupy pro vysoce kvalifikované zaměstnance z Ukrajiny“ se </w:t>
      </w:r>
      <w:r w:rsidRPr="005A7D7E">
        <w:rPr>
          <w:szCs w:val="24"/>
        </w:rPr>
        <w:t xml:space="preserve">stanovenou roční kvótou 500 zaměstnanců. Je určen pro specialisty, jejichž pracovní pozice je dle platného znění aktualizované Klasifikace zaměstnání (CZ-ISCO) zpravidla zařazena do hlavních tříd 1 – 3. Žádosti o zařazení do </w:t>
      </w:r>
      <w:r>
        <w:rPr>
          <w:szCs w:val="24"/>
        </w:rPr>
        <w:t>P</w:t>
      </w:r>
      <w:r w:rsidRPr="005A7D7E">
        <w:rPr>
          <w:szCs w:val="24"/>
        </w:rPr>
        <w:t>rojektu přijímá Ministerstvo průmyslu a</w:t>
      </w:r>
      <w:r w:rsidR="00033FEC">
        <w:rPr>
          <w:szCs w:val="24"/>
        </w:rPr>
        <w:t> </w:t>
      </w:r>
      <w:r w:rsidRPr="005A7D7E">
        <w:rPr>
          <w:szCs w:val="24"/>
        </w:rPr>
        <w:t>obchodu, pro zdravotnické profese pak Ministerstvo zdravotnictví.</w:t>
      </w:r>
      <w:r>
        <w:rPr>
          <w:szCs w:val="24"/>
        </w:rPr>
        <w:t xml:space="preserve"> </w:t>
      </w:r>
      <w:r w:rsidRPr="005A7D7E">
        <w:rPr>
          <w:szCs w:val="24"/>
        </w:rPr>
        <w:t>Jedná</w:t>
      </w:r>
      <w:r>
        <w:rPr>
          <w:szCs w:val="24"/>
        </w:rPr>
        <w:t xml:space="preserve"> se většinou o specialisty IT a </w:t>
      </w:r>
      <w:r w:rsidRPr="005A7D7E">
        <w:rPr>
          <w:szCs w:val="24"/>
        </w:rPr>
        <w:t>specialisty v oblasti prodeje a nákupu, stavební in</w:t>
      </w:r>
      <w:r>
        <w:rPr>
          <w:szCs w:val="24"/>
        </w:rPr>
        <w:t>ženýry, strojírenské techniky a </w:t>
      </w:r>
      <w:r w:rsidRPr="005A7D7E">
        <w:rPr>
          <w:szCs w:val="24"/>
        </w:rPr>
        <w:t>další.</w:t>
      </w:r>
      <w:r>
        <w:rPr>
          <w:szCs w:val="24"/>
        </w:rPr>
        <w:t xml:space="preserve"> V prvním roce fungování Projektu byla roční kapacita vyčerpána z </w:t>
      </w:r>
      <w:r w:rsidRPr="00665C0D">
        <w:rPr>
          <w:rFonts w:cs="Arial"/>
          <w:sz w:val="22"/>
        </w:rPr>
        <w:t>45,8</w:t>
      </w:r>
      <w:r w:rsidR="0055747C">
        <w:rPr>
          <w:rFonts w:cs="Arial"/>
          <w:sz w:val="22"/>
        </w:rPr>
        <w:t xml:space="preserve"> </w:t>
      </w:r>
      <w:r w:rsidRPr="00665C0D">
        <w:rPr>
          <w:rFonts w:cs="Arial"/>
          <w:sz w:val="22"/>
        </w:rPr>
        <w:t>%</w:t>
      </w:r>
      <w:r>
        <w:rPr>
          <w:rFonts w:cs="Arial"/>
          <w:sz w:val="22"/>
        </w:rPr>
        <w:t>.</w:t>
      </w:r>
    </w:p>
    <w:p w:rsidR="008B716F" w:rsidRPr="00CB271C" w:rsidRDefault="008B716F" w:rsidP="00110B70">
      <w:pPr>
        <w:pStyle w:val="Odstavecseseznamem"/>
        <w:numPr>
          <w:ilvl w:val="0"/>
          <w:numId w:val="13"/>
        </w:numPr>
        <w:spacing w:before="120" w:line="240" w:lineRule="auto"/>
        <w:rPr>
          <w:rFonts w:cs="Arial"/>
          <w:bCs/>
          <w:i/>
          <w:szCs w:val="24"/>
        </w:rPr>
      </w:pPr>
      <w:r w:rsidRPr="00CB271C">
        <w:rPr>
          <w:rFonts w:cs="Arial"/>
          <w:bCs/>
          <w:i/>
          <w:szCs w:val="24"/>
        </w:rPr>
        <w:t>Režim zvláštního zacházení pro kvalifikované zaměstnance z Ukrajiny</w:t>
      </w:r>
    </w:p>
    <w:p w:rsidR="008B716F" w:rsidRPr="005A7D7E" w:rsidRDefault="008B716F" w:rsidP="00110B70">
      <w:pPr>
        <w:spacing w:before="120" w:line="240" w:lineRule="auto"/>
        <w:rPr>
          <w:szCs w:val="24"/>
        </w:rPr>
      </w:pPr>
      <w:r w:rsidRPr="005A7D7E">
        <w:rPr>
          <w:szCs w:val="24"/>
        </w:rPr>
        <w:t xml:space="preserve">Od 1. </w:t>
      </w:r>
      <w:r>
        <w:rPr>
          <w:szCs w:val="24"/>
        </w:rPr>
        <w:t>8.</w:t>
      </w:r>
      <w:r w:rsidRPr="005A7D7E">
        <w:rPr>
          <w:szCs w:val="24"/>
        </w:rPr>
        <w:t xml:space="preserve"> 2016 je na základě usnesení vlády realizován „Režim zvláštního zacházení pro kvalifikované zaměstnance z Ukrajiny“, jehož cílem je urychlit příchod ukrajinských občanů pro nedostatkové profese střední a nižší kvalifikace. Režim je určený primárně pro technické profese. </w:t>
      </w:r>
    </w:p>
    <w:p w:rsidR="003F478C" w:rsidRDefault="008B716F" w:rsidP="00110B70">
      <w:pPr>
        <w:spacing w:before="120" w:line="240" w:lineRule="auto"/>
      </w:pPr>
      <w:r w:rsidRPr="005A7D7E">
        <w:rPr>
          <w:szCs w:val="24"/>
        </w:rPr>
        <w:t xml:space="preserve">Žádosti o zařazení do Režimu přijímají podnikatelské reprezentace. </w:t>
      </w:r>
      <w:r>
        <w:rPr>
          <w:szCs w:val="24"/>
        </w:rPr>
        <w:t>Vzhledem k velkému zájmu zaměstnavatelů byla původní kvóta prvního roku ve výši 3</w:t>
      </w:r>
      <w:r w:rsidR="00461306">
        <w:rPr>
          <w:szCs w:val="24"/>
        </w:rPr>
        <w:t xml:space="preserve"> </w:t>
      </w:r>
      <w:r>
        <w:rPr>
          <w:szCs w:val="24"/>
        </w:rPr>
        <w:t>800 žádostí v podstatě vyčerpána během prvního půl roku fungování Režimu, proto bylo dne 8. 2. 2017 na jednání vlády rozhodnuto o navýšení personální systemizace Ministerstva zahraničních věcí a Ministerstva vnitra, které ve svém důsledku umožní zdvojnásobit kapacitu přijímaných žádostí</w:t>
      </w:r>
      <w:r w:rsidR="00461306">
        <w:rPr>
          <w:szCs w:val="24"/>
        </w:rPr>
        <w:t xml:space="preserve"> na bezmála 10 000 žádostí o </w:t>
      </w:r>
      <w:r>
        <w:rPr>
          <w:szCs w:val="24"/>
        </w:rPr>
        <w:t>zaměstnanecké karty ročně</w:t>
      </w:r>
      <w:r w:rsidR="0055747C">
        <w:rPr>
          <w:szCs w:val="24"/>
        </w:rPr>
        <w:t>.</w:t>
      </w:r>
    </w:p>
    <w:p w:rsidR="003F478C" w:rsidRDefault="003F478C" w:rsidP="00110B70">
      <w:pPr>
        <w:spacing w:after="200" w:line="240" w:lineRule="auto"/>
      </w:pPr>
    </w:p>
    <w:p w:rsidR="00D53991" w:rsidRPr="00D53991" w:rsidRDefault="00D53991" w:rsidP="00110B70">
      <w:pPr>
        <w:spacing w:line="240" w:lineRule="auto"/>
        <w:sectPr w:rsidR="00D53991" w:rsidRPr="00D53991" w:rsidSect="009E44F5">
          <w:footerReference w:type="default" r:id="rId47"/>
          <w:type w:val="continuous"/>
          <w:pgSz w:w="11906" w:h="16838"/>
          <w:pgMar w:top="1417" w:right="1417" w:bottom="1417" w:left="1417" w:header="708" w:footer="708" w:gutter="0"/>
          <w:cols w:space="708"/>
          <w:docGrid w:linePitch="360"/>
        </w:sectPr>
      </w:pPr>
    </w:p>
    <w:p w:rsidR="00184D13" w:rsidRDefault="00184D13" w:rsidP="00110B70">
      <w:pPr>
        <w:pStyle w:val="Nadpis1"/>
        <w:spacing w:before="0" w:line="240" w:lineRule="auto"/>
        <w:ind w:left="714" w:hanging="357"/>
        <w:rPr>
          <w:rStyle w:val="Nadpis1Char"/>
          <w:b/>
          <w:bCs/>
        </w:rPr>
      </w:pPr>
      <w:bookmarkStart w:id="100" w:name="_Toc492628605"/>
      <w:r w:rsidRPr="007F2863">
        <w:rPr>
          <w:rStyle w:val="Nadpis1Char"/>
          <w:b/>
          <w:bCs/>
        </w:rPr>
        <w:t>Plnění opatření</w:t>
      </w:r>
      <w:bookmarkEnd w:id="100"/>
      <w:r w:rsidR="00E94F2A">
        <w:rPr>
          <w:rStyle w:val="Nadpis1Char"/>
          <w:b/>
          <w:bCs/>
        </w:rPr>
        <w:t xml:space="preserve"> </w:t>
      </w:r>
    </w:p>
    <w:tbl>
      <w:tblPr>
        <w:tblW w:w="13972" w:type="dxa"/>
        <w:tblInd w:w="47" w:type="dxa"/>
        <w:tblCellMar>
          <w:left w:w="70" w:type="dxa"/>
          <w:right w:w="70" w:type="dxa"/>
        </w:tblCellMar>
        <w:tblLook w:val="04A0" w:firstRow="1" w:lastRow="0" w:firstColumn="1" w:lastColumn="0" w:noHBand="0" w:noVBand="1"/>
      </w:tblPr>
      <w:tblGrid>
        <w:gridCol w:w="732"/>
        <w:gridCol w:w="647"/>
        <w:gridCol w:w="235"/>
        <w:gridCol w:w="1714"/>
        <w:gridCol w:w="1166"/>
        <w:gridCol w:w="1048"/>
        <w:gridCol w:w="1928"/>
        <w:gridCol w:w="1770"/>
        <w:gridCol w:w="1654"/>
        <w:gridCol w:w="3078"/>
      </w:tblGrid>
      <w:tr w:rsidR="003B2562" w:rsidRPr="003B2562" w:rsidTr="00FF4B45">
        <w:trPr>
          <w:trHeight w:val="497"/>
        </w:trPr>
        <w:tc>
          <w:tcPr>
            <w:tcW w:w="732" w:type="dxa"/>
            <w:tcBorders>
              <w:top w:val="double" w:sz="6" w:space="0" w:color="auto"/>
              <w:left w:val="double" w:sz="6" w:space="0" w:color="auto"/>
              <w:bottom w:val="double" w:sz="6" w:space="0" w:color="auto"/>
              <w:right w:val="nil"/>
            </w:tcBorders>
            <w:shd w:val="clear" w:color="000000" w:fill="8DB4E2"/>
            <w:noWrap/>
            <w:vAlign w:val="bottom"/>
            <w:hideMark/>
          </w:tcPr>
          <w:p w:rsidR="003B2562" w:rsidRPr="003B2562" w:rsidRDefault="003B2562" w:rsidP="00E94F2A">
            <w:pPr>
              <w:spacing w:line="240" w:lineRule="auto"/>
              <w:jc w:val="left"/>
              <w:rPr>
                <w:rFonts w:eastAsia="Times New Roman" w:cs="Arial"/>
                <w:b/>
                <w:bCs/>
                <w:color w:val="000000"/>
                <w:szCs w:val="24"/>
                <w:lang w:eastAsia="cs-CZ"/>
              </w:rPr>
            </w:pPr>
          </w:p>
        </w:tc>
        <w:tc>
          <w:tcPr>
            <w:tcW w:w="13240" w:type="dxa"/>
            <w:gridSpan w:val="9"/>
            <w:tcBorders>
              <w:top w:val="double" w:sz="6" w:space="0" w:color="auto"/>
              <w:left w:val="nil"/>
              <w:bottom w:val="double" w:sz="6" w:space="0" w:color="auto"/>
              <w:right w:val="double" w:sz="6" w:space="0" w:color="000000"/>
            </w:tcBorders>
            <w:shd w:val="clear" w:color="000000" w:fill="8DB4E2"/>
            <w:noWrap/>
            <w:vAlign w:val="bottom"/>
            <w:hideMark/>
          </w:tcPr>
          <w:p w:rsidR="003B2562" w:rsidRPr="003B2562" w:rsidRDefault="000F62D5" w:rsidP="00FF4B45">
            <w:pPr>
              <w:pStyle w:val="Nadpis2"/>
              <w:numPr>
                <w:ilvl w:val="0"/>
                <w:numId w:val="0"/>
              </w:numPr>
              <w:rPr>
                <w:rFonts w:eastAsia="Times New Roman"/>
                <w:lang w:eastAsia="cs-CZ"/>
              </w:rPr>
            </w:pPr>
            <w:bookmarkStart w:id="101" w:name="_Toc492628606"/>
            <w:r>
              <w:rPr>
                <w:rFonts w:eastAsia="Times New Roman"/>
                <w:lang w:eastAsia="cs-CZ"/>
              </w:rPr>
              <w:t>Sk. 1 Zvýšení</w:t>
            </w:r>
            <w:r w:rsidR="003B2562" w:rsidRPr="003B2562">
              <w:rPr>
                <w:rFonts w:eastAsia="Times New Roman"/>
                <w:lang w:eastAsia="cs-CZ"/>
              </w:rPr>
              <w:t xml:space="preserve"> motivace pracovní síly akceptovat zaměstnání</w:t>
            </w:r>
            <w:bookmarkEnd w:id="101"/>
          </w:p>
        </w:tc>
      </w:tr>
      <w:tr w:rsidR="003B2562" w:rsidRPr="003B2562" w:rsidTr="00975FB2">
        <w:trPr>
          <w:trHeight w:val="285"/>
        </w:trPr>
        <w:tc>
          <w:tcPr>
            <w:tcW w:w="732" w:type="dxa"/>
            <w:tcBorders>
              <w:top w:val="single" w:sz="8" w:space="0" w:color="auto"/>
              <w:left w:val="single" w:sz="8" w:space="0" w:color="auto"/>
              <w:bottom w:val="single" w:sz="4" w:space="0" w:color="auto"/>
              <w:right w:val="nil"/>
            </w:tcBorders>
            <w:shd w:val="clear" w:color="000000" w:fill="DCE6F1"/>
            <w:noWrap/>
            <w:vAlign w:val="bottom"/>
            <w:hideMark/>
          </w:tcPr>
          <w:p w:rsidR="003B2562" w:rsidRPr="003B2562" w:rsidRDefault="003B2562" w:rsidP="00E94F2A">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1.1</w:t>
            </w:r>
          </w:p>
        </w:tc>
        <w:tc>
          <w:tcPr>
            <w:tcW w:w="882" w:type="dxa"/>
            <w:gridSpan w:val="2"/>
            <w:tcBorders>
              <w:top w:val="single" w:sz="8" w:space="0" w:color="auto"/>
              <w:left w:val="single" w:sz="8" w:space="0" w:color="auto"/>
              <w:bottom w:val="single" w:sz="12" w:space="0" w:color="auto"/>
              <w:right w:val="nil"/>
            </w:tcBorders>
            <w:shd w:val="clear" w:color="auto" w:fill="auto"/>
            <w:noWrap/>
            <w:vAlign w:val="bottom"/>
            <w:hideMark/>
          </w:tcPr>
          <w:p w:rsidR="003B2562" w:rsidRPr="003B2562" w:rsidRDefault="003B2562" w:rsidP="00E94F2A">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1714" w:type="dxa"/>
            <w:tcBorders>
              <w:top w:val="single" w:sz="8" w:space="0" w:color="auto"/>
              <w:left w:val="nil"/>
              <w:bottom w:val="single" w:sz="12" w:space="0" w:color="auto"/>
              <w:right w:val="nil"/>
            </w:tcBorders>
            <w:shd w:val="clear" w:color="auto" w:fill="auto"/>
            <w:noWrap/>
            <w:vAlign w:val="bottom"/>
            <w:hideMark/>
          </w:tcPr>
          <w:p w:rsidR="003B2562" w:rsidRPr="003B2562" w:rsidRDefault="003B2562" w:rsidP="00E94F2A">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66" w:type="dxa"/>
            <w:tcBorders>
              <w:top w:val="single" w:sz="12" w:space="0" w:color="auto"/>
              <w:left w:val="single" w:sz="12" w:space="0" w:color="auto"/>
              <w:bottom w:val="single" w:sz="12" w:space="0" w:color="auto"/>
              <w:right w:val="nil"/>
            </w:tcBorders>
            <w:shd w:val="clear" w:color="auto" w:fill="auto"/>
            <w:noWrap/>
            <w:vAlign w:val="bottom"/>
            <w:hideMark/>
          </w:tcPr>
          <w:p w:rsidR="003B2562" w:rsidRPr="003B2562" w:rsidRDefault="003B2562" w:rsidP="00E94F2A">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48" w:type="dxa"/>
            <w:tcBorders>
              <w:top w:val="single" w:sz="12" w:space="0" w:color="auto"/>
              <w:left w:val="nil"/>
              <w:bottom w:val="single" w:sz="12" w:space="0" w:color="auto"/>
              <w:right w:val="single" w:sz="12" w:space="0" w:color="auto"/>
            </w:tcBorders>
            <w:shd w:val="clear" w:color="auto" w:fill="auto"/>
            <w:noWrap/>
            <w:vAlign w:val="bottom"/>
            <w:hideMark/>
          </w:tcPr>
          <w:p w:rsidR="003B2562" w:rsidRPr="003B2562" w:rsidRDefault="003B2562" w:rsidP="00E94F2A">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928" w:type="dxa"/>
            <w:tcBorders>
              <w:top w:val="double" w:sz="6" w:space="0" w:color="auto"/>
              <w:left w:val="nil"/>
              <w:right w:val="nil"/>
            </w:tcBorders>
            <w:shd w:val="clear" w:color="auto" w:fill="auto"/>
            <w:noWrap/>
            <w:vAlign w:val="bottom"/>
          </w:tcPr>
          <w:p w:rsidR="003B2562" w:rsidRPr="003B2562" w:rsidRDefault="003B2562" w:rsidP="00E94F2A">
            <w:pPr>
              <w:spacing w:line="240" w:lineRule="auto"/>
              <w:jc w:val="right"/>
              <w:rPr>
                <w:rFonts w:eastAsia="Times New Roman" w:cs="Arial"/>
                <w:color w:val="000000"/>
                <w:szCs w:val="24"/>
                <w:lang w:eastAsia="cs-CZ"/>
              </w:rPr>
            </w:pPr>
          </w:p>
        </w:tc>
        <w:tc>
          <w:tcPr>
            <w:tcW w:w="1770" w:type="dxa"/>
            <w:tcBorders>
              <w:top w:val="single" w:sz="8" w:space="0" w:color="auto"/>
              <w:left w:val="nil"/>
              <w:right w:val="single" w:sz="12" w:space="0" w:color="auto"/>
            </w:tcBorders>
            <w:shd w:val="clear" w:color="auto" w:fill="auto"/>
            <w:noWrap/>
            <w:vAlign w:val="bottom"/>
          </w:tcPr>
          <w:p w:rsidR="003B2562" w:rsidRPr="003B2562" w:rsidRDefault="003B2562" w:rsidP="00E94F2A">
            <w:pPr>
              <w:spacing w:line="240" w:lineRule="auto"/>
              <w:jc w:val="right"/>
              <w:rPr>
                <w:rFonts w:eastAsia="Times New Roman" w:cs="Arial"/>
                <w:color w:val="000000"/>
                <w:szCs w:val="24"/>
                <w:lang w:eastAsia="cs-CZ"/>
              </w:rPr>
            </w:pPr>
          </w:p>
        </w:tc>
        <w:tc>
          <w:tcPr>
            <w:tcW w:w="1654" w:type="dxa"/>
            <w:tcBorders>
              <w:top w:val="single" w:sz="8" w:space="0" w:color="auto"/>
              <w:left w:val="single" w:sz="12" w:space="0" w:color="auto"/>
              <w:bottom w:val="single" w:sz="12" w:space="0" w:color="auto"/>
            </w:tcBorders>
            <w:shd w:val="clear" w:color="auto" w:fill="auto"/>
            <w:noWrap/>
            <w:vAlign w:val="bottom"/>
          </w:tcPr>
          <w:p w:rsidR="003B2562" w:rsidRPr="00E94F2A" w:rsidRDefault="00E94F2A" w:rsidP="00E94F2A">
            <w:pPr>
              <w:spacing w:line="240" w:lineRule="auto"/>
              <w:jc w:val="right"/>
              <w:rPr>
                <w:rFonts w:eastAsia="Times New Roman" w:cs="Arial"/>
                <w:b/>
                <w:color w:val="000000"/>
                <w:szCs w:val="24"/>
                <w:lang w:eastAsia="cs-CZ"/>
              </w:rPr>
            </w:pPr>
            <w:r w:rsidRPr="00E94F2A">
              <w:rPr>
                <w:rFonts w:eastAsia="Times New Roman" w:cs="Arial"/>
                <w:b/>
                <w:color w:val="000000"/>
                <w:szCs w:val="24"/>
                <w:lang w:eastAsia="cs-CZ"/>
              </w:rPr>
              <w:t>Povaha</w:t>
            </w:r>
          </w:p>
        </w:tc>
        <w:tc>
          <w:tcPr>
            <w:tcW w:w="3078" w:type="dxa"/>
            <w:tcBorders>
              <w:top w:val="single" w:sz="12" w:space="0" w:color="auto"/>
              <w:bottom w:val="single" w:sz="12" w:space="0" w:color="auto"/>
              <w:right w:val="single" w:sz="12" w:space="0" w:color="auto"/>
            </w:tcBorders>
            <w:shd w:val="clear" w:color="auto" w:fill="auto"/>
            <w:noWrap/>
            <w:vAlign w:val="bottom"/>
          </w:tcPr>
          <w:p w:rsidR="003B2562" w:rsidRPr="003B2562" w:rsidRDefault="00E94F2A" w:rsidP="00E94F2A">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L</w:t>
            </w:r>
          </w:p>
        </w:tc>
      </w:tr>
      <w:tr w:rsidR="003B2562" w:rsidRPr="003B2562" w:rsidTr="00975FB2">
        <w:trPr>
          <w:trHeight w:val="315"/>
        </w:trPr>
        <w:tc>
          <w:tcPr>
            <w:tcW w:w="732"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E94F2A">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Veřejná služba</w:t>
            </w:r>
          </w:p>
        </w:tc>
        <w:tc>
          <w:tcPr>
            <w:tcW w:w="2596" w:type="dxa"/>
            <w:gridSpan w:val="3"/>
            <w:tcBorders>
              <w:top w:val="single" w:sz="8" w:space="0" w:color="auto"/>
              <w:left w:val="nil"/>
            </w:tcBorders>
            <w:shd w:val="clear" w:color="auto" w:fill="auto"/>
            <w:noWrap/>
            <w:vAlign w:val="bottom"/>
          </w:tcPr>
          <w:p w:rsidR="003B2562" w:rsidRPr="003B2562" w:rsidRDefault="003B2562" w:rsidP="00E94F2A">
            <w:pPr>
              <w:spacing w:line="240" w:lineRule="auto"/>
              <w:jc w:val="right"/>
              <w:rPr>
                <w:rFonts w:eastAsia="Times New Roman" w:cs="Arial"/>
                <w:b/>
                <w:bCs/>
                <w:color w:val="000000"/>
                <w:szCs w:val="24"/>
                <w:lang w:eastAsia="cs-CZ"/>
              </w:rPr>
            </w:pPr>
          </w:p>
        </w:tc>
        <w:tc>
          <w:tcPr>
            <w:tcW w:w="1166" w:type="dxa"/>
            <w:tcBorders>
              <w:top w:val="single" w:sz="8" w:space="0" w:color="auto"/>
            </w:tcBorders>
            <w:shd w:val="clear" w:color="auto" w:fill="auto"/>
            <w:noWrap/>
            <w:vAlign w:val="bottom"/>
          </w:tcPr>
          <w:p w:rsidR="003B2562" w:rsidRPr="003B2562" w:rsidRDefault="003B2562" w:rsidP="00E94F2A">
            <w:pPr>
              <w:spacing w:line="240" w:lineRule="auto"/>
              <w:jc w:val="center"/>
              <w:rPr>
                <w:rFonts w:eastAsia="Times New Roman" w:cs="Arial"/>
                <w:b/>
                <w:bCs/>
                <w:color w:val="000000"/>
                <w:szCs w:val="24"/>
                <w:lang w:eastAsia="cs-CZ"/>
              </w:rPr>
            </w:pPr>
          </w:p>
        </w:tc>
        <w:tc>
          <w:tcPr>
            <w:tcW w:w="4746" w:type="dxa"/>
            <w:gridSpan w:val="3"/>
            <w:shd w:val="clear" w:color="auto" w:fill="auto"/>
            <w:noWrap/>
            <w:vAlign w:val="bottom"/>
            <w:hideMark/>
          </w:tcPr>
          <w:p w:rsidR="003B2562" w:rsidRPr="003B2562" w:rsidRDefault="003B2562" w:rsidP="00E94F2A">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54" w:type="dxa"/>
            <w:tcBorders>
              <w:top w:val="single" w:sz="12" w:space="0" w:color="auto"/>
            </w:tcBorders>
            <w:shd w:val="clear" w:color="auto" w:fill="auto"/>
            <w:noWrap/>
            <w:vAlign w:val="bottom"/>
            <w:hideMark/>
          </w:tcPr>
          <w:p w:rsidR="003B2562" w:rsidRPr="003B2562" w:rsidRDefault="003B2562" w:rsidP="00E94F2A">
            <w:pPr>
              <w:spacing w:line="240" w:lineRule="auto"/>
              <w:jc w:val="right"/>
              <w:rPr>
                <w:rFonts w:eastAsia="Times New Roman" w:cs="Arial"/>
                <w:color w:val="000000"/>
                <w:szCs w:val="24"/>
                <w:lang w:eastAsia="cs-CZ"/>
              </w:rPr>
            </w:pPr>
            <w:r w:rsidRPr="003B2562">
              <w:rPr>
                <w:rFonts w:eastAsia="Times New Roman" w:cs="Arial"/>
                <w:color w:val="000000"/>
                <w:szCs w:val="24"/>
                <w:lang w:eastAsia="cs-CZ"/>
              </w:rPr>
              <w:t> </w:t>
            </w:r>
          </w:p>
        </w:tc>
        <w:tc>
          <w:tcPr>
            <w:tcW w:w="3078" w:type="dxa"/>
            <w:tcBorders>
              <w:top w:val="single" w:sz="12" w:space="0" w:color="auto"/>
              <w:right w:val="single" w:sz="8" w:space="0" w:color="auto"/>
            </w:tcBorders>
            <w:shd w:val="clear" w:color="auto" w:fill="auto"/>
            <w:noWrap/>
            <w:vAlign w:val="bottom"/>
            <w:hideMark/>
          </w:tcPr>
          <w:p w:rsidR="003B2562" w:rsidRPr="003B2562" w:rsidRDefault="003B2562" w:rsidP="00E94F2A">
            <w:pPr>
              <w:spacing w:line="240" w:lineRule="auto"/>
              <w:jc w:val="left"/>
              <w:rPr>
                <w:rFonts w:eastAsia="Times New Roman" w:cs="Arial"/>
                <w:color w:val="000000"/>
                <w:szCs w:val="24"/>
                <w:lang w:eastAsia="cs-CZ"/>
              </w:rPr>
            </w:pPr>
            <w:r w:rsidRPr="003B2562">
              <w:rPr>
                <w:rFonts w:eastAsia="Times New Roman" w:cs="Arial"/>
                <w:color w:val="000000"/>
                <w:szCs w:val="24"/>
                <w:lang w:eastAsia="cs-CZ"/>
              </w:rPr>
              <w:t> </w:t>
            </w:r>
          </w:p>
        </w:tc>
      </w:tr>
      <w:tr w:rsidR="003B2562" w:rsidRPr="003B2562" w:rsidTr="00FF4B45">
        <w:trPr>
          <w:trHeight w:val="583"/>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E94F2A">
            <w:pPr>
              <w:spacing w:line="240" w:lineRule="auto"/>
              <w:jc w:val="left"/>
              <w:rPr>
                <w:rFonts w:eastAsia="Times New Roman" w:cs="Arial"/>
                <w:b/>
                <w:bCs/>
                <w:color w:val="000000"/>
                <w:szCs w:val="24"/>
                <w:lang w:eastAsia="cs-CZ"/>
              </w:rPr>
            </w:pPr>
          </w:p>
        </w:tc>
        <w:tc>
          <w:tcPr>
            <w:tcW w:w="13240" w:type="dxa"/>
            <w:gridSpan w:val="9"/>
            <w:tcBorders>
              <w:left w:val="nil"/>
              <w:bottom w:val="double" w:sz="6" w:space="0" w:color="auto"/>
              <w:right w:val="single" w:sz="8" w:space="0" w:color="000000"/>
            </w:tcBorders>
            <w:shd w:val="clear" w:color="auto" w:fill="auto"/>
            <w:hideMark/>
          </w:tcPr>
          <w:p w:rsidR="003B2562" w:rsidRPr="003B2562" w:rsidRDefault="003B2562" w:rsidP="00E94F2A">
            <w:pPr>
              <w:spacing w:line="240" w:lineRule="auto"/>
              <w:rPr>
                <w:rFonts w:eastAsia="Times New Roman" w:cs="Arial"/>
                <w:color w:val="000000"/>
                <w:szCs w:val="24"/>
                <w:lang w:eastAsia="cs-CZ"/>
              </w:rPr>
            </w:pPr>
            <w:r w:rsidRPr="003B2562">
              <w:rPr>
                <w:rFonts w:eastAsia="Times New Roman" w:cs="Arial"/>
                <w:color w:val="000000"/>
                <w:szCs w:val="24"/>
                <w:lang w:eastAsia="cs-CZ"/>
              </w:rPr>
              <w:t>Opětovné zavedení bonifikace výkonu veřejné služby s cílem aktivizovat osoby dlouhodobě nezaměstnané, resp. osoby nacházející se v hmotné nouzi s cílem podpořit uchování, resp. znovuzískání nezbytných pracovních návyků</w:t>
            </w:r>
          </w:p>
        </w:tc>
      </w:tr>
      <w:tr w:rsidR="003B2562" w:rsidRPr="003B2562" w:rsidTr="00E94F2A">
        <w:trPr>
          <w:trHeight w:val="330"/>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E94F2A">
            <w:pPr>
              <w:spacing w:line="240" w:lineRule="auto"/>
              <w:jc w:val="left"/>
              <w:rPr>
                <w:rFonts w:eastAsia="Times New Roman" w:cs="Arial"/>
                <w:b/>
                <w:bCs/>
                <w:color w:val="000000"/>
                <w:szCs w:val="24"/>
                <w:lang w:eastAsia="cs-CZ"/>
              </w:rPr>
            </w:pPr>
          </w:p>
        </w:tc>
        <w:tc>
          <w:tcPr>
            <w:tcW w:w="647" w:type="dxa"/>
            <w:tcBorders>
              <w:top w:val="double" w:sz="6" w:space="0" w:color="auto"/>
              <w:left w:val="single" w:sz="12" w:space="0" w:color="auto"/>
              <w:bottom w:val="single" w:sz="12" w:space="0" w:color="auto"/>
              <w:right w:val="nil"/>
            </w:tcBorders>
            <w:shd w:val="clear" w:color="000000" w:fill="00B050"/>
            <w:noWrap/>
            <w:vAlign w:val="bottom"/>
            <w:hideMark/>
          </w:tcPr>
          <w:p w:rsidR="003B2562" w:rsidRPr="003B2562" w:rsidRDefault="003B2562" w:rsidP="00E94F2A">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115" w:type="dxa"/>
            <w:gridSpan w:val="3"/>
            <w:tcBorders>
              <w:top w:val="double" w:sz="6" w:space="0" w:color="auto"/>
              <w:left w:val="nil"/>
              <w:bottom w:val="single" w:sz="12" w:space="0" w:color="auto"/>
              <w:right w:val="double" w:sz="6" w:space="0" w:color="auto"/>
            </w:tcBorders>
            <w:shd w:val="clear" w:color="000000" w:fill="00B050"/>
            <w:vAlign w:val="bottom"/>
            <w:hideMark/>
          </w:tcPr>
          <w:p w:rsidR="003B2562" w:rsidRPr="003B2562" w:rsidRDefault="003B2562" w:rsidP="00E94F2A">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Splněno</w:t>
            </w:r>
          </w:p>
        </w:tc>
        <w:tc>
          <w:tcPr>
            <w:tcW w:w="4746" w:type="dxa"/>
            <w:gridSpan w:val="3"/>
            <w:tcBorders>
              <w:top w:val="double" w:sz="6" w:space="0" w:color="auto"/>
              <w:left w:val="double" w:sz="6" w:space="0" w:color="auto"/>
              <w:bottom w:val="nil"/>
            </w:tcBorders>
            <w:shd w:val="clear" w:color="auto" w:fill="auto"/>
            <w:vAlign w:val="center"/>
            <w:hideMark/>
          </w:tcPr>
          <w:p w:rsidR="003B2562" w:rsidRPr="003B2562" w:rsidRDefault="003B2562" w:rsidP="00E94F2A">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54" w:type="dxa"/>
            <w:tcBorders>
              <w:top w:val="nil"/>
              <w:right w:val="nil"/>
            </w:tcBorders>
            <w:shd w:val="clear" w:color="auto" w:fill="auto"/>
            <w:vAlign w:val="center"/>
          </w:tcPr>
          <w:p w:rsidR="003B2562" w:rsidRPr="003B2562" w:rsidRDefault="003B2562" w:rsidP="00E94F2A">
            <w:pPr>
              <w:spacing w:line="240" w:lineRule="auto"/>
              <w:jc w:val="right"/>
              <w:rPr>
                <w:rFonts w:eastAsia="Times New Roman" w:cs="Arial"/>
                <w:color w:val="000000"/>
                <w:szCs w:val="24"/>
                <w:lang w:eastAsia="cs-CZ"/>
              </w:rPr>
            </w:pPr>
          </w:p>
        </w:tc>
        <w:tc>
          <w:tcPr>
            <w:tcW w:w="3078" w:type="dxa"/>
            <w:tcBorders>
              <w:top w:val="nil"/>
              <w:left w:val="nil"/>
              <w:right w:val="single" w:sz="8" w:space="0" w:color="auto"/>
            </w:tcBorders>
            <w:shd w:val="clear" w:color="auto" w:fill="auto"/>
            <w:vAlign w:val="center"/>
          </w:tcPr>
          <w:p w:rsidR="003B2562" w:rsidRPr="003B2562" w:rsidRDefault="003B2562" w:rsidP="00E94F2A">
            <w:pPr>
              <w:spacing w:line="240" w:lineRule="auto"/>
              <w:jc w:val="center"/>
              <w:rPr>
                <w:rFonts w:eastAsia="Times New Roman" w:cs="Arial"/>
                <w:b/>
                <w:bCs/>
                <w:color w:val="000000"/>
                <w:szCs w:val="24"/>
                <w:u w:val="single"/>
                <w:lang w:eastAsia="cs-CZ"/>
              </w:rPr>
            </w:pPr>
          </w:p>
        </w:tc>
      </w:tr>
      <w:tr w:rsidR="003B2562" w:rsidRPr="003B2562" w:rsidTr="00FF4B45">
        <w:trPr>
          <w:trHeight w:val="4840"/>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E94F2A">
            <w:pPr>
              <w:spacing w:line="240" w:lineRule="auto"/>
              <w:jc w:val="left"/>
              <w:rPr>
                <w:rFonts w:eastAsia="Times New Roman" w:cs="Arial"/>
                <w:b/>
                <w:bCs/>
                <w:color w:val="000000"/>
                <w:szCs w:val="24"/>
                <w:lang w:eastAsia="cs-CZ"/>
              </w:rPr>
            </w:pPr>
          </w:p>
        </w:tc>
        <w:tc>
          <w:tcPr>
            <w:tcW w:w="647" w:type="dxa"/>
            <w:tcBorders>
              <w:top w:val="nil"/>
              <w:left w:val="nil"/>
              <w:bottom w:val="nil"/>
              <w:right w:val="single" w:sz="4" w:space="0" w:color="auto"/>
            </w:tcBorders>
            <w:shd w:val="clear" w:color="auto" w:fill="auto"/>
            <w:textDirection w:val="btLr"/>
            <w:vAlign w:val="center"/>
            <w:hideMark/>
          </w:tcPr>
          <w:p w:rsidR="003B2562" w:rsidRPr="003B2562" w:rsidRDefault="003B2562" w:rsidP="00E94F2A">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593" w:type="dxa"/>
            <w:gridSpan w:val="8"/>
            <w:tcBorders>
              <w:top w:val="nil"/>
              <w:left w:val="nil"/>
              <w:bottom w:val="nil"/>
              <w:right w:val="single" w:sz="8" w:space="0" w:color="000000"/>
            </w:tcBorders>
            <w:shd w:val="clear" w:color="auto" w:fill="auto"/>
            <w:hideMark/>
          </w:tcPr>
          <w:p w:rsidR="003B2562" w:rsidRPr="003B2562" w:rsidRDefault="003B2562" w:rsidP="00E94F2A">
            <w:pPr>
              <w:spacing w:line="240" w:lineRule="auto"/>
              <w:rPr>
                <w:rFonts w:eastAsia="Times New Roman" w:cs="Arial"/>
                <w:color w:val="000000"/>
                <w:szCs w:val="24"/>
                <w:lang w:eastAsia="cs-CZ"/>
              </w:rPr>
            </w:pPr>
            <w:r w:rsidRPr="003B2562">
              <w:rPr>
                <w:rFonts w:eastAsia="Times New Roman" w:cs="Arial"/>
                <w:color w:val="000000"/>
                <w:szCs w:val="24"/>
                <w:lang w:eastAsia="cs-CZ"/>
              </w:rPr>
              <w:t>Dne 14. 11. 2016 byl ve Sbírce zákonů v částce 147 publikován zákon č. 367/20</w:t>
            </w:r>
            <w:r w:rsidR="00E94F2A">
              <w:rPr>
                <w:rFonts w:eastAsia="Times New Roman" w:cs="Arial"/>
                <w:color w:val="000000"/>
                <w:szCs w:val="24"/>
                <w:lang w:eastAsia="cs-CZ"/>
              </w:rPr>
              <w:t>16 Sb., kterým se mění zákon č. </w:t>
            </w:r>
            <w:r w:rsidRPr="003B2562">
              <w:rPr>
                <w:rFonts w:eastAsia="Times New Roman" w:cs="Arial"/>
                <w:color w:val="000000"/>
                <w:szCs w:val="24"/>
                <w:lang w:eastAsia="cs-CZ"/>
              </w:rPr>
              <w:t>111/2006 Sb., o pomoci v hmotné nouzi, ve znění pozdějších předpisů. Účinnost výše uvedeného předpisu nastala dne 1. 2. 2017. Hlavním principem této úpravy je, že osoba dlouhodobě závislá na dávkách pomoci v hmotné nouzi (tj. osoba pobírá příspěvek na živobytí déle jak 6 měsíců) má nárok na příspěvek na živobytí ve výši existenčního minima (2 200 Kč), nikoliv životního minima, nicméně je-li aktivní, má nárok na dávku ve výši životního minima (3 410 Kč), případně vyšší. Za aktivitu se přitom považuje výdělečná činnost, nárok na podporu v nezaměstnanosti či rekvalifikaci, účast v projektech organizovaných ÚP ČR nebo výkon veřejné služby (nevyžaduje se u osob, které aktivní v tomto smyslu být nemohou – senioři, zdravotně postižení apod., a kterých se snížení příspěvku na živobytí po 6 měsících nedotkne). Přičemž pokud příjemce příspěvku na živobytí odpracuje na veřejné službě alespoň 30 hodin měsíčně, zvýší se mu příspěvek na živobytí ještě o 605 Kč (tedy na 4 015 Kč). Až 300 Kč navíc pak mohou ještě dostat ti, kteří prokáží, že mají zvýšené náklady s hledáním zaměstnání nebo s výkonem veřejné služby (celkově až 4 315 Kč). Úprava tedy podporuje příjemce dávek pomoci v hmotné nouzi, kteří jsou aktivní, oproti příjemcům, kteří aktivní být mohou, ale nejsou, a celkově motivuje příjemce dávek pomoci v hmotné nouzi k hledání a nalezení zaměstnání jako základního zdroje příjmu. MPSV společně s GŘ ÚP ČR začalo zajišťovat podmínky pro řádnou implementaci novely v praxi v podobě přípravy metodických materiá</w:t>
            </w:r>
            <w:r w:rsidR="00E94F2A">
              <w:rPr>
                <w:rFonts w:eastAsia="Times New Roman" w:cs="Arial"/>
                <w:color w:val="000000"/>
                <w:szCs w:val="24"/>
                <w:lang w:eastAsia="cs-CZ"/>
              </w:rPr>
              <w:t>lů, školení zaměstnanců ÚP ČR a </w:t>
            </w:r>
            <w:r w:rsidRPr="003B2562">
              <w:rPr>
                <w:rFonts w:eastAsia="Times New Roman" w:cs="Arial"/>
                <w:color w:val="000000"/>
                <w:szCs w:val="24"/>
                <w:lang w:eastAsia="cs-CZ"/>
              </w:rPr>
              <w:t>zapracování nové úpravy do informačního systému. MPSV připravilo metodický materiál k novele zákona v tom smyslu, aby se co nejvíce osob pobírající dávky pomoci v hmotné nouzi mohlo aktiv</w:t>
            </w:r>
            <w:r w:rsidR="00E94F2A">
              <w:rPr>
                <w:rFonts w:eastAsia="Times New Roman" w:cs="Arial"/>
                <w:color w:val="000000"/>
                <w:szCs w:val="24"/>
                <w:lang w:eastAsia="cs-CZ"/>
              </w:rPr>
              <w:t>izovat pomocí veřejné služby a  d</w:t>
            </w:r>
            <w:r w:rsidRPr="003B2562">
              <w:rPr>
                <w:rFonts w:eastAsia="Times New Roman" w:cs="Arial"/>
                <w:color w:val="000000"/>
                <w:szCs w:val="24"/>
                <w:lang w:eastAsia="cs-CZ"/>
              </w:rPr>
              <w:t>alších nástrojů aktivizace a byly za to náležitě bonifikovány.</w:t>
            </w:r>
          </w:p>
        </w:tc>
      </w:tr>
      <w:tr w:rsidR="003B2562" w:rsidRPr="003B2562" w:rsidTr="00E94F2A">
        <w:trPr>
          <w:trHeight w:val="870"/>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E94F2A">
            <w:pPr>
              <w:spacing w:line="240" w:lineRule="auto"/>
              <w:jc w:val="left"/>
              <w:rPr>
                <w:rFonts w:eastAsia="Times New Roman" w:cs="Arial"/>
                <w:b/>
                <w:bCs/>
                <w:color w:val="000000"/>
                <w:szCs w:val="24"/>
                <w:lang w:eastAsia="cs-CZ"/>
              </w:rPr>
            </w:pPr>
          </w:p>
        </w:tc>
        <w:tc>
          <w:tcPr>
            <w:tcW w:w="647"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E94F2A">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593" w:type="dxa"/>
            <w:gridSpan w:val="8"/>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E94F2A">
            <w:pPr>
              <w:spacing w:line="240" w:lineRule="auto"/>
              <w:rPr>
                <w:rFonts w:eastAsia="Times New Roman" w:cs="Arial"/>
                <w:color w:val="000000"/>
                <w:szCs w:val="24"/>
                <w:lang w:eastAsia="cs-CZ"/>
              </w:rPr>
            </w:pPr>
            <w:r w:rsidRPr="003B2562">
              <w:rPr>
                <w:rFonts w:eastAsia="Times New Roman" w:cs="Arial"/>
                <w:color w:val="000000"/>
                <w:szCs w:val="24"/>
                <w:lang w:eastAsia="cs-CZ"/>
              </w:rPr>
              <w:t>V současné době ÚP ČR implementuje do praxe, uzaví</w:t>
            </w:r>
            <w:r w:rsidR="00E94F2A">
              <w:rPr>
                <w:rFonts w:eastAsia="Times New Roman" w:cs="Arial"/>
                <w:color w:val="000000"/>
                <w:szCs w:val="24"/>
                <w:lang w:eastAsia="cs-CZ"/>
              </w:rPr>
              <w:t>rá s různými subjekty smlouvy o </w:t>
            </w:r>
            <w:r w:rsidRPr="003B2562">
              <w:rPr>
                <w:rFonts w:eastAsia="Times New Roman" w:cs="Arial"/>
                <w:color w:val="000000"/>
                <w:szCs w:val="24"/>
                <w:lang w:eastAsia="cs-CZ"/>
              </w:rPr>
              <w:t xml:space="preserve">organizování veřejné služby. MPSV a ÚP ČŘ spolupracují na zapracování nové úpravy do informačního systému.  V srpnu 2017 se poprvé projeví dopad přijaté úpravy do výše dávek poživatelů příspěvku na živobytí. </w:t>
            </w:r>
          </w:p>
        </w:tc>
      </w:tr>
    </w:tbl>
    <w:p w:rsidR="00E94F2A" w:rsidRDefault="00E94F2A" w:rsidP="00E94F2A">
      <w:pPr>
        <w:spacing w:after="200"/>
        <w:jc w:val="left"/>
      </w:pPr>
      <w:r>
        <w:br w:type="page"/>
      </w:r>
    </w:p>
    <w:tbl>
      <w:tblPr>
        <w:tblW w:w="14052" w:type="dxa"/>
        <w:tblInd w:w="47" w:type="dxa"/>
        <w:tblCellMar>
          <w:left w:w="70" w:type="dxa"/>
          <w:right w:w="70" w:type="dxa"/>
        </w:tblCellMar>
        <w:tblLook w:val="04A0" w:firstRow="1" w:lastRow="0" w:firstColumn="1" w:lastColumn="0" w:noHBand="0" w:noVBand="1"/>
      </w:tblPr>
      <w:tblGrid>
        <w:gridCol w:w="732"/>
        <w:gridCol w:w="647"/>
        <w:gridCol w:w="80"/>
        <w:gridCol w:w="1949"/>
        <w:gridCol w:w="1166"/>
        <w:gridCol w:w="1048"/>
        <w:gridCol w:w="1928"/>
        <w:gridCol w:w="1770"/>
        <w:gridCol w:w="1654"/>
        <w:gridCol w:w="3078"/>
      </w:tblGrid>
      <w:tr w:rsidR="003B2562" w:rsidRPr="003B2562" w:rsidTr="00975FB2">
        <w:trPr>
          <w:trHeight w:val="285"/>
        </w:trPr>
        <w:tc>
          <w:tcPr>
            <w:tcW w:w="732"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1.2</w:t>
            </w:r>
          </w:p>
        </w:tc>
        <w:tc>
          <w:tcPr>
            <w:tcW w:w="727" w:type="dxa"/>
            <w:gridSpan w:val="2"/>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1949"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E94F2A">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66" w:type="dxa"/>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48"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928" w:type="dxa"/>
            <w:tcBorders>
              <w:top w:val="single" w:sz="12" w:space="0" w:color="auto"/>
              <w:lef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770" w:type="dxa"/>
            <w:tcBorders>
              <w:top w:val="single" w:sz="12" w:space="0" w:color="auto"/>
              <w:righ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654" w:type="dxa"/>
            <w:tcBorders>
              <w:top w:val="single" w:sz="12" w:space="0" w:color="auto"/>
              <w:left w:val="single" w:sz="12" w:space="0" w:color="auto"/>
              <w:bottom w:val="single" w:sz="12" w:space="0" w:color="auto"/>
            </w:tcBorders>
            <w:shd w:val="clear" w:color="auto" w:fill="auto"/>
            <w:noWrap/>
            <w:vAlign w:val="bottom"/>
          </w:tcPr>
          <w:p w:rsidR="003B2562" w:rsidRPr="00E94F2A" w:rsidRDefault="00E94F2A" w:rsidP="003B2562">
            <w:pPr>
              <w:spacing w:line="240" w:lineRule="auto"/>
              <w:jc w:val="right"/>
              <w:rPr>
                <w:rFonts w:eastAsia="Times New Roman" w:cs="Arial"/>
                <w:b/>
                <w:color w:val="000000"/>
                <w:szCs w:val="24"/>
                <w:lang w:eastAsia="cs-CZ"/>
              </w:rPr>
            </w:pPr>
            <w:r w:rsidRPr="00E94F2A">
              <w:rPr>
                <w:rFonts w:eastAsia="Times New Roman" w:cs="Arial"/>
                <w:b/>
                <w:color w:val="000000"/>
                <w:szCs w:val="24"/>
                <w:lang w:eastAsia="cs-CZ"/>
              </w:rPr>
              <w:t>Povaha</w:t>
            </w:r>
          </w:p>
        </w:tc>
        <w:tc>
          <w:tcPr>
            <w:tcW w:w="3078" w:type="dxa"/>
            <w:tcBorders>
              <w:top w:val="single" w:sz="12" w:space="0" w:color="auto"/>
              <w:bottom w:val="single" w:sz="12" w:space="0" w:color="auto"/>
              <w:right w:val="single" w:sz="12" w:space="0" w:color="auto"/>
            </w:tcBorders>
            <w:shd w:val="clear" w:color="auto" w:fill="auto"/>
            <w:noWrap/>
            <w:vAlign w:val="bottom"/>
          </w:tcPr>
          <w:p w:rsidR="003B2562" w:rsidRPr="003B2562" w:rsidRDefault="00E94F2A" w:rsidP="00E94F2A">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L</w:t>
            </w:r>
          </w:p>
        </w:tc>
      </w:tr>
      <w:tr w:rsidR="003B2562" w:rsidRPr="003B2562" w:rsidTr="00975FB2">
        <w:trPr>
          <w:trHeight w:val="285"/>
        </w:trPr>
        <w:tc>
          <w:tcPr>
            <w:tcW w:w="732"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Revize nekolidujícího zaměstnání</w:t>
            </w:r>
          </w:p>
        </w:tc>
        <w:tc>
          <w:tcPr>
            <w:tcW w:w="2676" w:type="dxa"/>
            <w:gridSpan w:val="3"/>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66"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746" w:type="dxa"/>
            <w:gridSpan w:val="3"/>
            <w:shd w:val="clear" w:color="auto" w:fill="auto"/>
            <w:noWrap/>
            <w:vAlign w:val="bottom"/>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54" w:type="dxa"/>
            <w:tcBorders>
              <w:top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color w:val="000000"/>
                <w:szCs w:val="24"/>
                <w:lang w:eastAsia="cs-CZ"/>
              </w:rPr>
            </w:pPr>
            <w:r w:rsidRPr="003B2562">
              <w:rPr>
                <w:rFonts w:eastAsia="Times New Roman" w:cs="Arial"/>
                <w:color w:val="000000"/>
                <w:szCs w:val="24"/>
                <w:lang w:eastAsia="cs-CZ"/>
              </w:rPr>
              <w:t> </w:t>
            </w:r>
          </w:p>
        </w:tc>
        <w:tc>
          <w:tcPr>
            <w:tcW w:w="3078" w:type="dxa"/>
            <w:tcBorders>
              <w:top w:val="single" w:sz="12" w:space="0" w:color="auto"/>
              <w:right w:val="single" w:sz="8"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r w:rsidRPr="003B2562">
              <w:rPr>
                <w:rFonts w:eastAsia="Times New Roman" w:cs="Arial"/>
                <w:color w:val="000000"/>
                <w:szCs w:val="24"/>
                <w:lang w:eastAsia="cs-CZ"/>
              </w:rPr>
              <w:t> </w:t>
            </w:r>
          </w:p>
        </w:tc>
      </w:tr>
      <w:tr w:rsidR="003B2562" w:rsidRPr="003B2562" w:rsidTr="00E91B10">
        <w:trPr>
          <w:trHeight w:val="1935"/>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20" w:type="dxa"/>
            <w:gridSpan w:val="9"/>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Částečné zaměstnávání v souběhu s vedením v evidenci uchazečů o zaměstnání je umožněno od počátku účinnosti zákona o zaměstnanosti, tj. ode dne 1. 10. 2004. Cílem této právní úpravy bylo umožnit zachování pracovních návyků uchazeče o zaměstnání, případně jejich získání, a podpoření snahy o zvýšení příjmu vlastní prací. Z aktuálních dat vyplývá, že počet vykonávaných nekolidujících zaměstnání se zvyšuje, při tom jsou vykonávány uchazeči o zaměstnání, kteří neztratili pracovní návyky. MPSV připraví variantní řešení regulace nekolidujícího zaměstnání tak, aby byla zachována jeho funkčnost, ale zároveň došlo k eliminaci jeho negativních dopadů na zprostředkování zaměstnání. Variabilita možného řešení se pohybuje od úplného zrušení nekolidujícího zaměstnání (nepravděpodobné) po jeho regulaci v oblasti maximální možné odměny, rozsahu či formy využívaného pracovněprávního vztahu.</w:t>
            </w:r>
          </w:p>
        </w:tc>
      </w:tr>
      <w:tr w:rsidR="003B2562" w:rsidRPr="003B2562" w:rsidTr="00975FB2">
        <w:trPr>
          <w:trHeight w:val="285"/>
        </w:trPr>
        <w:tc>
          <w:tcPr>
            <w:tcW w:w="732"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7" w:type="dxa"/>
            <w:tcBorders>
              <w:top w:val="double" w:sz="6" w:space="0" w:color="auto"/>
              <w:left w:val="double" w:sz="6" w:space="0" w:color="auto"/>
              <w:bottom w:val="double" w:sz="6" w:space="0" w:color="auto"/>
              <w:right w:val="nil"/>
            </w:tcBorders>
            <w:shd w:val="clear" w:color="000000" w:fill="00B050"/>
            <w:noWrap/>
            <w:vAlign w:val="bottom"/>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195" w:type="dxa"/>
            <w:gridSpan w:val="3"/>
            <w:tcBorders>
              <w:top w:val="double" w:sz="6" w:space="0" w:color="auto"/>
              <w:left w:val="nil"/>
              <w:bottom w:val="double" w:sz="6" w:space="0" w:color="auto"/>
              <w:right w:val="double" w:sz="6" w:space="0" w:color="auto"/>
            </w:tcBorders>
            <w:shd w:val="clear" w:color="000000" w:fill="00B050"/>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Splněno</w:t>
            </w:r>
          </w:p>
        </w:tc>
        <w:tc>
          <w:tcPr>
            <w:tcW w:w="4746"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5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7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E91B10">
        <w:trPr>
          <w:trHeight w:val="945"/>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7"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673" w:type="dxa"/>
            <w:gridSpan w:val="8"/>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MPSV připravilo změnu právní úpravy a to ve smyslu zrušení možnosti vykonávat tzv. nekolidující zaměstnání na základě DPP. K datu aktualizace poslední zprávy (k 31. 12. 2016) se právní norma jako sněmovní tisk č. 911 nacházela před 2. čtením v PS PČR</w:t>
            </w:r>
            <w:r w:rsidR="001B7AAD">
              <w:rPr>
                <w:rFonts w:eastAsia="Times New Roman" w:cs="Arial"/>
                <w:color w:val="000000"/>
                <w:szCs w:val="24"/>
                <w:lang w:eastAsia="cs-CZ"/>
              </w:rPr>
              <w:t>.</w:t>
            </w:r>
          </w:p>
        </w:tc>
      </w:tr>
      <w:tr w:rsidR="003B2562" w:rsidRPr="003B2562" w:rsidTr="00E91B10">
        <w:trPr>
          <w:trHeight w:val="2550"/>
        </w:trPr>
        <w:tc>
          <w:tcPr>
            <w:tcW w:w="732"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7"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673" w:type="dxa"/>
            <w:gridSpan w:val="8"/>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Právní úprava tzv. nekolidujícího zaměstnání, které budou moci UoZ vykonávat pouze na základě pracovního nebo služebního poměru nebo dohody o pracovní činnosti, nikoliv již na základě dohody o provedení práce, která nepřináší UoZ jistoty v oblasti odvodů pojistného a nesměřuje je ke stabilnímu uplatnění na trhu práce, byla přijata v rámci zákona č. 206/2017 ze dne 8. června 2017, kterým se mění zákon č. 435/2004 Sb., o zaměstnanosti, ve znění pozdějších předpisů, a další související zákony, a to s účinností od 29. 7. 2017. Po dobu 3 měsíců ode dne nabytí účinnosti této novely zákona o zaměstnanosti nebude bránit výkon činnosti na základě dohody o provedení práce, kterou UoZ uzavřel, v souběhu s vedením v evidenci uchazečů o zaměstnání do dne nabytí účinnosti tohoto zákona, vedení UoZ v evidenci uchazečů o zaměstnání. V uvedeném období je na UoZ, zda výkon činnosti na základě dohody o provedení práce ukončí a setrvá v evidenci uchazečů o zaměstnání, nebo bude nadále tuto činnost na základě dohody o provedení práce vykonávat, a z tohoto důvodu bude jeho vedení v evidenci uchazečů o zaměstnání ukončeno, případně bude z této evidence vyřazen.</w:t>
            </w:r>
          </w:p>
        </w:tc>
      </w:tr>
    </w:tbl>
    <w:p w:rsidR="00E91B10" w:rsidRDefault="00E91B10">
      <w:r>
        <w:br w:type="page"/>
      </w:r>
    </w:p>
    <w:tbl>
      <w:tblPr>
        <w:tblW w:w="14097" w:type="dxa"/>
        <w:tblInd w:w="47" w:type="dxa"/>
        <w:tblCellMar>
          <w:left w:w="70" w:type="dxa"/>
          <w:right w:w="70" w:type="dxa"/>
        </w:tblCellMar>
        <w:tblLook w:val="04A0" w:firstRow="1" w:lastRow="0" w:firstColumn="1" w:lastColumn="0" w:noHBand="0" w:noVBand="1"/>
      </w:tblPr>
      <w:tblGrid>
        <w:gridCol w:w="720"/>
        <w:gridCol w:w="649"/>
        <w:gridCol w:w="71"/>
        <w:gridCol w:w="279"/>
        <w:gridCol w:w="1882"/>
        <w:gridCol w:w="1151"/>
        <w:gridCol w:w="1033"/>
        <w:gridCol w:w="1902"/>
        <w:gridCol w:w="1745"/>
        <w:gridCol w:w="1632"/>
        <w:gridCol w:w="3033"/>
      </w:tblGrid>
      <w:tr w:rsidR="003D0021" w:rsidRPr="003B2562" w:rsidTr="00975FB2">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1.3a</w:t>
            </w:r>
          </w:p>
        </w:tc>
        <w:tc>
          <w:tcPr>
            <w:tcW w:w="999" w:type="dxa"/>
            <w:gridSpan w:val="3"/>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1882"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1B7AAD">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902" w:type="dxa"/>
            <w:tcBorders>
              <w:top w:val="single" w:sz="12" w:space="0" w:color="auto"/>
              <w:lef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745" w:type="dxa"/>
            <w:tcBorders>
              <w:top w:val="single" w:sz="12" w:space="0" w:color="auto"/>
              <w:righ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632" w:type="dxa"/>
            <w:tcBorders>
              <w:top w:val="single" w:sz="12" w:space="0" w:color="auto"/>
              <w:left w:val="single" w:sz="12" w:space="0" w:color="auto"/>
              <w:bottom w:val="single" w:sz="12" w:space="0" w:color="auto"/>
            </w:tcBorders>
            <w:shd w:val="clear" w:color="auto" w:fill="auto"/>
            <w:noWrap/>
            <w:vAlign w:val="bottom"/>
          </w:tcPr>
          <w:p w:rsidR="003B2562" w:rsidRPr="003D0021" w:rsidRDefault="00E91B10" w:rsidP="003B2562">
            <w:pPr>
              <w:spacing w:line="240" w:lineRule="auto"/>
              <w:jc w:val="right"/>
              <w:rPr>
                <w:rFonts w:eastAsia="Times New Roman" w:cs="Arial"/>
                <w:b/>
                <w:color w:val="000000"/>
                <w:szCs w:val="24"/>
                <w:lang w:eastAsia="cs-CZ"/>
              </w:rPr>
            </w:pPr>
            <w:r w:rsidRPr="003D0021">
              <w:rPr>
                <w:rFonts w:eastAsia="Times New Roman" w:cs="Arial"/>
                <w:b/>
                <w:color w:val="000000"/>
                <w:szCs w:val="24"/>
                <w:lang w:eastAsia="cs-CZ"/>
              </w:rPr>
              <w:t>Povaha</w:t>
            </w:r>
          </w:p>
        </w:tc>
        <w:tc>
          <w:tcPr>
            <w:tcW w:w="3033" w:type="dxa"/>
            <w:tcBorders>
              <w:top w:val="single" w:sz="12" w:space="0" w:color="auto"/>
              <w:bottom w:val="single" w:sz="12" w:space="0" w:color="auto"/>
              <w:right w:val="single" w:sz="12" w:space="0" w:color="auto"/>
            </w:tcBorders>
            <w:shd w:val="clear" w:color="auto" w:fill="auto"/>
            <w:noWrap/>
            <w:vAlign w:val="bottom"/>
          </w:tcPr>
          <w:p w:rsidR="003B2562" w:rsidRPr="003D0021" w:rsidRDefault="00E91B10" w:rsidP="00E91B10">
            <w:pPr>
              <w:spacing w:line="240" w:lineRule="auto"/>
              <w:jc w:val="left"/>
              <w:rPr>
                <w:rFonts w:eastAsia="Times New Roman" w:cs="Arial"/>
                <w:b/>
                <w:bCs/>
                <w:color w:val="000000"/>
                <w:szCs w:val="24"/>
                <w:lang w:eastAsia="cs-CZ"/>
              </w:rPr>
            </w:pPr>
            <w:r w:rsidRPr="003D0021">
              <w:rPr>
                <w:rFonts w:eastAsia="Times New Roman" w:cs="Arial"/>
                <w:b/>
                <w:bCs/>
                <w:color w:val="000000"/>
                <w:szCs w:val="24"/>
                <w:lang w:eastAsia="cs-CZ"/>
              </w:rPr>
              <w:t>L</w:t>
            </w:r>
          </w:p>
        </w:tc>
      </w:tr>
      <w:tr w:rsidR="001B7AAD" w:rsidRPr="003B2562" w:rsidTr="00975FB2">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Zvýšení minimální mzdy</w:t>
            </w:r>
          </w:p>
        </w:tc>
        <w:tc>
          <w:tcPr>
            <w:tcW w:w="2881" w:type="dxa"/>
            <w:gridSpan w:val="4"/>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51" w:type="dxa"/>
            <w:tcBorders>
              <w:top w:val="single" w:sz="12"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80" w:type="dxa"/>
            <w:gridSpan w:val="3"/>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32"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33"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92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7" w:type="dxa"/>
            <w:gridSpan w:val="10"/>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Odměna za vykonanou práci je primárním zdrojem motivace k akceptaci zaměstnání. V souladu s programovým prohlášením vlády proto po projednání se sociálními partnery bude vláda pokračovat v přibližování úrovně minimální mzdy vytčené hranici 40 % průměrné mzdy. Zvyšování minimální mzdy bude prováděno v závislosti na udržení konkurenceschopnosti českého hospodářství. Opatření je úzce provázáno s opatřením 1.3b</w:t>
            </w:r>
          </w:p>
        </w:tc>
      </w:tr>
      <w:tr w:rsidR="001B7AAD" w:rsidRPr="003B2562" w:rsidTr="00975FB2">
        <w:trPr>
          <w:trHeight w:val="28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0" w:type="dxa"/>
            <w:gridSpan w:val="2"/>
            <w:tcBorders>
              <w:top w:val="double" w:sz="6" w:space="0" w:color="auto"/>
              <w:left w:val="single" w:sz="12" w:space="0" w:color="auto"/>
              <w:bottom w:val="double" w:sz="6" w:space="0" w:color="auto"/>
              <w:right w:val="nil"/>
            </w:tcBorders>
            <w:shd w:val="clear" w:color="000000" w:fill="D8E4BC"/>
            <w:noWrap/>
            <w:vAlign w:val="bottom"/>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312" w:type="dxa"/>
            <w:gridSpan w:val="3"/>
            <w:tcBorders>
              <w:top w:val="double" w:sz="6" w:space="0" w:color="auto"/>
              <w:left w:val="nil"/>
              <w:bottom w:val="double" w:sz="6" w:space="0" w:color="auto"/>
              <w:right w:val="double" w:sz="6" w:space="0" w:color="auto"/>
            </w:tcBorders>
            <w:shd w:val="clear" w:color="000000" w:fill="D8E4BC"/>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 plněno</w:t>
            </w:r>
          </w:p>
        </w:tc>
        <w:tc>
          <w:tcPr>
            <w:tcW w:w="4680"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32"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33"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139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0" w:type="dxa"/>
            <w:gridSpan w:val="2"/>
            <w:tcBorders>
              <w:top w:val="nil"/>
              <w:left w:val="nil"/>
              <w:bottom w:val="nil"/>
              <w:right w:val="single" w:sz="4" w:space="0" w:color="auto"/>
            </w:tcBorders>
            <w:shd w:val="clear" w:color="auto" w:fill="auto"/>
            <w:textDirection w:val="btLr"/>
            <w:vAlign w:val="center"/>
            <w:hideMark/>
          </w:tcPr>
          <w:p w:rsidR="003B2562" w:rsidRPr="003B2562" w:rsidRDefault="004C7FBB"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minulé</w:t>
            </w:r>
          </w:p>
        </w:tc>
        <w:tc>
          <w:tcPr>
            <w:tcW w:w="12657" w:type="dxa"/>
            <w:gridSpan w:val="8"/>
            <w:tcBorders>
              <w:top w:val="nil"/>
              <w:left w:val="nil"/>
              <w:bottom w:val="nil"/>
              <w:right w:val="single" w:sz="8" w:space="0" w:color="000000"/>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S účinností od 1. 1. 2017 došlo nařízením č. 336/2016 Sb. ke změně nařízení 56</w:t>
            </w:r>
            <w:r w:rsidR="00E91B10">
              <w:rPr>
                <w:rFonts w:eastAsia="Times New Roman" w:cs="Arial"/>
                <w:color w:val="000000"/>
                <w:szCs w:val="24"/>
                <w:lang w:eastAsia="cs-CZ"/>
              </w:rPr>
              <w:t>7/2006 Sb., o minimální mzdě, o </w:t>
            </w:r>
            <w:r w:rsidRPr="003B2562">
              <w:rPr>
                <w:rFonts w:eastAsia="Times New Roman" w:cs="Arial"/>
                <w:color w:val="000000"/>
                <w:szCs w:val="24"/>
                <w:lang w:eastAsia="cs-CZ"/>
              </w:rPr>
              <w:t>nejnižších úrovních zaručené mzdy, o vymezení ztíženého pracovního prostředí a o výši příplatku ke mzdě za práci ve ztíženém pracovním prostředí</w:t>
            </w:r>
            <w:r w:rsidR="00C7064E">
              <w:rPr>
                <w:rFonts w:eastAsia="Times New Roman" w:cs="Arial"/>
                <w:color w:val="000000"/>
                <w:szCs w:val="24"/>
                <w:lang w:eastAsia="cs-CZ"/>
              </w:rPr>
              <w:t xml:space="preserve"> ke</w:t>
            </w:r>
            <w:r w:rsidRPr="003B2562">
              <w:rPr>
                <w:rFonts w:eastAsia="Times New Roman" w:cs="Arial"/>
                <w:color w:val="000000"/>
                <w:szCs w:val="24"/>
                <w:lang w:eastAsia="cs-CZ"/>
              </w:rPr>
              <w:t xml:space="preserve"> </w:t>
            </w:r>
            <w:r w:rsidR="00C7064E">
              <w:rPr>
                <w:rFonts w:eastAsia="Times New Roman" w:cs="Arial"/>
                <w:color w:val="000000"/>
                <w:szCs w:val="24"/>
                <w:lang w:eastAsia="cs-CZ"/>
              </w:rPr>
              <w:t>z</w:t>
            </w:r>
            <w:r w:rsidRPr="003B2562">
              <w:rPr>
                <w:rFonts w:eastAsia="Times New Roman" w:cs="Arial"/>
                <w:color w:val="000000"/>
                <w:szCs w:val="24"/>
                <w:lang w:eastAsia="cs-CZ"/>
              </w:rPr>
              <w:t>výšení minimální mzdy na 11 000 Kč/měsíc (66 Kč/hod), valorizaci sazby nejnižších úrovní zaručené mzdy a zrušení nižší sazby minimální mzdy, resp. nejnižších úrovní zaručené mzdy, u</w:t>
            </w:r>
            <w:r w:rsidR="00C7064E">
              <w:rPr>
                <w:rFonts w:eastAsia="Times New Roman" w:cs="Arial"/>
                <w:color w:val="000000"/>
                <w:szCs w:val="24"/>
                <w:lang w:eastAsia="cs-CZ"/>
              </w:rPr>
              <w:t> </w:t>
            </w:r>
            <w:r w:rsidRPr="003B2562">
              <w:rPr>
                <w:rFonts w:eastAsia="Times New Roman" w:cs="Arial"/>
                <w:color w:val="000000"/>
                <w:szCs w:val="24"/>
                <w:lang w:eastAsia="cs-CZ"/>
              </w:rPr>
              <w:t xml:space="preserve">poživatelů invalidních důchodů. </w:t>
            </w:r>
          </w:p>
        </w:tc>
      </w:tr>
      <w:tr w:rsidR="003B2562" w:rsidRPr="003B2562" w:rsidTr="00975FB2">
        <w:trPr>
          <w:trHeight w:val="709"/>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0"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D0021" w:rsidP="003D0021">
            <w:pPr>
              <w:spacing w:line="240" w:lineRule="auto"/>
              <w:jc w:val="center"/>
              <w:rPr>
                <w:rFonts w:eastAsia="Times New Roman" w:cs="Arial"/>
                <w:color w:val="000000"/>
                <w:szCs w:val="24"/>
                <w:lang w:eastAsia="cs-CZ"/>
              </w:rPr>
            </w:pPr>
            <w:r>
              <w:rPr>
                <w:rFonts w:eastAsia="Times New Roman" w:cs="Arial"/>
                <w:color w:val="000000"/>
                <w:szCs w:val="24"/>
                <w:lang w:eastAsia="cs-CZ"/>
              </w:rPr>
              <w:t>sled.</w:t>
            </w:r>
          </w:p>
        </w:tc>
        <w:tc>
          <w:tcPr>
            <w:tcW w:w="12657" w:type="dxa"/>
            <w:gridSpan w:val="8"/>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nedošlo ke změně, návrh na zvýšení minimální mzdy od 1. 1. 2018 bude projednáván vládou</w:t>
            </w:r>
          </w:p>
        </w:tc>
      </w:tr>
      <w:tr w:rsidR="0021164D" w:rsidRPr="003B2562" w:rsidTr="00975FB2">
        <w:trPr>
          <w:trHeight w:val="121"/>
        </w:trPr>
        <w:tc>
          <w:tcPr>
            <w:tcW w:w="720"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720" w:type="dxa"/>
            <w:gridSpan w:val="2"/>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2161" w:type="dxa"/>
            <w:gridSpan w:val="2"/>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151"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033"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902"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745"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632"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3033"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r>
      <w:tr w:rsidR="003D0021" w:rsidRPr="003B2562" w:rsidTr="00975FB2">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1.3b</w:t>
            </w:r>
          </w:p>
        </w:tc>
        <w:tc>
          <w:tcPr>
            <w:tcW w:w="720" w:type="dxa"/>
            <w:gridSpan w:val="2"/>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161" w:type="dxa"/>
            <w:gridSpan w:val="2"/>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1B7AAD">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2017</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902" w:type="dxa"/>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745" w:type="dxa"/>
            <w:tcBorders>
              <w:top w:val="single" w:sz="12" w:space="0" w:color="auto"/>
              <w:righ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632" w:type="dxa"/>
            <w:tcBorders>
              <w:top w:val="single" w:sz="12" w:space="0" w:color="auto"/>
              <w:left w:val="single" w:sz="12" w:space="0" w:color="auto"/>
              <w:bottom w:val="single" w:sz="12" w:space="0" w:color="auto"/>
            </w:tcBorders>
            <w:shd w:val="clear" w:color="auto" w:fill="auto"/>
            <w:noWrap/>
            <w:vAlign w:val="bottom"/>
          </w:tcPr>
          <w:p w:rsidR="003B2562" w:rsidRPr="003D0021" w:rsidRDefault="003D0021" w:rsidP="003B2562">
            <w:pPr>
              <w:spacing w:line="240" w:lineRule="auto"/>
              <w:jc w:val="right"/>
              <w:rPr>
                <w:rFonts w:eastAsia="Times New Roman" w:cs="Arial"/>
                <w:b/>
                <w:color w:val="000000"/>
                <w:szCs w:val="24"/>
                <w:lang w:eastAsia="cs-CZ"/>
              </w:rPr>
            </w:pPr>
            <w:r w:rsidRPr="003D0021">
              <w:rPr>
                <w:rFonts w:eastAsia="Times New Roman" w:cs="Arial"/>
                <w:b/>
                <w:color w:val="000000"/>
                <w:szCs w:val="24"/>
                <w:lang w:eastAsia="cs-CZ"/>
              </w:rPr>
              <w:t>Povaha</w:t>
            </w:r>
          </w:p>
        </w:tc>
        <w:tc>
          <w:tcPr>
            <w:tcW w:w="3033" w:type="dxa"/>
            <w:tcBorders>
              <w:top w:val="single" w:sz="12" w:space="0" w:color="auto"/>
              <w:bottom w:val="single" w:sz="12" w:space="0" w:color="auto"/>
              <w:right w:val="single" w:sz="12" w:space="0" w:color="auto"/>
            </w:tcBorders>
            <w:shd w:val="clear" w:color="auto" w:fill="auto"/>
            <w:noWrap/>
            <w:vAlign w:val="bottom"/>
          </w:tcPr>
          <w:p w:rsidR="003B2562" w:rsidRPr="003B2562" w:rsidRDefault="003D0021" w:rsidP="003D0021">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L</w:t>
            </w:r>
          </w:p>
        </w:tc>
      </w:tr>
      <w:tr w:rsidR="001B7AAD" w:rsidRPr="003B2562" w:rsidTr="00975FB2">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Revize dávkového systému</w:t>
            </w:r>
          </w:p>
        </w:tc>
        <w:tc>
          <w:tcPr>
            <w:tcW w:w="2881" w:type="dxa"/>
            <w:gridSpan w:val="4"/>
            <w:tcBorders>
              <w:top w:val="single" w:sz="4"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51" w:type="dxa"/>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80" w:type="dxa"/>
            <w:gridSpan w:val="3"/>
            <w:tcBorders>
              <w:top w:val="nil"/>
            </w:tcBorders>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32" w:type="dxa"/>
            <w:tcBorders>
              <w:top w:val="single" w:sz="12" w:space="0" w:color="auto"/>
            </w:tcBorders>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33" w:type="dxa"/>
            <w:tcBorders>
              <w:top w:val="single" w:sz="12" w:space="0" w:color="auto"/>
              <w:right w:val="single" w:sz="8" w:space="0" w:color="auto"/>
            </w:tcBorders>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61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7" w:type="dxa"/>
            <w:gridSpan w:val="10"/>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MPSV provede revizi právní úpravy dávek s ohledem na jejich možné dopady na motivaci pracovní síly akceptovat zaměstnání jako základní zdroj příjmu namísto závislosti na příjmu sociálním a to při souběžném ohledu na příjmovou stabilitu příjemců dávkové podpory</w:t>
            </w:r>
          </w:p>
        </w:tc>
      </w:tr>
      <w:tr w:rsidR="001B7AAD" w:rsidRPr="003B2562" w:rsidTr="00975FB2">
        <w:trPr>
          <w:trHeight w:val="28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0" w:type="dxa"/>
            <w:gridSpan w:val="2"/>
            <w:tcBorders>
              <w:top w:val="double" w:sz="6" w:space="0" w:color="auto"/>
              <w:left w:val="single" w:sz="12" w:space="0" w:color="auto"/>
              <w:bottom w:val="single" w:sz="12" w:space="0" w:color="auto"/>
              <w:right w:val="nil"/>
            </w:tcBorders>
            <w:shd w:val="clear" w:color="000000" w:fill="00B050"/>
            <w:noWrap/>
            <w:vAlign w:val="bottom"/>
            <w:hideMark/>
          </w:tcPr>
          <w:p w:rsidR="003B2562" w:rsidRPr="003B2562" w:rsidRDefault="003D0021"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312" w:type="dxa"/>
            <w:gridSpan w:val="3"/>
            <w:tcBorders>
              <w:top w:val="double" w:sz="6" w:space="0" w:color="auto"/>
              <w:left w:val="nil"/>
              <w:bottom w:val="single" w:sz="12" w:space="0" w:color="auto"/>
              <w:right w:val="double" w:sz="6" w:space="0" w:color="auto"/>
            </w:tcBorders>
            <w:shd w:val="clear" w:color="000000" w:fill="00B050"/>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Splněno</w:t>
            </w:r>
          </w:p>
        </w:tc>
        <w:tc>
          <w:tcPr>
            <w:tcW w:w="4680"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32"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33"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139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0" w:type="dxa"/>
            <w:gridSpan w:val="2"/>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657" w:type="dxa"/>
            <w:gridSpan w:val="8"/>
            <w:tcBorders>
              <w:top w:val="nil"/>
              <w:left w:val="nil"/>
              <w:bottom w:val="nil"/>
              <w:right w:val="single" w:sz="8" w:space="0" w:color="000000"/>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 xml:space="preserve">Vydána Instrukce č. 19/2016 "Minimální standard rozsahu sociální práce na </w:t>
            </w:r>
            <w:r w:rsidR="003D0021">
              <w:rPr>
                <w:rFonts w:eastAsia="Times New Roman" w:cs="Arial"/>
                <w:color w:val="000000"/>
                <w:szCs w:val="24"/>
                <w:lang w:eastAsia="cs-CZ"/>
              </w:rPr>
              <w:t>ÚP ČR</w:t>
            </w:r>
            <w:r w:rsidRPr="003B2562">
              <w:rPr>
                <w:rFonts w:eastAsia="Times New Roman" w:cs="Arial"/>
                <w:color w:val="000000"/>
                <w:szCs w:val="24"/>
                <w:lang w:eastAsia="cs-CZ"/>
              </w:rPr>
              <w:t xml:space="preserve"> v kontextu zákona č. 111/2006 Sb., s účinností od 1. 1. 2017. Obsahuje základní činnosti sociální práce </w:t>
            </w:r>
            <w:r w:rsidR="00C7064E">
              <w:rPr>
                <w:rFonts w:eastAsia="Times New Roman" w:cs="Arial"/>
                <w:color w:val="000000"/>
                <w:szCs w:val="24"/>
                <w:lang w:eastAsia="cs-CZ"/>
              </w:rPr>
              <w:t>vykonávané</w:t>
            </w:r>
            <w:r w:rsidR="00C7064E" w:rsidRPr="003B2562">
              <w:rPr>
                <w:rFonts w:eastAsia="Times New Roman" w:cs="Arial"/>
                <w:color w:val="000000"/>
                <w:szCs w:val="24"/>
                <w:lang w:eastAsia="cs-CZ"/>
              </w:rPr>
              <w:t xml:space="preserve"> </w:t>
            </w:r>
            <w:r w:rsidRPr="003B2562">
              <w:rPr>
                <w:rFonts w:eastAsia="Times New Roman" w:cs="Arial"/>
                <w:color w:val="000000"/>
                <w:szCs w:val="24"/>
                <w:lang w:eastAsia="cs-CZ"/>
              </w:rPr>
              <w:t>pracovní</w:t>
            </w:r>
            <w:r w:rsidR="00C7064E">
              <w:rPr>
                <w:rFonts w:eastAsia="Times New Roman" w:cs="Arial"/>
                <w:color w:val="000000"/>
                <w:szCs w:val="24"/>
                <w:lang w:eastAsia="cs-CZ"/>
              </w:rPr>
              <w:t>ky</w:t>
            </w:r>
            <w:r w:rsidRPr="003B2562">
              <w:rPr>
                <w:rFonts w:eastAsia="Times New Roman" w:cs="Arial"/>
                <w:color w:val="000000"/>
                <w:szCs w:val="24"/>
                <w:lang w:eastAsia="cs-CZ"/>
              </w:rPr>
              <w:t xml:space="preserve"> ÚP ČR pro řešení situace osob v hmotné nouzi (snížení rizika závislosti na dávkové podpoře a integrace do běžného života). Novela zákona č. 117/1995 Sb., (sněmovní tisk č. 854) je projednáván v PS PČR ve 2. čtení, novela zákona č.</w:t>
            </w:r>
            <w:r w:rsidR="00C7064E">
              <w:rPr>
                <w:rFonts w:eastAsia="Times New Roman" w:cs="Arial"/>
                <w:color w:val="000000"/>
                <w:szCs w:val="24"/>
                <w:lang w:eastAsia="cs-CZ"/>
              </w:rPr>
              <w:t> </w:t>
            </w:r>
            <w:r w:rsidRPr="003B2562">
              <w:rPr>
                <w:rFonts w:eastAsia="Times New Roman" w:cs="Arial"/>
                <w:color w:val="000000"/>
                <w:szCs w:val="24"/>
                <w:lang w:eastAsia="cs-CZ"/>
              </w:rPr>
              <w:t>111/2006 Sb. (sněmovní tisk 783) schválena v PS PČR a postoupena senátu (senátní tisk 59).</w:t>
            </w:r>
          </w:p>
        </w:tc>
      </w:tr>
      <w:tr w:rsidR="003B2562" w:rsidRPr="003B2562" w:rsidTr="00975FB2">
        <w:trPr>
          <w:trHeight w:val="108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0"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657" w:type="dxa"/>
            <w:gridSpan w:val="8"/>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21164D">
            <w:pPr>
              <w:spacing w:line="240" w:lineRule="auto"/>
              <w:rPr>
                <w:rFonts w:eastAsia="Times New Roman" w:cs="Arial"/>
                <w:color w:val="000000"/>
                <w:szCs w:val="24"/>
                <w:lang w:eastAsia="cs-CZ"/>
              </w:rPr>
            </w:pPr>
            <w:r w:rsidRPr="003B2562">
              <w:rPr>
                <w:rFonts w:eastAsia="Times New Roman" w:cs="Arial"/>
                <w:color w:val="000000"/>
                <w:szCs w:val="24"/>
                <w:lang w:eastAsia="cs-CZ"/>
              </w:rPr>
              <w:t>V dávkových systémech byla přijata opatření podporující více rodiny s dětmi, kde alespoň jeden z jejích členů pracuje. Vedle přijaté úpravy v rámci dávkového systému pomoci v hmotné nouzi byla přijata i</w:t>
            </w:r>
            <w:r w:rsidR="003D0021">
              <w:rPr>
                <w:rFonts w:eastAsia="Times New Roman" w:cs="Arial"/>
                <w:color w:val="000000"/>
                <w:szCs w:val="24"/>
                <w:lang w:eastAsia="cs-CZ"/>
              </w:rPr>
              <w:t xml:space="preserve"> novela zákona č.117/1995 Sb.,(</w:t>
            </w:r>
            <w:r w:rsidRPr="003B2562">
              <w:rPr>
                <w:rFonts w:eastAsia="Times New Roman" w:cs="Arial"/>
                <w:color w:val="000000"/>
                <w:szCs w:val="24"/>
                <w:lang w:eastAsia="cs-CZ"/>
              </w:rPr>
              <w:t>zákon č. 200/2017 Sb.), kterou se mimo jiné zvýš</w:t>
            </w:r>
            <w:r w:rsidR="003D0021">
              <w:rPr>
                <w:rFonts w:eastAsia="Times New Roman" w:cs="Arial"/>
                <w:color w:val="000000"/>
                <w:szCs w:val="24"/>
                <w:lang w:eastAsia="cs-CZ"/>
              </w:rPr>
              <w:t xml:space="preserve">ila částka přídavku na dítě (o </w:t>
            </w:r>
            <w:r w:rsidR="00DC42C9">
              <w:rPr>
                <w:rFonts w:eastAsia="Times New Roman" w:cs="Arial"/>
                <w:color w:val="000000"/>
                <w:szCs w:val="24"/>
                <w:lang w:eastAsia="cs-CZ"/>
              </w:rPr>
              <w:t>3</w:t>
            </w:r>
            <w:r w:rsidRPr="003B2562">
              <w:rPr>
                <w:rFonts w:eastAsia="Times New Roman" w:cs="Arial"/>
                <w:color w:val="000000"/>
                <w:szCs w:val="24"/>
                <w:lang w:eastAsia="cs-CZ"/>
              </w:rPr>
              <w:t>00 Kč</w:t>
            </w:r>
            <w:r w:rsidR="003D0021">
              <w:rPr>
                <w:rFonts w:eastAsia="Times New Roman" w:cs="Arial"/>
                <w:color w:val="000000"/>
                <w:szCs w:val="24"/>
                <w:lang w:eastAsia="cs-CZ"/>
              </w:rPr>
              <w:t>/</w:t>
            </w:r>
            <w:r w:rsidRPr="003B2562">
              <w:rPr>
                <w:rFonts w:eastAsia="Times New Roman" w:cs="Arial"/>
                <w:color w:val="000000"/>
                <w:szCs w:val="24"/>
                <w:lang w:eastAsia="cs-CZ"/>
              </w:rPr>
              <w:t>měsí</w:t>
            </w:r>
            <w:r w:rsidR="003D0021">
              <w:rPr>
                <w:rFonts w:eastAsia="Times New Roman" w:cs="Arial"/>
                <w:color w:val="000000"/>
                <w:szCs w:val="24"/>
                <w:lang w:eastAsia="cs-CZ"/>
              </w:rPr>
              <w:t>c</w:t>
            </w:r>
            <w:r w:rsidRPr="003B2562">
              <w:rPr>
                <w:rFonts w:eastAsia="Times New Roman" w:cs="Arial"/>
                <w:color w:val="000000"/>
                <w:szCs w:val="24"/>
                <w:lang w:eastAsia="cs-CZ"/>
              </w:rPr>
              <w:t>) žijícího v rodině tzv. pracujících rodičů. Flexibilnější možnost čerpání rodičovského příspěvku je také zaměřena na rodiče, kteří pracují.</w:t>
            </w:r>
          </w:p>
        </w:tc>
      </w:tr>
      <w:tr w:rsidR="008101BA" w:rsidRPr="003B2562" w:rsidTr="00975FB2">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1.4</w:t>
            </w:r>
          </w:p>
        </w:tc>
        <w:tc>
          <w:tcPr>
            <w:tcW w:w="720" w:type="dxa"/>
            <w:gridSpan w:val="2"/>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161" w:type="dxa"/>
            <w:gridSpan w:val="2"/>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1B7AAD">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51" w:type="dxa"/>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33"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902" w:type="dxa"/>
            <w:tcBorders>
              <w:top w:val="single" w:sz="8" w:space="0" w:color="auto"/>
              <w:left w:val="nil"/>
            </w:tcBorders>
            <w:shd w:val="clear" w:color="auto" w:fill="auto"/>
            <w:noWrap/>
            <w:vAlign w:val="bottom"/>
          </w:tcPr>
          <w:p w:rsidR="003B2562" w:rsidRPr="0021164D" w:rsidRDefault="003B2562" w:rsidP="003B2562">
            <w:pPr>
              <w:spacing w:line="240" w:lineRule="auto"/>
              <w:jc w:val="right"/>
              <w:rPr>
                <w:rFonts w:eastAsia="Times New Roman" w:cs="Arial"/>
                <w:b/>
                <w:color w:val="000000"/>
                <w:szCs w:val="24"/>
                <w:lang w:eastAsia="cs-CZ"/>
              </w:rPr>
            </w:pPr>
          </w:p>
        </w:tc>
        <w:tc>
          <w:tcPr>
            <w:tcW w:w="1745" w:type="dxa"/>
            <w:tcBorders>
              <w:top w:val="single" w:sz="8" w:space="0" w:color="auto"/>
              <w:right w:val="single" w:sz="12" w:space="0" w:color="auto"/>
            </w:tcBorders>
            <w:shd w:val="clear" w:color="auto" w:fill="auto"/>
            <w:noWrap/>
            <w:vAlign w:val="bottom"/>
          </w:tcPr>
          <w:p w:rsidR="003B2562" w:rsidRPr="0021164D" w:rsidRDefault="003B2562" w:rsidP="003B2562">
            <w:pPr>
              <w:spacing w:line="240" w:lineRule="auto"/>
              <w:jc w:val="right"/>
              <w:rPr>
                <w:rFonts w:eastAsia="Times New Roman" w:cs="Arial"/>
                <w:b/>
                <w:color w:val="000000"/>
                <w:szCs w:val="24"/>
                <w:lang w:eastAsia="cs-CZ"/>
              </w:rPr>
            </w:pPr>
          </w:p>
        </w:tc>
        <w:tc>
          <w:tcPr>
            <w:tcW w:w="1632" w:type="dxa"/>
            <w:tcBorders>
              <w:top w:val="single" w:sz="12" w:space="0" w:color="auto"/>
              <w:left w:val="single" w:sz="12" w:space="0" w:color="auto"/>
              <w:bottom w:val="single" w:sz="12" w:space="0" w:color="auto"/>
            </w:tcBorders>
            <w:shd w:val="clear" w:color="auto" w:fill="auto"/>
            <w:noWrap/>
            <w:vAlign w:val="bottom"/>
          </w:tcPr>
          <w:p w:rsidR="003B2562" w:rsidRPr="0021164D" w:rsidRDefault="0021164D"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33" w:type="dxa"/>
            <w:tcBorders>
              <w:top w:val="single" w:sz="12" w:space="0" w:color="auto"/>
              <w:bottom w:val="single" w:sz="12" w:space="0" w:color="auto"/>
              <w:right w:val="single" w:sz="12" w:space="0" w:color="auto"/>
            </w:tcBorders>
            <w:shd w:val="clear" w:color="auto" w:fill="auto"/>
            <w:noWrap/>
            <w:vAlign w:val="bottom"/>
          </w:tcPr>
          <w:p w:rsidR="003B2562" w:rsidRPr="0021164D" w:rsidRDefault="0021164D" w:rsidP="0021164D">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L</w:t>
            </w:r>
          </w:p>
        </w:tc>
      </w:tr>
      <w:tr w:rsidR="001B7AAD" w:rsidRPr="003B2562" w:rsidTr="00975FB2">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Příspěvek na podporu regionální mobility</w:t>
            </w:r>
          </w:p>
        </w:tc>
        <w:tc>
          <w:tcPr>
            <w:tcW w:w="2881" w:type="dxa"/>
            <w:gridSpan w:val="4"/>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51"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80" w:type="dxa"/>
            <w:gridSpan w:val="3"/>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32" w:type="dxa"/>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33" w:type="dxa"/>
            <w:tcBorders>
              <w:top w:val="single" w:sz="8"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63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7" w:type="dxa"/>
            <w:gridSpan w:val="10"/>
            <w:tcBorders>
              <w:left w:val="nil"/>
              <w:bottom w:val="double" w:sz="6" w:space="0" w:color="auto"/>
              <w:right w:val="single" w:sz="8" w:space="0" w:color="000000"/>
            </w:tcBorders>
            <w:shd w:val="clear" w:color="auto" w:fill="auto"/>
            <w:hideMark/>
          </w:tcPr>
          <w:p w:rsidR="003B2562" w:rsidRPr="003B2562" w:rsidRDefault="003B2562" w:rsidP="001B7AAD">
            <w:pPr>
              <w:spacing w:line="240" w:lineRule="auto"/>
              <w:rPr>
                <w:rFonts w:eastAsia="Times New Roman" w:cs="Arial"/>
                <w:color w:val="000000"/>
                <w:szCs w:val="24"/>
                <w:lang w:eastAsia="cs-CZ"/>
              </w:rPr>
            </w:pPr>
            <w:r w:rsidRPr="003B2562">
              <w:rPr>
                <w:rFonts w:eastAsia="Times New Roman" w:cs="Arial"/>
                <w:color w:val="000000"/>
                <w:szCs w:val="24"/>
                <w:lang w:eastAsia="cs-CZ"/>
              </w:rPr>
              <w:t>V souladu s Akčním plánem vlády na podporu hospodářského růstu a zaměstnanosti připraví MPSV návrh nového nástroje aktivní politiky zaměstnanosti a jeho pilotní ověření.</w:t>
            </w:r>
            <w:r w:rsidR="001B7AAD">
              <w:rPr>
                <w:rFonts w:eastAsia="Times New Roman" w:cs="Arial"/>
                <w:color w:val="000000"/>
                <w:szCs w:val="24"/>
                <w:lang w:eastAsia="cs-CZ"/>
              </w:rPr>
              <w:t xml:space="preserve"> UoZ</w:t>
            </w:r>
            <w:r w:rsidRPr="003B2562">
              <w:rPr>
                <w:rFonts w:eastAsia="Times New Roman" w:cs="Arial"/>
                <w:color w:val="000000"/>
                <w:szCs w:val="24"/>
                <w:lang w:eastAsia="cs-CZ"/>
              </w:rPr>
              <w:t>, kteří si naleznou pracovní uplatnění mimo místo svého bydliště, bude poskytován v závislosti na vzdálenosti dojížďky finanční příspěvek. Příspěvek bude paušální, podpořená osoba jej bude moci tedy využít na úhradu jak nákladů za dopravu, tak dalších nákladů souvisejících s dojížďkou do zaměstnání (či přestěhováním).</w:t>
            </w:r>
            <w:r w:rsidR="0000643C">
              <w:rPr>
                <w:rFonts w:eastAsia="Times New Roman" w:cs="Arial"/>
                <w:color w:val="000000"/>
                <w:szCs w:val="24"/>
                <w:lang w:eastAsia="cs-CZ"/>
              </w:rPr>
              <w:t xml:space="preserve"> </w:t>
            </w:r>
            <w:r w:rsidRPr="003B2562">
              <w:rPr>
                <w:rFonts w:eastAsia="Times New Roman" w:cs="Arial"/>
                <w:color w:val="000000"/>
                <w:szCs w:val="24"/>
                <w:lang w:eastAsia="cs-CZ"/>
              </w:rPr>
              <w:t>Poskytování příspěvku bylo pilotně zahájeno v dubnu 2016. Analyzována je možnost poskytovat příspěvek na přestěhování za prací.</w:t>
            </w:r>
          </w:p>
        </w:tc>
      </w:tr>
      <w:tr w:rsidR="001B7AAD" w:rsidRPr="003B2562" w:rsidTr="00975FB2">
        <w:trPr>
          <w:trHeight w:val="28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9" w:type="dxa"/>
            <w:tcBorders>
              <w:top w:val="double" w:sz="6" w:space="0" w:color="auto"/>
              <w:left w:val="single" w:sz="12" w:space="0" w:color="auto"/>
              <w:bottom w:val="double" w:sz="6" w:space="0" w:color="auto"/>
              <w:right w:val="nil"/>
            </w:tcBorders>
            <w:shd w:val="clear" w:color="000000" w:fill="00B050"/>
            <w:noWrap/>
            <w:vAlign w:val="bottom"/>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383" w:type="dxa"/>
            <w:gridSpan w:val="4"/>
            <w:tcBorders>
              <w:top w:val="double" w:sz="6" w:space="0" w:color="auto"/>
              <w:left w:val="nil"/>
              <w:bottom w:val="double" w:sz="6" w:space="0" w:color="auto"/>
              <w:right w:val="double" w:sz="6" w:space="0" w:color="auto"/>
            </w:tcBorders>
            <w:shd w:val="clear" w:color="000000" w:fill="00B050"/>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Splněno</w:t>
            </w:r>
          </w:p>
        </w:tc>
        <w:tc>
          <w:tcPr>
            <w:tcW w:w="4680" w:type="dxa"/>
            <w:gridSpan w:val="3"/>
            <w:tcBorders>
              <w:top w:val="double" w:sz="6" w:space="0" w:color="auto"/>
              <w:left w:val="double" w:sz="6" w:space="0" w:color="auto"/>
              <w:bottom w:val="nil"/>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32" w:type="dxa"/>
            <w:tcBorders>
              <w:top w:val="nil"/>
              <w:right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33" w:type="dxa"/>
            <w:tcBorders>
              <w:top w:val="nil"/>
              <w:left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172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9"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28" w:type="dxa"/>
            <w:gridSpan w:val="9"/>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 xml:space="preserve">Od listopadu 2016 rozšířeno poskytování příspěvku na území celé </w:t>
            </w:r>
            <w:r w:rsidR="0000643C">
              <w:rPr>
                <w:rFonts w:eastAsia="Times New Roman" w:cs="Arial"/>
                <w:color w:val="000000"/>
                <w:szCs w:val="24"/>
                <w:lang w:eastAsia="cs-CZ"/>
              </w:rPr>
              <w:t>Č</w:t>
            </w:r>
            <w:r w:rsidRPr="003B2562">
              <w:rPr>
                <w:rFonts w:eastAsia="Times New Roman" w:cs="Arial"/>
                <w:color w:val="000000"/>
                <w:szCs w:val="24"/>
                <w:lang w:eastAsia="cs-CZ"/>
              </w:rPr>
              <w:t>eské republiky. Zároveň zaveden nový prvek - příspěvek na přestěhování. Ten je možné poskytnout osobě, kter</w:t>
            </w:r>
            <w:r w:rsidR="008101BA">
              <w:rPr>
                <w:rFonts w:eastAsia="Times New Roman" w:cs="Arial"/>
                <w:color w:val="000000"/>
                <w:szCs w:val="24"/>
                <w:lang w:eastAsia="cs-CZ"/>
              </w:rPr>
              <w:t>á</w:t>
            </w:r>
            <w:r w:rsidRPr="003B2562">
              <w:rPr>
                <w:rFonts w:eastAsia="Times New Roman" w:cs="Arial"/>
                <w:color w:val="000000"/>
                <w:szCs w:val="24"/>
                <w:lang w:eastAsia="cs-CZ"/>
              </w:rPr>
              <w:t xml:space="preserve"> se v souvislosti s přijetím zaměstnání mimo místo svého bydliště přestěhuje na vzdálenost alespoň 50 km. Zároveň se jedná o osobu, která byla v období 6 měsíců před podáním žádosti buď uchazečem o </w:t>
            </w:r>
            <w:r w:rsidR="0000643C" w:rsidRPr="003B2562">
              <w:rPr>
                <w:rFonts w:eastAsia="Times New Roman" w:cs="Arial"/>
                <w:color w:val="000000"/>
                <w:szCs w:val="24"/>
                <w:lang w:eastAsia="cs-CZ"/>
              </w:rPr>
              <w:t>zaměstnání, nebo</w:t>
            </w:r>
            <w:r w:rsidRPr="003B2562">
              <w:rPr>
                <w:rFonts w:eastAsia="Times New Roman" w:cs="Arial"/>
                <w:color w:val="000000"/>
                <w:szCs w:val="24"/>
                <w:lang w:eastAsia="cs-CZ"/>
              </w:rPr>
              <w:t xml:space="preserve"> zájemcem o zaměstnání ohroženým ztrátou zaměstnání v</w:t>
            </w:r>
            <w:r w:rsidR="008101BA">
              <w:rPr>
                <w:rFonts w:eastAsia="Times New Roman" w:cs="Arial"/>
                <w:color w:val="000000"/>
                <w:szCs w:val="24"/>
                <w:lang w:eastAsia="cs-CZ"/>
              </w:rPr>
              <w:t> </w:t>
            </w:r>
            <w:r w:rsidRPr="003B2562">
              <w:rPr>
                <w:rFonts w:eastAsia="Times New Roman" w:cs="Arial"/>
                <w:color w:val="000000"/>
                <w:szCs w:val="24"/>
                <w:lang w:eastAsia="cs-CZ"/>
              </w:rPr>
              <w:t>důsledku zaměstnavatelem ohlášeného hromadného propuštění. Podmínkou poskytnutí příspěvku je existence pracovního poměru na dobu alespoň 6 měsíců a závazek podpořené osoby setrvat v zaměstnání po dobu dalších 6</w:t>
            </w:r>
            <w:r w:rsidR="008101BA">
              <w:rPr>
                <w:rFonts w:eastAsia="Times New Roman" w:cs="Arial"/>
                <w:color w:val="000000"/>
                <w:szCs w:val="24"/>
                <w:lang w:eastAsia="cs-CZ"/>
              </w:rPr>
              <w:t> </w:t>
            </w:r>
            <w:r w:rsidRPr="003B2562">
              <w:rPr>
                <w:rFonts w:eastAsia="Times New Roman" w:cs="Arial"/>
                <w:color w:val="000000"/>
                <w:szCs w:val="24"/>
                <w:lang w:eastAsia="cs-CZ"/>
              </w:rPr>
              <w:t>měsíců. Příspěvek je poskytován paušálně, jednorázově, ve výši 50 000 Kč. V průběhu roku 2016 bylo příspěvkem na podporu regionální mobility podpořeno 644 osob.</w:t>
            </w:r>
          </w:p>
        </w:tc>
      </w:tr>
      <w:tr w:rsidR="003B2562" w:rsidRPr="003B2562" w:rsidTr="00975FB2">
        <w:trPr>
          <w:trHeight w:val="97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9"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1B7AAD" w:rsidP="001B7AAD">
            <w:pPr>
              <w:spacing w:line="240" w:lineRule="auto"/>
              <w:jc w:val="center"/>
              <w:rPr>
                <w:rFonts w:eastAsia="Times New Roman" w:cs="Arial"/>
                <w:color w:val="000000"/>
                <w:szCs w:val="24"/>
                <w:lang w:eastAsia="cs-CZ"/>
              </w:rPr>
            </w:pPr>
            <w:r>
              <w:rPr>
                <w:rFonts w:eastAsia="Times New Roman" w:cs="Arial"/>
                <w:color w:val="000000"/>
                <w:szCs w:val="24"/>
                <w:lang w:eastAsia="cs-CZ"/>
              </w:rPr>
              <w:t>sled.</w:t>
            </w:r>
            <w:r w:rsidR="003B2562" w:rsidRPr="003B2562">
              <w:rPr>
                <w:rFonts w:eastAsia="Times New Roman" w:cs="Arial"/>
                <w:color w:val="000000"/>
                <w:szCs w:val="24"/>
                <w:lang w:eastAsia="cs-CZ"/>
              </w:rPr>
              <w:t xml:space="preserve"> </w:t>
            </w:r>
          </w:p>
        </w:tc>
        <w:tc>
          <w:tcPr>
            <w:tcW w:w="12728" w:type="dxa"/>
            <w:gridSpan w:val="9"/>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Od počátku roku 2017 do 30. 6. 2017 bylo příspěvkem na podporu regionální mobility podpořeno celkem 1 660 osob, z toho 39 příspěvkem na přestěhování a 1 621 příspěvkem na dojížďku.</w:t>
            </w:r>
          </w:p>
        </w:tc>
      </w:tr>
    </w:tbl>
    <w:p w:rsidR="001B7AAD" w:rsidRDefault="001B7AAD">
      <w:r>
        <w:br w:type="page"/>
      </w:r>
    </w:p>
    <w:tbl>
      <w:tblPr>
        <w:tblW w:w="14097" w:type="dxa"/>
        <w:tblInd w:w="47" w:type="dxa"/>
        <w:tblCellMar>
          <w:left w:w="70" w:type="dxa"/>
          <w:right w:w="70" w:type="dxa"/>
        </w:tblCellMar>
        <w:tblLook w:val="04A0" w:firstRow="1" w:lastRow="0" w:firstColumn="1" w:lastColumn="0" w:noHBand="0" w:noVBand="1"/>
      </w:tblPr>
      <w:tblGrid>
        <w:gridCol w:w="720"/>
        <w:gridCol w:w="644"/>
        <w:gridCol w:w="140"/>
        <w:gridCol w:w="2150"/>
        <w:gridCol w:w="1145"/>
        <w:gridCol w:w="1028"/>
        <w:gridCol w:w="1892"/>
        <w:gridCol w:w="1736"/>
        <w:gridCol w:w="1624"/>
        <w:gridCol w:w="3018"/>
      </w:tblGrid>
      <w:tr w:rsidR="001B7AAD" w:rsidRPr="003B2562" w:rsidTr="00975FB2">
        <w:trPr>
          <w:trHeight w:val="270"/>
        </w:trPr>
        <w:tc>
          <w:tcPr>
            <w:tcW w:w="720"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784" w:type="dxa"/>
            <w:gridSpan w:val="2"/>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2150"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145"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028"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892"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736"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624"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3018"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r>
      <w:tr w:rsidR="001B7AAD" w:rsidRPr="003B2562" w:rsidTr="00975FB2">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1.5</w:t>
            </w:r>
          </w:p>
        </w:tc>
        <w:tc>
          <w:tcPr>
            <w:tcW w:w="784"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150" w:type="dxa"/>
            <w:tcBorders>
              <w:top w:val="single" w:sz="12" w:space="0" w:color="auto"/>
              <w:left w:val="nil"/>
              <w:bottom w:val="single" w:sz="12" w:space="0" w:color="auto"/>
              <w:right w:val="nil"/>
            </w:tcBorders>
            <w:shd w:val="clear" w:color="auto" w:fill="auto"/>
            <w:noWrap/>
            <w:vAlign w:val="bottom"/>
            <w:hideMark/>
          </w:tcPr>
          <w:p w:rsidR="003B2562" w:rsidRPr="003B2562" w:rsidRDefault="003B2562" w:rsidP="00975FB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MSp</w:t>
            </w:r>
          </w:p>
        </w:tc>
        <w:tc>
          <w:tcPr>
            <w:tcW w:w="1892" w:type="dxa"/>
            <w:tcBorders>
              <w:top w:val="single" w:sz="12" w:space="0" w:color="auto"/>
              <w:left w:val="nil"/>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color w:val="000000"/>
                <w:szCs w:val="24"/>
                <w:lang w:eastAsia="cs-CZ"/>
              </w:rPr>
            </w:pPr>
            <w:r w:rsidRPr="003B2562">
              <w:rPr>
                <w:rFonts w:eastAsia="Times New Roman" w:cs="Arial"/>
                <w:color w:val="000000"/>
                <w:szCs w:val="24"/>
                <w:lang w:eastAsia="cs-CZ"/>
              </w:rPr>
              <w:t>spolugesce:</w:t>
            </w:r>
          </w:p>
        </w:tc>
        <w:tc>
          <w:tcPr>
            <w:tcW w:w="1736"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975FB2">
            <w:pPr>
              <w:spacing w:line="240" w:lineRule="auto"/>
              <w:jc w:val="left"/>
              <w:rPr>
                <w:rFonts w:eastAsia="Times New Roman" w:cs="Arial"/>
                <w:color w:val="000000"/>
                <w:szCs w:val="24"/>
                <w:lang w:eastAsia="cs-CZ"/>
              </w:rPr>
            </w:pPr>
            <w:r w:rsidRPr="003B2562">
              <w:rPr>
                <w:rFonts w:eastAsia="Times New Roman" w:cs="Arial"/>
                <w:color w:val="000000"/>
                <w:szCs w:val="24"/>
                <w:lang w:eastAsia="cs-CZ"/>
              </w:rPr>
              <w:t>MPSV, MV</w:t>
            </w:r>
          </w:p>
        </w:tc>
        <w:tc>
          <w:tcPr>
            <w:tcW w:w="1624" w:type="dxa"/>
            <w:tcBorders>
              <w:top w:val="single" w:sz="12" w:space="0" w:color="auto"/>
              <w:left w:val="single" w:sz="12" w:space="0" w:color="auto"/>
              <w:bottom w:val="single" w:sz="12" w:space="0" w:color="auto"/>
            </w:tcBorders>
            <w:shd w:val="clear" w:color="auto" w:fill="auto"/>
            <w:noWrap/>
            <w:vAlign w:val="bottom"/>
            <w:hideMark/>
          </w:tcPr>
          <w:p w:rsidR="003B2562" w:rsidRPr="00975FB2" w:rsidRDefault="00E24D5B" w:rsidP="003B2562">
            <w:pPr>
              <w:spacing w:line="240" w:lineRule="auto"/>
              <w:jc w:val="right"/>
              <w:rPr>
                <w:rFonts w:eastAsia="Times New Roman" w:cs="Arial"/>
                <w:b/>
                <w:color w:val="000000"/>
                <w:szCs w:val="24"/>
                <w:lang w:eastAsia="cs-CZ"/>
              </w:rPr>
            </w:pPr>
            <w:r w:rsidRPr="00975FB2">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E24D5B" w:rsidP="00975FB2">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L</w:t>
            </w:r>
          </w:p>
        </w:tc>
      </w:tr>
      <w:tr w:rsidR="001B7AAD" w:rsidRPr="003B2562" w:rsidTr="00975FB2">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Exekuce</w:t>
            </w:r>
          </w:p>
        </w:tc>
        <w:tc>
          <w:tcPr>
            <w:tcW w:w="2934" w:type="dxa"/>
            <w:gridSpan w:val="3"/>
            <w:tcBorders>
              <w:top w:val="single" w:sz="12" w:space="0" w:color="auto"/>
              <w:left w:val="nil"/>
              <w:righ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nil"/>
              <w:left w:val="nil"/>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3"/>
            <w:tcBorders>
              <w:top w:val="nil"/>
              <w:left w:val="nil"/>
              <w:right w:val="nil"/>
            </w:tcBorders>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12" w:space="0" w:color="auto"/>
              <w:left w:val="nil"/>
              <w:right w:val="nil"/>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left w:val="nil"/>
              <w:right w:val="single" w:sz="4"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1B7AAD">
        <w:trPr>
          <w:trHeight w:val="61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7" w:type="dxa"/>
            <w:gridSpan w:val="9"/>
            <w:tcBorders>
              <w:top w:val="nil"/>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MPSV ve spolupráci s Ministerstvem spravedlnosti a Ministerstvem vnitra navrhne opatření k řešení problematiky exekucí a</w:t>
            </w:r>
            <w:r w:rsidR="00E24D5B">
              <w:rPr>
                <w:rFonts w:eastAsia="Times New Roman" w:cs="Arial"/>
                <w:color w:val="000000"/>
                <w:szCs w:val="24"/>
                <w:lang w:eastAsia="cs-CZ"/>
              </w:rPr>
              <w:t> </w:t>
            </w:r>
            <w:r w:rsidRPr="003B2562">
              <w:rPr>
                <w:rFonts w:eastAsia="Times New Roman" w:cs="Arial"/>
                <w:color w:val="000000"/>
                <w:szCs w:val="24"/>
                <w:lang w:eastAsia="cs-CZ"/>
              </w:rPr>
              <w:t>jejich negativního dopadu na motivaci pracovní síly přijmout zaměstnání jako zdroj obživy.</w:t>
            </w:r>
          </w:p>
        </w:tc>
      </w:tr>
      <w:tr w:rsidR="001B7AAD" w:rsidRPr="003B2562" w:rsidTr="00975FB2">
        <w:trPr>
          <w:trHeight w:val="285"/>
        </w:trPr>
        <w:tc>
          <w:tcPr>
            <w:tcW w:w="720"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4"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1B7AAD"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435" w:type="dxa"/>
            <w:gridSpan w:val="3"/>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3"/>
            <w:tcBorders>
              <w:top w:val="double" w:sz="6" w:space="0" w:color="auto"/>
              <w:left w:val="double" w:sz="6" w:space="0" w:color="auto"/>
              <w:bottom w:val="nil"/>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right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left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1B7AAD">
        <w:trPr>
          <w:trHeight w:val="912"/>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4"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33" w:type="dxa"/>
            <w:gridSpan w:val="8"/>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rámci projektů OP Z a činnosti ÚP ČR je podporováno dluhové poradenství a finanční gramotnost s cílem předcházet zadlužení znevýhodněných osob.</w:t>
            </w:r>
          </w:p>
        </w:tc>
      </w:tr>
      <w:tr w:rsidR="003B2562" w:rsidRPr="003B2562" w:rsidTr="001B7AAD">
        <w:trPr>
          <w:trHeight w:val="180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644"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733" w:type="dxa"/>
            <w:gridSpan w:val="8"/>
            <w:tcBorders>
              <w:top w:val="single" w:sz="4" w:space="0" w:color="auto"/>
              <w:left w:val="nil"/>
              <w:bottom w:val="single" w:sz="8" w:space="0" w:color="auto"/>
              <w:right w:val="single" w:sz="8" w:space="0" w:color="000000"/>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rámci projektů OPZ a činnosti ÚP ČR je podporováno dluhové poradenství a finanční gramotnost s cílem předcházet zadlužení znevýhodněných osob, a to v rámci skupinového i individuálního poradenství. Prostřednictvím projektu VDTP II (vzdělávání a dovednosti pro trh práce) je</w:t>
            </w:r>
            <w:r w:rsidR="00E24D5B">
              <w:rPr>
                <w:rFonts w:eastAsia="Times New Roman" w:cs="Arial"/>
                <w:color w:val="000000"/>
                <w:szCs w:val="24"/>
                <w:lang w:eastAsia="cs-CZ"/>
              </w:rPr>
              <w:t>,</w:t>
            </w:r>
            <w:r w:rsidRPr="003B2562">
              <w:rPr>
                <w:rFonts w:eastAsia="Times New Roman" w:cs="Arial"/>
                <w:color w:val="000000"/>
                <w:szCs w:val="24"/>
                <w:lang w:eastAsia="cs-CZ"/>
              </w:rPr>
              <w:t xml:space="preserve"> navzdory předcházení zadlužení znevýhodněných osob, podporováno také řešení vzniklých problematických situací – např. využití nástrojů splátkového kalendáře či oznámení osobních bankrotů. Zároveň ÚP ČR participuje (v roli partnera projektu) na realizaci projektů FDV (Prokop-východ, Prokop-central), které jsou zaměřené na občanskou a finanční gramotnost. GŘ ÚP ČR v rámci opatření ke standardizaci činností ÚP ČR, KrP a KoP uložilo pro útvary zprostředkování KoP zavedení do své praxe realizaci spolupráce s občanskými poradnami na všech KoP - pro UoZ s dluhy a exekucemi.</w:t>
            </w:r>
          </w:p>
        </w:tc>
      </w:tr>
    </w:tbl>
    <w:p w:rsidR="001B7AAD" w:rsidRDefault="001B7AAD">
      <w:r>
        <w:br w:type="page"/>
      </w:r>
    </w:p>
    <w:tbl>
      <w:tblPr>
        <w:tblW w:w="14097" w:type="dxa"/>
        <w:tblInd w:w="47" w:type="dxa"/>
        <w:tblCellMar>
          <w:left w:w="70" w:type="dxa"/>
          <w:right w:w="70" w:type="dxa"/>
        </w:tblCellMar>
        <w:tblLook w:val="04A0" w:firstRow="1" w:lastRow="0" w:firstColumn="1" w:lastColumn="0" w:noHBand="0" w:noVBand="1"/>
      </w:tblPr>
      <w:tblGrid>
        <w:gridCol w:w="720"/>
        <w:gridCol w:w="644"/>
        <w:gridCol w:w="77"/>
        <w:gridCol w:w="2213"/>
        <w:gridCol w:w="1145"/>
        <w:gridCol w:w="1028"/>
        <w:gridCol w:w="1892"/>
        <w:gridCol w:w="1736"/>
        <w:gridCol w:w="1624"/>
        <w:gridCol w:w="3018"/>
      </w:tblGrid>
      <w:tr w:rsidR="001B7AAD" w:rsidRPr="003B2562" w:rsidTr="00975FB2">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1.6a</w:t>
            </w:r>
          </w:p>
        </w:tc>
        <w:tc>
          <w:tcPr>
            <w:tcW w:w="644" w:type="dxa"/>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290" w:type="dxa"/>
            <w:gridSpan w:val="2"/>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2016/2017</w:t>
            </w:r>
          </w:p>
        </w:tc>
        <w:tc>
          <w:tcPr>
            <w:tcW w:w="1145" w:type="dxa"/>
            <w:tcBorders>
              <w:top w:val="single" w:sz="12" w:space="0" w:color="auto"/>
              <w:left w:val="single" w:sz="12" w:space="0" w:color="auto"/>
              <w:bottom w:val="single" w:sz="12" w:space="0" w:color="auto"/>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892" w:type="dxa"/>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736" w:type="dxa"/>
            <w:tcBorders>
              <w:top w:val="single" w:sz="8" w:space="0" w:color="auto"/>
              <w:righ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3B2562" w:rsidRPr="00975FB2" w:rsidRDefault="001B7AAD" w:rsidP="003B2562">
            <w:pPr>
              <w:spacing w:line="240" w:lineRule="auto"/>
              <w:jc w:val="right"/>
              <w:rPr>
                <w:rFonts w:eastAsia="Times New Roman" w:cs="Arial"/>
                <w:b/>
                <w:color w:val="000000"/>
                <w:szCs w:val="24"/>
                <w:lang w:eastAsia="cs-CZ"/>
              </w:rPr>
            </w:pPr>
            <w:r w:rsidRPr="00975FB2">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3B2562" w:rsidRPr="00CA549F" w:rsidRDefault="001B7AAD" w:rsidP="001B7AAD">
            <w:pPr>
              <w:spacing w:line="240" w:lineRule="auto"/>
              <w:jc w:val="left"/>
              <w:rPr>
                <w:rFonts w:eastAsia="Times New Roman" w:cs="Arial"/>
                <w:b/>
                <w:bCs/>
                <w:color w:val="000000"/>
                <w:szCs w:val="24"/>
                <w:lang w:eastAsia="cs-CZ"/>
              </w:rPr>
            </w:pPr>
            <w:r w:rsidRPr="00CA549F">
              <w:rPr>
                <w:rFonts w:eastAsia="Times New Roman" w:cs="Arial"/>
                <w:b/>
                <w:bCs/>
                <w:color w:val="000000"/>
                <w:szCs w:val="24"/>
                <w:lang w:eastAsia="cs-CZ"/>
              </w:rPr>
              <w:t>L</w:t>
            </w:r>
          </w:p>
        </w:tc>
      </w:tr>
      <w:tr w:rsidR="001B7AAD" w:rsidRPr="003B2562" w:rsidTr="00975FB2">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Podpora flexibilního zaměstnávání</w:t>
            </w:r>
          </w:p>
        </w:tc>
        <w:tc>
          <w:tcPr>
            <w:tcW w:w="2934" w:type="dxa"/>
            <w:gridSpan w:val="3"/>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3"/>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1B7AAD">
        <w:trPr>
          <w:trHeight w:val="28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7" w:type="dxa"/>
            <w:gridSpan w:val="9"/>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Odstraňování bariér (objektivních i subjektivních) bránících využívání flexibilního zaměstnávání, které svojí povahou nebude zaměstnáváním prekérním.</w:t>
            </w:r>
          </w:p>
        </w:tc>
      </w:tr>
      <w:tr w:rsidR="001B7AAD" w:rsidRPr="003B2562" w:rsidTr="001B7AAD">
        <w:trPr>
          <w:trHeight w:val="28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1" w:type="dxa"/>
            <w:gridSpan w:val="2"/>
            <w:tcBorders>
              <w:top w:val="double" w:sz="6" w:space="0" w:color="auto"/>
              <w:left w:val="single" w:sz="12" w:space="0" w:color="auto"/>
              <w:bottom w:val="double" w:sz="6" w:space="0" w:color="auto"/>
            </w:tcBorders>
            <w:shd w:val="clear" w:color="000000" w:fill="F2DCDB"/>
            <w:noWrap/>
            <w:vAlign w:val="bottom"/>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358" w:type="dxa"/>
            <w:gridSpan w:val="2"/>
            <w:tcBorders>
              <w:top w:val="double" w:sz="6" w:space="0" w:color="auto"/>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1B7AAD">
        <w:trPr>
          <w:trHeight w:val="111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1" w:type="dxa"/>
            <w:gridSpan w:val="2"/>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656" w:type="dxa"/>
            <w:gridSpan w:val="7"/>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Návrh novely zákona č. 262/2006 Sb., zákoníku práce, ve znění pozdějších předpisů, sněmovní tisk č. 903 se k datu 31. 12. 2016 nacházel před 2. čtením v PS PČR. Zkrácené pracovní úvazky pro uchazeče o zaměstnání jsou podporovány prostřednictvím parametrického nastavení některých nástrojů APZ (VPP, SÚPM). Podle údajů VŠPS bylo v roce 2016 zaměstnáno na kratší pracovní dobu 6,73 % zaměstnaných (11,15 % zaměstnaných žen).</w:t>
            </w:r>
          </w:p>
        </w:tc>
      </w:tr>
      <w:tr w:rsidR="003B2562" w:rsidRPr="003B2562" w:rsidTr="001B7AAD">
        <w:trPr>
          <w:trHeight w:val="138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1"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656" w:type="dxa"/>
            <w:gridSpan w:val="7"/>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1B7AAD">
            <w:pPr>
              <w:spacing w:line="240" w:lineRule="auto"/>
              <w:rPr>
                <w:rFonts w:eastAsia="Times New Roman" w:cs="Arial"/>
                <w:color w:val="000000"/>
                <w:szCs w:val="24"/>
                <w:lang w:eastAsia="cs-CZ"/>
              </w:rPr>
            </w:pPr>
            <w:r w:rsidRPr="003B2562">
              <w:rPr>
                <w:rFonts w:eastAsia="Times New Roman" w:cs="Arial"/>
                <w:color w:val="000000"/>
                <w:szCs w:val="24"/>
                <w:lang w:eastAsia="cs-CZ"/>
              </w:rPr>
              <w:t>V rámci nástrojů APZ je podporováno vytváření zkrácených pracovních úvazků a to formou zvýšeného mzdového příspěvku v případě, kdy zaměstnavatel na jednom pracovním místě zaměs</w:t>
            </w:r>
            <w:r w:rsidR="001B7AAD">
              <w:rPr>
                <w:rFonts w:eastAsia="Times New Roman" w:cs="Arial"/>
                <w:color w:val="000000"/>
                <w:szCs w:val="24"/>
                <w:lang w:eastAsia="cs-CZ"/>
              </w:rPr>
              <w:t>tná na místo jednoho uchazeče o </w:t>
            </w:r>
            <w:r w:rsidRPr="003B2562">
              <w:rPr>
                <w:rFonts w:eastAsia="Times New Roman" w:cs="Arial"/>
                <w:color w:val="000000"/>
                <w:szCs w:val="24"/>
                <w:lang w:eastAsia="cs-CZ"/>
              </w:rPr>
              <w:t>zaměstnání na plný úvazek dva uchazeče o zaměstnání na kratší pracovní dobu.</w:t>
            </w:r>
            <w:r w:rsidR="001B7AAD">
              <w:rPr>
                <w:rFonts w:eastAsia="Times New Roman" w:cs="Arial"/>
                <w:color w:val="000000"/>
                <w:szCs w:val="24"/>
                <w:lang w:eastAsia="cs-CZ"/>
              </w:rPr>
              <w:t xml:space="preserve"> </w:t>
            </w:r>
            <w:r w:rsidRPr="003B2562">
              <w:rPr>
                <w:rFonts w:eastAsia="Times New Roman" w:cs="Arial"/>
                <w:color w:val="000000"/>
                <w:szCs w:val="24"/>
                <w:lang w:eastAsia="cs-CZ"/>
              </w:rPr>
              <w:t>Projednávání návrhu novely zákoníku práce (sněmovní tisk č. 903) bylo na 57. schůzi přerušeno usnesením č. 1701 ze dne 7. 6. 2017.</w:t>
            </w:r>
          </w:p>
        </w:tc>
      </w:tr>
      <w:tr w:rsidR="001B7AAD" w:rsidRPr="003B2562" w:rsidTr="00975FB2">
        <w:trPr>
          <w:trHeight w:val="270"/>
        </w:trPr>
        <w:tc>
          <w:tcPr>
            <w:tcW w:w="720"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721" w:type="dxa"/>
            <w:gridSpan w:val="2"/>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2213"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145"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028"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892" w:type="dxa"/>
            <w:tcBorders>
              <w:top w:val="nil"/>
              <w:left w:val="nil"/>
              <w:bottom w:val="single" w:sz="8"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736" w:type="dxa"/>
            <w:tcBorders>
              <w:top w:val="nil"/>
              <w:left w:val="nil"/>
              <w:bottom w:val="single" w:sz="8"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624"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3018"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r>
      <w:tr w:rsidR="001B7AAD" w:rsidRPr="003B2562" w:rsidTr="00975FB2">
        <w:trPr>
          <w:trHeight w:val="285"/>
        </w:trPr>
        <w:tc>
          <w:tcPr>
            <w:tcW w:w="720" w:type="dxa"/>
            <w:tcBorders>
              <w:top w:val="single" w:sz="8" w:space="0" w:color="auto"/>
              <w:left w:val="single" w:sz="8" w:space="0" w:color="auto"/>
              <w:bottom w:val="single" w:sz="4" w:space="0" w:color="auto"/>
              <w:right w:val="single" w:sz="12" w:space="0" w:color="auto"/>
            </w:tcBorders>
            <w:shd w:val="clear" w:color="000000" w:fill="DCE6F1"/>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1.6b</w:t>
            </w:r>
          </w:p>
        </w:tc>
        <w:tc>
          <w:tcPr>
            <w:tcW w:w="721"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213" w:type="dxa"/>
            <w:tcBorders>
              <w:top w:val="single" w:sz="12" w:space="0" w:color="auto"/>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2016/2017</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3B2562" w:rsidRPr="003B2562" w:rsidRDefault="003B256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1892" w:type="dxa"/>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736" w:type="dxa"/>
            <w:tcBorders>
              <w:top w:val="single" w:sz="8" w:space="0" w:color="auto"/>
              <w:right w:val="single" w:sz="12" w:space="0" w:color="auto"/>
            </w:tcBorders>
            <w:shd w:val="clear" w:color="auto" w:fill="auto"/>
            <w:noWrap/>
            <w:vAlign w:val="bottom"/>
          </w:tcPr>
          <w:p w:rsidR="003B2562" w:rsidRPr="003B2562" w:rsidRDefault="003B2562" w:rsidP="003B2562">
            <w:pPr>
              <w:spacing w:line="240" w:lineRule="auto"/>
              <w:jc w:val="right"/>
              <w:rPr>
                <w:rFonts w:eastAsia="Times New Roman" w:cs="Arial"/>
                <w:color w:val="00000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3B2562" w:rsidRPr="00975FB2" w:rsidRDefault="001B7AAD" w:rsidP="003B2562">
            <w:pPr>
              <w:spacing w:line="240" w:lineRule="auto"/>
              <w:jc w:val="right"/>
              <w:rPr>
                <w:rFonts w:eastAsia="Times New Roman" w:cs="Arial"/>
                <w:b/>
                <w:color w:val="000000"/>
                <w:szCs w:val="24"/>
                <w:lang w:eastAsia="cs-CZ"/>
              </w:rPr>
            </w:pPr>
            <w:r w:rsidRPr="00975FB2">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3B2562" w:rsidRPr="003B2562" w:rsidRDefault="001B7AAD" w:rsidP="001B7AAD">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L</w:t>
            </w:r>
          </w:p>
        </w:tc>
      </w:tr>
      <w:tr w:rsidR="001B7AAD" w:rsidRPr="003B2562" w:rsidTr="00975FB2">
        <w:trPr>
          <w:trHeight w:val="285"/>
        </w:trPr>
        <w:tc>
          <w:tcPr>
            <w:tcW w:w="720" w:type="dxa"/>
            <w:vMerge w:val="restart"/>
            <w:tcBorders>
              <w:top w:val="nil"/>
              <w:left w:val="single" w:sz="8" w:space="0" w:color="auto"/>
              <w:bottom w:val="single" w:sz="8" w:space="0" w:color="000000"/>
              <w:right w:val="single" w:sz="8" w:space="0" w:color="auto"/>
            </w:tcBorders>
            <w:shd w:val="clear" w:color="000000" w:fill="DCE6F1"/>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Agenturní zaměstnávání</w:t>
            </w:r>
          </w:p>
        </w:tc>
        <w:tc>
          <w:tcPr>
            <w:tcW w:w="2934" w:type="dxa"/>
            <w:gridSpan w:val="3"/>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3"/>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57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7" w:type="dxa"/>
            <w:gridSpan w:val="9"/>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MPSV provede revizi systému agenturního zaměstnávání, zejména v rámci zákona o zaměstnanosti s cílem zvýšit jistotu na trhu práce zaměstnanců agentur práce dočasně přidělovaných k uživatelům.</w:t>
            </w:r>
          </w:p>
        </w:tc>
      </w:tr>
      <w:tr w:rsidR="001B7AAD" w:rsidRPr="003B2562" w:rsidTr="001B7AAD">
        <w:trPr>
          <w:trHeight w:val="285"/>
        </w:trPr>
        <w:tc>
          <w:tcPr>
            <w:tcW w:w="720"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1" w:type="dxa"/>
            <w:gridSpan w:val="2"/>
            <w:tcBorders>
              <w:top w:val="double" w:sz="6" w:space="0" w:color="auto"/>
              <w:left w:val="double" w:sz="6" w:space="0" w:color="auto"/>
              <w:bottom w:val="double" w:sz="6" w:space="0" w:color="auto"/>
              <w:right w:val="nil"/>
            </w:tcBorders>
            <w:shd w:val="clear" w:color="000000" w:fill="00B050"/>
            <w:noWrap/>
            <w:vAlign w:val="bottom"/>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358" w:type="dxa"/>
            <w:gridSpan w:val="2"/>
            <w:tcBorders>
              <w:top w:val="double" w:sz="6" w:space="0" w:color="auto"/>
              <w:left w:val="nil"/>
              <w:bottom w:val="double" w:sz="6" w:space="0" w:color="auto"/>
              <w:right w:val="double" w:sz="6" w:space="0" w:color="auto"/>
            </w:tcBorders>
            <w:shd w:val="clear" w:color="000000" w:fill="00B050"/>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Splněno</w:t>
            </w:r>
          </w:p>
        </w:tc>
        <w:tc>
          <w:tcPr>
            <w:tcW w:w="4656"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1B7AAD">
        <w:trPr>
          <w:trHeight w:val="825"/>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1" w:type="dxa"/>
            <w:gridSpan w:val="2"/>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656" w:type="dxa"/>
            <w:gridSpan w:val="7"/>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Návrh novely zákona byl rozeslán poslancům jako tisk 911/0 dne 16. 9. 2016. První čtení proběhlo dne 2. 12. 2016, přičemž předmětný návrh byl přikázán k projednání výboru pro sociální politiku jako výboru garančnímu.</w:t>
            </w:r>
          </w:p>
        </w:tc>
      </w:tr>
      <w:tr w:rsidR="003B2562" w:rsidRPr="003B2562" w:rsidTr="001B7AAD">
        <w:trPr>
          <w:trHeight w:val="1650"/>
        </w:trPr>
        <w:tc>
          <w:tcPr>
            <w:tcW w:w="720"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1"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sledované</w:t>
            </w:r>
          </w:p>
        </w:tc>
        <w:tc>
          <w:tcPr>
            <w:tcW w:w="12656" w:type="dxa"/>
            <w:gridSpan w:val="7"/>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Uveřejněno ve Sbírce zákonů jako zákon č. 206/2017 Sb., kterým se mění zákon č. 435/2004 Sb., o zaměstnanosti, ve znění pozdějších předpisů, a další související zákony.</w:t>
            </w:r>
          </w:p>
        </w:tc>
      </w:tr>
    </w:tbl>
    <w:p w:rsidR="001B7AAD" w:rsidRDefault="001B7AAD" w:rsidP="001B7AAD">
      <w:pPr>
        <w:tabs>
          <w:tab w:val="left" w:pos="3315"/>
        </w:tabs>
      </w:pPr>
      <w:r>
        <w:br w:type="page"/>
      </w:r>
    </w:p>
    <w:tbl>
      <w:tblPr>
        <w:tblW w:w="14097" w:type="dxa"/>
        <w:tblInd w:w="47" w:type="dxa"/>
        <w:tblCellMar>
          <w:left w:w="70" w:type="dxa"/>
          <w:right w:w="70" w:type="dxa"/>
        </w:tblCellMar>
        <w:tblLook w:val="04A0" w:firstRow="1" w:lastRow="0" w:firstColumn="1" w:lastColumn="0" w:noHBand="0" w:noVBand="1"/>
      </w:tblPr>
      <w:tblGrid>
        <w:gridCol w:w="719"/>
        <w:gridCol w:w="722"/>
        <w:gridCol w:w="531"/>
        <w:gridCol w:w="1682"/>
        <w:gridCol w:w="1145"/>
        <w:gridCol w:w="1028"/>
        <w:gridCol w:w="1892"/>
        <w:gridCol w:w="1736"/>
        <w:gridCol w:w="1624"/>
        <w:gridCol w:w="3018"/>
      </w:tblGrid>
      <w:tr w:rsidR="001B7AAD" w:rsidRPr="003B2562" w:rsidTr="007B1CD8">
        <w:trPr>
          <w:trHeight w:val="270"/>
        </w:trPr>
        <w:tc>
          <w:tcPr>
            <w:tcW w:w="719"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253" w:type="dxa"/>
            <w:gridSpan w:val="2"/>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682"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145"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028"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892"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736"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624"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3018"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r>
      <w:tr w:rsidR="003B2562" w:rsidRPr="003B2562" w:rsidTr="007B1CD8">
        <w:trPr>
          <w:trHeight w:val="330"/>
        </w:trPr>
        <w:tc>
          <w:tcPr>
            <w:tcW w:w="719" w:type="dxa"/>
            <w:tcBorders>
              <w:top w:val="double" w:sz="6" w:space="0" w:color="auto"/>
              <w:left w:val="double" w:sz="6" w:space="0" w:color="auto"/>
              <w:bottom w:val="double" w:sz="6" w:space="0" w:color="auto"/>
              <w:right w:val="nil"/>
            </w:tcBorders>
            <w:shd w:val="clear" w:color="000000" w:fill="C4D79B"/>
            <w:noWrap/>
            <w:vAlign w:val="center"/>
            <w:hideMark/>
          </w:tcPr>
          <w:p w:rsidR="003B2562" w:rsidRPr="003B2562" w:rsidRDefault="003B2562" w:rsidP="003B2562">
            <w:pPr>
              <w:spacing w:line="240" w:lineRule="auto"/>
              <w:jc w:val="center"/>
              <w:rPr>
                <w:rFonts w:eastAsia="Times New Roman" w:cs="Arial"/>
                <w:b/>
                <w:bCs/>
                <w:color w:val="000000"/>
                <w:szCs w:val="24"/>
                <w:lang w:eastAsia="cs-CZ"/>
              </w:rPr>
            </w:pPr>
          </w:p>
        </w:tc>
        <w:tc>
          <w:tcPr>
            <w:tcW w:w="13378" w:type="dxa"/>
            <w:gridSpan w:val="9"/>
            <w:tcBorders>
              <w:top w:val="double" w:sz="6" w:space="0" w:color="auto"/>
              <w:left w:val="nil"/>
              <w:bottom w:val="double" w:sz="6" w:space="0" w:color="auto"/>
              <w:right w:val="double" w:sz="6" w:space="0" w:color="000000"/>
            </w:tcBorders>
            <w:shd w:val="clear" w:color="000000" w:fill="C4D79B"/>
            <w:vAlign w:val="center"/>
            <w:hideMark/>
          </w:tcPr>
          <w:p w:rsidR="003B2562" w:rsidRPr="003B2562" w:rsidRDefault="000F62D5" w:rsidP="00FF4B45">
            <w:pPr>
              <w:pStyle w:val="Nadpis2"/>
              <w:numPr>
                <w:ilvl w:val="0"/>
                <w:numId w:val="0"/>
              </w:numPr>
              <w:rPr>
                <w:rFonts w:eastAsia="Times New Roman"/>
                <w:lang w:eastAsia="cs-CZ"/>
              </w:rPr>
            </w:pPr>
            <w:bookmarkStart w:id="102" w:name="_Toc492628607"/>
            <w:r>
              <w:rPr>
                <w:rFonts w:eastAsia="Times New Roman"/>
                <w:lang w:eastAsia="cs-CZ"/>
              </w:rPr>
              <w:t>Sk. 2 Motivace</w:t>
            </w:r>
            <w:r w:rsidR="003B2562" w:rsidRPr="003B2562">
              <w:rPr>
                <w:rFonts w:eastAsia="Times New Roman"/>
                <w:lang w:eastAsia="cs-CZ"/>
              </w:rPr>
              <w:t xml:space="preserve"> zaměstnavatelů zaměstnávat znevýhodněné skupiny osob (intenzivní využití dostupné pracovní síly)</w:t>
            </w:r>
            <w:bookmarkEnd w:id="102"/>
          </w:p>
        </w:tc>
      </w:tr>
      <w:tr w:rsidR="001B7AAD" w:rsidRPr="003B2562" w:rsidTr="00975FB2">
        <w:trPr>
          <w:trHeight w:val="285"/>
        </w:trPr>
        <w:tc>
          <w:tcPr>
            <w:tcW w:w="719" w:type="dxa"/>
            <w:tcBorders>
              <w:top w:val="single" w:sz="8" w:space="0" w:color="auto"/>
              <w:left w:val="single" w:sz="8" w:space="0" w:color="auto"/>
              <w:bottom w:val="single" w:sz="4" w:space="0" w:color="auto"/>
              <w:right w:val="single" w:sz="12" w:space="0" w:color="auto"/>
            </w:tcBorders>
            <w:shd w:val="clear" w:color="000000" w:fill="EBF1DE"/>
            <w:noWrap/>
            <w:vAlign w:val="bottom"/>
            <w:hideMark/>
          </w:tcPr>
          <w:p w:rsidR="001B7AAD" w:rsidRPr="003B2562" w:rsidRDefault="001B7AAD"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2.1</w:t>
            </w:r>
          </w:p>
        </w:tc>
        <w:tc>
          <w:tcPr>
            <w:tcW w:w="1253" w:type="dxa"/>
            <w:gridSpan w:val="2"/>
            <w:tcBorders>
              <w:top w:val="single" w:sz="8" w:space="0" w:color="auto"/>
              <w:left w:val="single" w:sz="12" w:space="0" w:color="auto"/>
              <w:bottom w:val="single" w:sz="12" w:space="0" w:color="auto"/>
              <w:right w:val="nil"/>
            </w:tcBorders>
            <w:shd w:val="clear" w:color="auto" w:fill="auto"/>
            <w:noWrap/>
            <w:vAlign w:val="bottom"/>
            <w:hideMark/>
          </w:tcPr>
          <w:p w:rsidR="001B7AAD" w:rsidRPr="003B2562" w:rsidRDefault="001B7AAD"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1B7AAD" w:rsidRPr="003B2562" w:rsidRDefault="001B7AAD" w:rsidP="001B7AAD">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1B7AAD" w:rsidRPr="003B2562" w:rsidRDefault="001B7AAD"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1B7AAD" w:rsidRPr="003B2562" w:rsidRDefault="001B7AAD"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gridSpan w:val="2"/>
            <w:tcBorders>
              <w:top w:val="single" w:sz="8" w:space="0" w:color="auto"/>
              <w:left w:val="nil"/>
              <w:right w:val="single" w:sz="12" w:space="0" w:color="auto"/>
            </w:tcBorders>
            <w:shd w:val="clear" w:color="auto" w:fill="auto"/>
            <w:noWrap/>
            <w:vAlign w:val="bottom"/>
          </w:tcPr>
          <w:p w:rsidR="001B7AAD" w:rsidRPr="003B2562" w:rsidRDefault="001B7AAD" w:rsidP="003B2562">
            <w:pPr>
              <w:spacing w:line="240" w:lineRule="auto"/>
              <w:jc w:val="right"/>
              <w:rPr>
                <w:rFonts w:eastAsia="Times New Roman" w:cs="Arial"/>
                <w:color w:val="00000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1B7AAD" w:rsidRPr="001B7AAD" w:rsidRDefault="001B7AAD"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1B7AAD" w:rsidRPr="001B7AAD" w:rsidRDefault="00A7437E" w:rsidP="001B7AAD">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N</w:t>
            </w:r>
          </w:p>
        </w:tc>
      </w:tr>
      <w:tr w:rsidR="001B7AAD" w:rsidRPr="003B2562" w:rsidTr="00975FB2">
        <w:trPr>
          <w:trHeight w:val="285"/>
        </w:trPr>
        <w:tc>
          <w:tcPr>
            <w:tcW w:w="719" w:type="dxa"/>
            <w:vMerge w:val="restart"/>
            <w:tcBorders>
              <w:top w:val="nil"/>
              <w:left w:val="single" w:sz="8" w:space="0" w:color="auto"/>
              <w:bottom w:val="single" w:sz="8" w:space="0" w:color="000000"/>
              <w:right w:val="single" w:sz="8" w:space="0" w:color="auto"/>
            </w:tcBorders>
            <w:shd w:val="clear" w:color="000000" w:fill="EBF1DE"/>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Cílené poskytování příspěvků APZ</w:t>
            </w:r>
          </w:p>
        </w:tc>
        <w:tc>
          <w:tcPr>
            <w:tcW w:w="2935" w:type="dxa"/>
            <w:gridSpan w:val="3"/>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3"/>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7B1CD8">
        <w:trPr>
          <w:trHeight w:val="1455"/>
        </w:trPr>
        <w:tc>
          <w:tcPr>
            <w:tcW w:w="719"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8" w:type="dxa"/>
            <w:gridSpan w:val="9"/>
            <w:tcBorders>
              <w:left w:val="nil"/>
              <w:bottom w:val="double" w:sz="6" w:space="0" w:color="auto"/>
              <w:right w:val="single" w:sz="8" w:space="0" w:color="000000"/>
            </w:tcBorders>
            <w:shd w:val="clear" w:color="auto" w:fill="auto"/>
            <w:hideMark/>
          </w:tcPr>
          <w:p w:rsidR="003B2562" w:rsidRPr="003B2562" w:rsidRDefault="003B2562" w:rsidP="007B1CD8">
            <w:pPr>
              <w:spacing w:line="240" w:lineRule="auto"/>
              <w:rPr>
                <w:rFonts w:eastAsia="Times New Roman" w:cs="Arial"/>
                <w:color w:val="000000"/>
                <w:szCs w:val="24"/>
                <w:lang w:eastAsia="cs-CZ"/>
              </w:rPr>
            </w:pPr>
            <w:r w:rsidRPr="003B2562">
              <w:rPr>
                <w:rFonts w:eastAsia="Times New Roman" w:cs="Arial"/>
                <w:color w:val="000000"/>
                <w:szCs w:val="24"/>
                <w:lang w:eastAsia="cs-CZ"/>
              </w:rPr>
              <w:t>Významně eliminovat tzv. „cream-off effect“ u nástrojů APZ – tzn. při poskytování příspěvků zaměstnavatelům na podporu zaměstnanosti uchazečů o zaměstnání cíleně reflektovat míru znevýhodnění uchazeče o zaměstnání na trhu práce. APZ využívat k motivaci zaměstnavatelů zaměstnávat nejvíce znevýhodněné skupiny osob (dlouhodobě nezaměstnané, kumulace hendikepů).</w:t>
            </w:r>
            <w:r w:rsidR="007B1CD8">
              <w:rPr>
                <w:rFonts w:eastAsia="Times New Roman" w:cs="Arial"/>
                <w:color w:val="000000"/>
                <w:szCs w:val="24"/>
                <w:lang w:eastAsia="cs-CZ"/>
              </w:rPr>
              <w:t xml:space="preserve"> </w:t>
            </w:r>
            <w:r w:rsidRPr="003B2562">
              <w:rPr>
                <w:rFonts w:eastAsia="Times New Roman" w:cs="Arial"/>
                <w:color w:val="000000"/>
                <w:szCs w:val="24"/>
                <w:lang w:eastAsia="cs-CZ"/>
              </w:rPr>
              <w:t>Zvýšený zájem zaměstnavatelů o nové zaměstnance vytváří prostor, resp. šanci pro pracovní uplatnění uchazečů o zaměstnání, kteří pro svůj zdravotní stav, věk, péči o dítě nebo z jiných vážných důvodů mají zhoršené uplatnění na trhu práce a potřebují zvýšenou péči při zprostředkování zaměstnání.</w:t>
            </w:r>
          </w:p>
        </w:tc>
      </w:tr>
      <w:tr w:rsidR="001B7AAD" w:rsidRPr="003B2562" w:rsidTr="007B1CD8">
        <w:trPr>
          <w:trHeight w:val="285"/>
        </w:trPr>
        <w:tc>
          <w:tcPr>
            <w:tcW w:w="719"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2" w:type="dxa"/>
            <w:tcBorders>
              <w:top w:val="double" w:sz="6" w:space="0" w:color="auto"/>
              <w:left w:val="double" w:sz="6" w:space="0" w:color="auto"/>
              <w:bottom w:val="double" w:sz="6" w:space="0" w:color="auto"/>
              <w:right w:val="nil"/>
            </w:tcBorders>
            <w:shd w:val="clear" w:color="000000" w:fill="D8E4BC"/>
            <w:noWrap/>
            <w:vAlign w:val="bottom"/>
            <w:hideMark/>
          </w:tcPr>
          <w:p w:rsidR="003B2562" w:rsidRPr="003B2562" w:rsidRDefault="007B1CD8"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358" w:type="dxa"/>
            <w:gridSpan w:val="3"/>
            <w:tcBorders>
              <w:top w:val="double" w:sz="6" w:space="0" w:color="auto"/>
              <w:left w:val="nil"/>
              <w:bottom w:val="double" w:sz="6" w:space="0" w:color="auto"/>
              <w:right w:val="double" w:sz="6" w:space="0" w:color="auto"/>
            </w:tcBorders>
            <w:shd w:val="clear" w:color="000000" w:fill="D8E4BC"/>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 plněno</w:t>
            </w:r>
          </w:p>
        </w:tc>
        <w:tc>
          <w:tcPr>
            <w:tcW w:w="4656"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7B1CD8">
        <w:trPr>
          <w:trHeight w:val="2175"/>
        </w:trPr>
        <w:tc>
          <w:tcPr>
            <w:tcW w:w="719"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2"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656" w:type="dxa"/>
            <w:gridSpan w:val="8"/>
            <w:vMerge w:val="restart"/>
            <w:tcBorders>
              <w:top w:val="nil"/>
              <w:left w:val="single" w:sz="4" w:space="0" w:color="auto"/>
              <w:bottom w:val="single" w:sz="4" w:space="0" w:color="000000"/>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Nástroje a opatření APZ pomáhají v návratu na trh práce osobám, které by se vzhledem ke svému věku, vzdělání, zdravotnímu omezení či jinému znevýhodnění stěží uplatnily na trhu práce. APZ slouží rovněž jako prevence proti sociálnímu vyloučení. ÚP ČR motivuje zaměstnavatele k přijímání mladých do 30 let věku a osob starší 50 let věku. Ce</w:t>
            </w:r>
            <w:r w:rsidR="00931EB7">
              <w:rPr>
                <w:rFonts w:eastAsia="Times New Roman" w:cs="Arial"/>
                <w:color w:val="000000"/>
                <w:szCs w:val="24"/>
                <w:lang w:eastAsia="cs-CZ"/>
              </w:rPr>
              <w:t>l</w:t>
            </w:r>
            <w:r w:rsidRPr="003B2562">
              <w:rPr>
                <w:rFonts w:eastAsia="Times New Roman" w:cs="Arial"/>
                <w:color w:val="000000"/>
                <w:szCs w:val="24"/>
                <w:lang w:eastAsia="cs-CZ"/>
              </w:rPr>
              <w:t>kem bylo v roce 2016 vytvořeno 21 137 míst VPP pro 22 608 UoZ a vyhrazeno 25 244 SÚPM. Příspěvek na zřízení SÚPM, včetně SÚPM-SVČ, byl v roce 2016 poskytnut na vybavení 1 964 pracovních míst pro UoZ. Na zkrácený úvazek bylo prostřednictvím APZ umístěno celkem 3 233 UoZ. Nadále jsou nástroji APZ přednostně podporováni UoZ dlouhodobě nezaměstnaní či uchazeči o zaměstnání s výraznými hendikepy na trhu práce. Počátkem roku 2017 byla zahájena realizace projektu Vyhodnocování účinnosti a efektivity realizace APZ, který je realizován Výzkumným ústavem práce a sociálních věcí. Cílem opatření je poskytnout relevantní informace o</w:t>
            </w:r>
            <w:r w:rsidR="00E30CCE">
              <w:rPr>
                <w:rFonts w:eastAsia="Times New Roman" w:cs="Arial"/>
                <w:color w:val="000000"/>
                <w:szCs w:val="24"/>
                <w:lang w:eastAsia="cs-CZ"/>
              </w:rPr>
              <w:t> </w:t>
            </w:r>
            <w:r w:rsidRPr="003B2562">
              <w:rPr>
                <w:rFonts w:eastAsia="Times New Roman" w:cs="Arial"/>
                <w:color w:val="000000"/>
                <w:szCs w:val="24"/>
                <w:lang w:eastAsia="cs-CZ"/>
              </w:rPr>
              <w:t>účinnosti nástrojů APZ pro jednotlivé skupiny podporovaných osob a zabezpečení průběžných informací o účincích APZ na trh práce.</w:t>
            </w:r>
          </w:p>
        </w:tc>
      </w:tr>
      <w:tr w:rsidR="003B2562" w:rsidRPr="003B2562" w:rsidTr="00A7437E">
        <w:trPr>
          <w:trHeight w:val="276"/>
        </w:trPr>
        <w:tc>
          <w:tcPr>
            <w:tcW w:w="719"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2" w:type="dxa"/>
            <w:vMerge/>
            <w:tcBorders>
              <w:top w:val="nil"/>
              <w:left w:val="single" w:sz="8" w:space="0" w:color="auto"/>
              <w:bottom w:val="single" w:sz="8" w:space="0" w:color="auto"/>
              <w:right w:val="single" w:sz="4" w:space="0" w:color="auto"/>
            </w:tcBorders>
            <w:vAlign w:val="center"/>
            <w:hideMark/>
          </w:tcPr>
          <w:p w:rsidR="003B2562" w:rsidRPr="003B2562" w:rsidRDefault="003B2562" w:rsidP="003B2562">
            <w:pPr>
              <w:spacing w:line="240" w:lineRule="auto"/>
              <w:jc w:val="left"/>
              <w:rPr>
                <w:rFonts w:eastAsia="Times New Roman" w:cs="Arial"/>
                <w:color w:val="000000"/>
                <w:szCs w:val="24"/>
                <w:lang w:eastAsia="cs-CZ"/>
              </w:rPr>
            </w:pPr>
          </w:p>
        </w:tc>
        <w:tc>
          <w:tcPr>
            <w:tcW w:w="12656" w:type="dxa"/>
            <w:gridSpan w:val="8"/>
            <w:vMerge/>
            <w:tcBorders>
              <w:top w:val="nil"/>
              <w:left w:val="single" w:sz="4" w:space="0" w:color="auto"/>
              <w:bottom w:val="single" w:sz="4" w:space="0" w:color="000000"/>
              <w:right w:val="single" w:sz="8" w:space="0" w:color="000000"/>
            </w:tcBorders>
            <w:vAlign w:val="center"/>
            <w:hideMark/>
          </w:tcPr>
          <w:p w:rsidR="003B2562" w:rsidRPr="003B2562" w:rsidRDefault="003B2562" w:rsidP="003B2562">
            <w:pPr>
              <w:spacing w:line="240" w:lineRule="auto"/>
              <w:jc w:val="left"/>
              <w:rPr>
                <w:rFonts w:eastAsia="Times New Roman" w:cs="Arial"/>
                <w:color w:val="000000"/>
                <w:szCs w:val="24"/>
                <w:lang w:eastAsia="cs-CZ"/>
              </w:rPr>
            </w:pPr>
          </w:p>
        </w:tc>
      </w:tr>
      <w:tr w:rsidR="00A7437E" w:rsidRPr="003B2562" w:rsidTr="00A7437E">
        <w:trPr>
          <w:trHeight w:val="4530"/>
        </w:trPr>
        <w:tc>
          <w:tcPr>
            <w:tcW w:w="719"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2" w:type="dxa"/>
            <w:tcBorders>
              <w:top w:val="single" w:sz="8" w:space="0" w:color="auto"/>
              <w:left w:val="nil"/>
              <w:bottom w:val="single" w:sz="8" w:space="0" w:color="auto"/>
              <w:right w:val="single" w:sz="8"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656" w:type="dxa"/>
            <w:gridSpan w:val="8"/>
            <w:tcBorders>
              <w:top w:val="single" w:sz="4" w:space="0" w:color="auto"/>
              <w:left w:val="single" w:sz="8" w:space="0" w:color="auto"/>
              <w:bottom w:val="single" w:sz="8" w:space="0" w:color="auto"/>
              <w:right w:val="single" w:sz="8" w:space="0" w:color="000000"/>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Na základě podnětu MPSV zahájil Výzkumný ústav práce a sociálních věcí, v. v .i</w:t>
            </w:r>
            <w:r w:rsidR="00A7437E">
              <w:rPr>
                <w:rFonts w:eastAsia="Times New Roman" w:cs="Arial"/>
                <w:color w:val="000000"/>
                <w:szCs w:val="24"/>
                <w:lang w:eastAsia="cs-CZ"/>
              </w:rPr>
              <w:t>.,</w:t>
            </w:r>
            <w:r w:rsidRPr="003B2562">
              <w:rPr>
                <w:rFonts w:eastAsia="Times New Roman" w:cs="Arial"/>
                <w:color w:val="000000"/>
                <w:szCs w:val="24"/>
                <w:lang w:eastAsia="cs-CZ"/>
              </w:rPr>
              <w:t xml:space="preserve"> v lednu 2017 realizaci projektu Vyhodnocování účinnosti a efektivity realizace APZ. Cílem projektu je prostřednictvím vyhodnocení efektivnosti nástrojů APZ se zaměřením na rizikové skupiny na trhu práce a nastavení průběžného systému vyhodnocování efektivity APZ, poskytnout relevantní informace o účinnosti nástroji APZ pro jednotlivé skupiny podporovaných osob a</w:t>
            </w:r>
            <w:r w:rsidR="00E30CCE">
              <w:rPr>
                <w:rFonts w:eastAsia="Times New Roman" w:cs="Arial"/>
                <w:color w:val="000000"/>
                <w:szCs w:val="24"/>
                <w:lang w:eastAsia="cs-CZ"/>
              </w:rPr>
              <w:t> </w:t>
            </w:r>
            <w:r w:rsidRPr="003B2562">
              <w:rPr>
                <w:rFonts w:eastAsia="Times New Roman" w:cs="Arial"/>
                <w:color w:val="000000"/>
                <w:szCs w:val="24"/>
                <w:lang w:eastAsia="cs-CZ"/>
              </w:rPr>
              <w:t>zabezpečení průběžných informací o účincích APZ. První výstupy projektu by měly být dostupné ve 3Q 2017. VÚSPV dále ve spolupráci s MPSV připravuje projekt "Case management", který se zaměřuje na zefektivnění činnosti ÚP ČR ve vztahu k dlouhodobě nezaměstnaným osobám.</w:t>
            </w:r>
            <w:r w:rsidR="00A7437E">
              <w:rPr>
                <w:rFonts w:eastAsia="Times New Roman" w:cs="Arial"/>
                <w:color w:val="000000"/>
                <w:szCs w:val="24"/>
                <w:lang w:eastAsia="cs-CZ"/>
              </w:rPr>
              <w:t xml:space="preserve"> </w:t>
            </w:r>
            <w:r w:rsidRPr="003B2562">
              <w:rPr>
                <w:rFonts w:eastAsia="Times New Roman" w:cs="Arial"/>
                <w:color w:val="000000"/>
                <w:szCs w:val="24"/>
                <w:lang w:eastAsia="cs-CZ"/>
              </w:rPr>
              <w:t>Míra a intenzita podpory zaměstnávání znevýhodněných osob je závislá na obecné ekonomické situaci. Momentální ekonomický růst přináší tvorbu mnoha pracovních příležitostí, to znamená, že schopní a motivovaní UoZ našli své uplatnění na trhu práce a v evidenci ÚP ČR zůstali většinou nejhůře uplatnitelní UoZ, popřípadě osoby měnící zaměstnání (</w:t>
            </w:r>
            <w:r w:rsidR="00A7437E" w:rsidRPr="003B2562">
              <w:rPr>
                <w:rFonts w:eastAsia="Times New Roman" w:cs="Arial"/>
                <w:color w:val="000000"/>
                <w:szCs w:val="24"/>
                <w:lang w:eastAsia="cs-CZ"/>
              </w:rPr>
              <w:t>frikční</w:t>
            </w:r>
            <w:r w:rsidRPr="003B2562">
              <w:rPr>
                <w:rFonts w:eastAsia="Times New Roman" w:cs="Arial"/>
                <w:color w:val="000000"/>
                <w:szCs w:val="24"/>
                <w:lang w:eastAsia="cs-CZ"/>
              </w:rPr>
              <w:t xml:space="preserve"> nezaměstnanost). Je nutné se proto soustředit na motivaci jak UoZ, tak zaměstnavatelů z titulu dát šanci takovým osobám. Zaměstnavatelům tak je případná snížená pracovní produktivita UoZ s řadou omezení vyvážena náhradou vynaložených mzdových nákladů. Zákon č. 206/2017 Sb., kterým se mění zákon č. 435/2004 Sb., o zaměstnanosti, ve znění pozdějších předpisů, a</w:t>
            </w:r>
            <w:r w:rsidR="00E30CCE">
              <w:rPr>
                <w:rFonts w:eastAsia="Times New Roman" w:cs="Arial"/>
                <w:color w:val="000000"/>
                <w:szCs w:val="24"/>
                <w:lang w:eastAsia="cs-CZ"/>
              </w:rPr>
              <w:t> </w:t>
            </w:r>
            <w:r w:rsidRPr="003B2562">
              <w:rPr>
                <w:rFonts w:eastAsia="Times New Roman" w:cs="Arial"/>
                <w:color w:val="000000"/>
                <w:szCs w:val="24"/>
                <w:lang w:eastAsia="cs-CZ"/>
              </w:rPr>
              <w:t>další související zákony, nově upravuje maximální dobu poskytování příspěvku na vyhrazení jednoho SÚPM. Od nabytí účinnosti této právní úpravy (29. 7. 2017) bude moci ÚP ČR poskytovat příspěvek na vyhrazení jednoho SÚPM nejdéle po dobu 24 měsíců. Maximální doba poskytování tohoto příspěvku bude stanovena u nejrizikovějších skupin uchazečů o zaměstnání. Sjednocení postupu ÚP ČR při poskytování příspěvku na vyhrazení jednoho SÚPM na maximální dobu 24 měsíců MPSV metodicky ošetří. Je však postupováno individuálně, prioritou je umístění na trhu práce bez státní finanční intervence.</w:t>
            </w:r>
          </w:p>
        </w:tc>
      </w:tr>
    </w:tbl>
    <w:p w:rsidR="00A7437E" w:rsidRDefault="00A7437E">
      <w: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673"/>
        <w:gridCol w:w="1682"/>
        <w:gridCol w:w="1145"/>
        <w:gridCol w:w="1028"/>
        <w:gridCol w:w="3628"/>
        <w:gridCol w:w="1624"/>
        <w:gridCol w:w="3018"/>
      </w:tblGrid>
      <w:tr w:rsidR="003B2562" w:rsidRPr="003B2562" w:rsidTr="00A7437E">
        <w:trPr>
          <w:trHeight w:val="330"/>
        </w:trPr>
        <w:tc>
          <w:tcPr>
            <w:tcW w:w="718" w:type="dxa"/>
            <w:tcBorders>
              <w:top w:val="double" w:sz="6" w:space="0" w:color="auto"/>
              <w:left w:val="double" w:sz="6" w:space="0" w:color="auto"/>
              <w:bottom w:val="double" w:sz="6" w:space="0" w:color="auto"/>
              <w:right w:val="nil"/>
            </w:tcBorders>
            <w:shd w:val="clear" w:color="000000" w:fill="FABF8F"/>
            <w:noWrap/>
            <w:vAlign w:val="center"/>
            <w:hideMark/>
          </w:tcPr>
          <w:p w:rsidR="003B2562" w:rsidRPr="003B2562" w:rsidRDefault="003B2562" w:rsidP="003B2562">
            <w:pPr>
              <w:spacing w:line="240" w:lineRule="auto"/>
              <w:jc w:val="center"/>
              <w:rPr>
                <w:rFonts w:eastAsia="Times New Roman" w:cs="Arial"/>
                <w:b/>
                <w:bCs/>
                <w:color w:val="000000"/>
                <w:szCs w:val="24"/>
                <w:lang w:eastAsia="cs-CZ"/>
              </w:rPr>
            </w:pPr>
          </w:p>
        </w:tc>
        <w:tc>
          <w:tcPr>
            <w:tcW w:w="13379" w:type="dxa"/>
            <w:gridSpan w:val="8"/>
            <w:tcBorders>
              <w:top w:val="double" w:sz="6" w:space="0" w:color="auto"/>
              <w:left w:val="nil"/>
              <w:bottom w:val="double" w:sz="6" w:space="0" w:color="auto"/>
              <w:right w:val="double" w:sz="6" w:space="0" w:color="000000"/>
            </w:tcBorders>
            <w:shd w:val="clear" w:color="000000" w:fill="FABF8F"/>
            <w:vAlign w:val="center"/>
            <w:hideMark/>
          </w:tcPr>
          <w:p w:rsidR="003B2562" w:rsidRPr="003B2562" w:rsidRDefault="000F62D5" w:rsidP="00FF4B45">
            <w:pPr>
              <w:pStyle w:val="Nadpis2"/>
              <w:numPr>
                <w:ilvl w:val="0"/>
                <w:numId w:val="0"/>
              </w:numPr>
              <w:rPr>
                <w:rFonts w:eastAsia="Times New Roman"/>
                <w:lang w:eastAsia="cs-CZ"/>
              </w:rPr>
            </w:pPr>
            <w:bookmarkStart w:id="103" w:name="_Toc492628608"/>
            <w:r>
              <w:rPr>
                <w:rFonts w:eastAsia="Times New Roman"/>
                <w:lang w:eastAsia="cs-CZ"/>
              </w:rPr>
              <w:t>Sk. 3 Intenzifikace</w:t>
            </w:r>
            <w:r w:rsidR="003B2562" w:rsidRPr="003B2562">
              <w:rPr>
                <w:rFonts w:eastAsia="Times New Roman"/>
                <w:lang w:eastAsia="cs-CZ"/>
              </w:rPr>
              <w:t xml:space="preserve"> činnosti ÚP ČR a SUIP</w:t>
            </w:r>
            <w:bookmarkEnd w:id="103"/>
          </w:p>
        </w:tc>
      </w:tr>
      <w:tr w:rsidR="00A7437E" w:rsidRPr="003B2562" w:rsidTr="00975FB2">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A7437E" w:rsidRPr="003B2562" w:rsidRDefault="00A7437E"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3.1</w:t>
            </w:r>
          </w:p>
        </w:tc>
        <w:tc>
          <w:tcPr>
            <w:tcW w:w="1254" w:type="dxa"/>
            <w:gridSpan w:val="2"/>
            <w:tcBorders>
              <w:top w:val="single" w:sz="8" w:space="0" w:color="auto"/>
              <w:left w:val="single" w:sz="12" w:space="0" w:color="auto"/>
              <w:bottom w:val="single" w:sz="12" w:space="0" w:color="auto"/>
              <w:right w:val="nil"/>
            </w:tcBorders>
            <w:shd w:val="clear" w:color="auto" w:fill="auto"/>
            <w:noWrap/>
            <w:vAlign w:val="bottom"/>
            <w:hideMark/>
          </w:tcPr>
          <w:p w:rsidR="00A7437E" w:rsidRPr="003B2562" w:rsidRDefault="00A7437E"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A7437E" w:rsidRPr="003B2562" w:rsidRDefault="00A7437E" w:rsidP="00A7437E">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A7437E" w:rsidRPr="003B2562" w:rsidRDefault="00A7437E"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A7437E" w:rsidRPr="003B2562" w:rsidRDefault="00A7437E"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A7437E" w:rsidRPr="003B2562" w:rsidRDefault="00A7437E" w:rsidP="003B2562">
            <w:pPr>
              <w:spacing w:line="240" w:lineRule="auto"/>
              <w:jc w:val="right"/>
              <w:rPr>
                <w:rFonts w:eastAsia="Times New Roman" w:cs="Arial"/>
                <w:color w:val="00000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A7437E" w:rsidRPr="00A7437E" w:rsidRDefault="00A7437E"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A7437E" w:rsidRPr="00A7437E" w:rsidRDefault="00A7437E" w:rsidP="00A7437E">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N</w:t>
            </w:r>
          </w:p>
        </w:tc>
      </w:tr>
      <w:tr w:rsidR="001B7AAD" w:rsidRPr="003B2562" w:rsidTr="00975FB2">
        <w:trPr>
          <w:trHeight w:val="285"/>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Intenzifikace zprostředkovatelské činnosti ÚP ČR</w:t>
            </w:r>
          </w:p>
        </w:tc>
        <w:tc>
          <w:tcPr>
            <w:tcW w:w="2936" w:type="dxa"/>
            <w:gridSpan w:val="3"/>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2"/>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A7437E">
        <w:trPr>
          <w:trHeight w:val="1470"/>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8"/>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Intenzivní realizace a aktivní nabídka zprostředkovatelských služeb ÚP ČR, tj. včasná a kvalitní reakce na poptávku zaměstnavatelů po nových zaměstnancích. Zejména se bude jednat o organizaci cílených výběrových řízení za účelem obsazení hlášených volných pracovních míst. Výběrová řízení budou probíhat jak v prostorách ÚP ČR, tak i přímo v</w:t>
            </w:r>
            <w:r w:rsidR="00781543">
              <w:rPr>
                <w:rFonts w:eastAsia="Times New Roman" w:cs="Arial"/>
                <w:color w:val="000000"/>
                <w:szCs w:val="24"/>
                <w:lang w:eastAsia="cs-CZ"/>
              </w:rPr>
              <w:t> </w:t>
            </w:r>
            <w:r w:rsidRPr="003B2562">
              <w:rPr>
                <w:rFonts w:eastAsia="Times New Roman" w:cs="Arial"/>
                <w:color w:val="000000"/>
                <w:szCs w:val="24"/>
                <w:lang w:eastAsia="cs-CZ"/>
              </w:rPr>
              <w:t>prostorách zaměstnavatelů. Aktivní asistence zaměstnanců ÚP ČR při výběrových řízeních přispěje k získání zpětné vazby o zájmu uchazečů o zaměstnání o pracovní uplatnění na trhu práce i o kvalitě nabídky ze strany zaměstnavatelů. Důraz bude kladen na genderovou rovnost v přístupu ke vhodnému zaměstnání.</w:t>
            </w:r>
          </w:p>
        </w:tc>
      </w:tr>
      <w:tr w:rsidR="001B7AAD" w:rsidRPr="003B2562" w:rsidTr="00A7437E">
        <w:trPr>
          <w:trHeight w:val="285"/>
        </w:trPr>
        <w:tc>
          <w:tcPr>
            <w:tcW w:w="718"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3B2562" w:rsidP="00A7437E">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2"/>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A7437E">
        <w:trPr>
          <w:trHeight w:val="1185"/>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98" w:type="dxa"/>
            <w:gridSpan w:val="7"/>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roce 2016 bylo realizováno celkem 1 989 výběrových řízení, na která bylo pozváno 37 896 UoZ, z toho se 28 757 účastnilo a celkem 3 396 VPM bylo prokazatelně obsazeno prostřednictvím těchto výběrových řízení. Výběrová řízení jsou realizovaná výhradně na základě požadavku zaměstnavatelů, a to jak na pracovištích ÚP ČR, tak na pracovištích zaměstnavatelů. V roce 2016 celkem 636 129 UoZ ukončilo evidenci, nebo bylo z evidence vyřazeno. Z tohoto počtu odešlo do zaměstnání 418 811 UoZ, z toho 97 719 UoZ bylo prokazatelně umístěno ÚP ČR.</w:t>
            </w:r>
          </w:p>
        </w:tc>
      </w:tr>
      <w:tr w:rsidR="003B2562" w:rsidRPr="003B2562" w:rsidTr="00A7437E">
        <w:trPr>
          <w:trHeight w:val="1470"/>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798" w:type="dxa"/>
            <w:gridSpan w:val="7"/>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prvním pololetí roku 2017 bylo realizováno celkem 1 753 výběrových řízení, na která bylo pozváno 28 658 UoZ, z</w:t>
            </w:r>
            <w:r w:rsidR="00781543">
              <w:rPr>
                <w:rFonts w:eastAsia="Times New Roman" w:cs="Arial"/>
                <w:color w:val="000000"/>
                <w:szCs w:val="24"/>
                <w:lang w:eastAsia="cs-CZ"/>
              </w:rPr>
              <w:t> </w:t>
            </w:r>
            <w:r w:rsidRPr="003B2562">
              <w:rPr>
                <w:rFonts w:eastAsia="Times New Roman" w:cs="Arial"/>
                <w:color w:val="000000"/>
                <w:szCs w:val="24"/>
                <w:lang w:eastAsia="cs-CZ"/>
              </w:rPr>
              <w:t>toho se 21 316 účastnilo a celkem 3 120 VPM bylo prokazatelně obsazeno prostřednictvím těchto výběrových řízení. Výběrová řízení jsou realizovaná výhradně na základě požadavku zaměstnavatelů, a to jak na pracovištích ÚP ČR, tak na pracovištích zaměstnavatelů. V prvním pololetí 2017 celkem 334 689 UoZ ukončilo evidenci, nebo bylo z evidence vyřazeno. Z tohoto počtu odešlo do zaměstnání 224 108 UoZ, z toho 55 645 UoZ bylo prokazatelně umístěno ÚP ČR.</w:t>
            </w:r>
          </w:p>
        </w:tc>
      </w:tr>
    </w:tbl>
    <w:p w:rsidR="00A7437E" w:rsidRDefault="00A7437E">
      <w: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142"/>
        <w:gridCol w:w="2213"/>
        <w:gridCol w:w="1145"/>
        <w:gridCol w:w="1028"/>
        <w:gridCol w:w="3628"/>
        <w:gridCol w:w="1624"/>
        <w:gridCol w:w="3018"/>
      </w:tblGrid>
      <w:tr w:rsidR="00A7437E" w:rsidRPr="003B2562" w:rsidTr="00975FB2">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A7437E" w:rsidRPr="003B2562" w:rsidRDefault="00A7437E"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3.2</w:t>
            </w:r>
          </w:p>
        </w:tc>
        <w:tc>
          <w:tcPr>
            <w:tcW w:w="581" w:type="dxa"/>
            <w:tcBorders>
              <w:top w:val="single" w:sz="12" w:space="0" w:color="auto"/>
              <w:left w:val="single" w:sz="12" w:space="0" w:color="auto"/>
              <w:bottom w:val="single" w:sz="12" w:space="0" w:color="auto"/>
              <w:right w:val="nil"/>
            </w:tcBorders>
            <w:shd w:val="clear" w:color="auto" w:fill="auto"/>
            <w:noWrap/>
            <w:vAlign w:val="bottom"/>
            <w:hideMark/>
          </w:tcPr>
          <w:p w:rsidR="00A7437E" w:rsidRPr="003B2562" w:rsidRDefault="00A7437E"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355" w:type="dxa"/>
            <w:gridSpan w:val="2"/>
            <w:tcBorders>
              <w:top w:val="single" w:sz="12" w:space="0" w:color="auto"/>
              <w:left w:val="nil"/>
              <w:bottom w:val="single" w:sz="12" w:space="0" w:color="auto"/>
              <w:right w:val="nil"/>
            </w:tcBorders>
            <w:shd w:val="clear" w:color="auto" w:fill="auto"/>
            <w:noWrap/>
            <w:vAlign w:val="bottom"/>
            <w:hideMark/>
          </w:tcPr>
          <w:p w:rsidR="00A7437E" w:rsidRPr="003B2562" w:rsidRDefault="00A7437E" w:rsidP="00A7437E">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A7437E" w:rsidRPr="003B2562" w:rsidRDefault="00A7437E"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A7437E" w:rsidRPr="003B2562" w:rsidRDefault="00A7437E"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A7437E" w:rsidRPr="003B2562" w:rsidRDefault="00A7437E" w:rsidP="003B2562">
            <w:pPr>
              <w:spacing w:line="240" w:lineRule="auto"/>
              <w:jc w:val="right"/>
              <w:rPr>
                <w:rFonts w:eastAsia="Times New Roman" w:cs="Arial"/>
                <w:color w:val="00000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A7437E" w:rsidRPr="00A7437E" w:rsidRDefault="00A7437E"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A7437E" w:rsidRPr="00A7437E" w:rsidRDefault="00A7437E" w:rsidP="00A7437E">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N</w:t>
            </w:r>
          </w:p>
        </w:tc>
      </w:tr>
      <w:tr w:rsidR="001B7AAD" w:rsidRPr="003B2562" w:rsidTr="00975FB2">
        <w:trPr>
          <w:trHeight w:val="285"/>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Párování uchazečů o zaměstnání a volných pracovních míst</w:t>
            </w:r>
          </w:p>
        </w:tc>
        <w:tc>
          <w:tcPr>
            <w:tcW w:w="2936" w:type="dxa"/>
            <w:gridSpan w:val="3"/>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2"/>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A7437E">
        <w:trPr>
          <w:trHeight w:val="2196"/>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8"/>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rámci individuální práce s uchazeči o zaměstnání se nadále zaměřovat na vydávání konkrétních doporučenek do zaměstnání místo pouhému vydávání informací o volných pracovních místech. Samozřejmě musí jít o kvalitní výběr vhodných uchazečů o zaměstnání, doporučovaných na hlášená volná pracovní místa. Zde je důležitá spolupráce ze strany zaměstnavatelů spočívající v pečlivém vyplňování výsledku kontaktu uchazeče o zaměstnání se zaměstnavatelem, zejména pokud jde o zájem uchazeče o zaměstnání nastoupit do zprostředkovaného zaměstnání. Nedílnou částí zprostředkovatelské činnosti ÚP ČR je spolupráce se zaměstnavateli v oblasti zveřejňování nabídek pracovních příležitostí, genderové rovnosti, pořádání burz práce a aktivní působení na pracovní sílu prostřednictvím informačních a poradenských středisek.</w:t>
            </w:r>
          </w:p>
        </w:tc>
      </w:tr>
      <w:tr w:rsidR="001B7AAD" w:rsidRPr="003B2562" w:rsidTr="00A7437E">
        <w:trPr>
          <w:trHeight w:val="285"/>
        </w:trPr>
        <w:tc>
          <w:tcPr>
            <w:tcW w:w="718"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3" w:type="dxa"/>
            <w:gridSpan w:val="2"/>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3B2562" w:rsidP="00A7437E">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358" w:type="dxa"/>
            <w:gridSpan w:val="2"/>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2"/>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A7437E">
        <w:trPr>
          <w:trHeight w:val="1309"/>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3" w:type="dxa"/>
            <w:gridSpan w:val="2"/>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656" w:type="dxa"/>
            <w:gridSpan w:val="6"/>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roce 2016 ÚP ČR realizoval celkem 103 seminářů pro zaměstnavatele a celkem 66 miniburz a burz práce. Miniburzy jsou zaměřené na konkrétní profesi nebo odvětví a zpravidla jsou menšího rozsahu než burzy práce. Burzy práce nebývají omezeny rozsahem ani zaměřením. Na miniburzy a burzy práce jsou zváni především uchazeči a</w:t>
            </w:r>
            <w:r w:rsidR="00C224AA">
              <w:rPr>
                <w:rFonts w:eastAsia="Times New Roman" w:cs="Arial"/>
                <w:color w:val="000000"/>
                <w:szCs w:val="24"/>
                <w:lang w:eastAsia="cs-CZ"/>
              </w:rPr>
              <w:t> </w:t>
            </w:r>
            <w:r w:rsidRPr="003B2562">
              <w:rPr>
                <w:rFonts w:eastAsia="Times New Roman" w:cs="Arial"/>
                <w:color w:val="000000"/>
                <w:szCs w:val="24"/>
                <w:lang w:eastAsia="cs-CZ"/>
              </w:rPr>
              <w:t>zájemci o zaměstnání, žáci a absolventi škol, ale i široká veřejnost.</w:t>
            </w:r>
          </w:p>
        </w:tc>
      </w:tr>
      <w:tr w:rsidR="003B2562" w:rsidRPr="003B2562" w:rsidTr="00A7437E">
        <w:trPr>
          <w:trHeight w:val="1733"/>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723" w:type="dxa"/>
            <w:gridSpan w:val="2"/>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656" w:type="dxa"/>
            <w:gridSpan w:val="6"/>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prvním pololetí roku 2017 ÚP ČR realizoval celkem 91 seminářů pro zaměstnavatele a celkem 46 miniburz a burz práce. Miniburzy jsou zaměřené na konkrétní profesi nebo odvětví a zpravidla jsou menšího rozsahu než burzy práce. Burzy práce nebývají omezeny rozsahem ani zaměřením. Na miniburzy a burzy práce jsou zváni především uchazeči a zájemci o zaměstnání, žáci a absolventi škol, ale i široká veřejnost.</w:t>
            </w:r>
          </w:p>
        </w:tc>
      </w:tr>
    </w:tbl>
    <w:p w:rsidR="00A7437E" w:rsidRDefault="00A7437E">
      <w: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142"/>
        <w:gridCol w:w="2213"/>
        <w:gridCol w:w="1145"/>
        <w:gridCol w:w="1028"/>
        <w:gridCol w:w="1892"/>
        <w:gridCol w:w="1736"/>
        <w:gridCol w:w="1624"/>
        <w:gridCol w:w="3018"/>
      </w:tblGrid>
      <w:tr w:rsidR="001B7AAD" w:rsidRPr="003B2562" w:rsidTr="00975FB2">
        <w:trPr>
          <w:trHeight w:val="270"/>
        </w:trPr>
        <w:tc>
          <w:tcPr>
            <w:tcW w:w="718"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723" w:type="dxa"/>
            <w:gridSpan w:val="2"/>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2213"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145"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028"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892"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736" w:type="dxa"/>
            <w:tcBorders>
              <w:top w:val="nil"/>
              <w:left w:val="nil"/>
              <w:bottom w:val="nil"/>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1624"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c>
          <w:tcPr>
            <w:tcW w:w="3018" w:type="dxa"/>
            <w:tcBorders>
              <w:top w:val="nil"/>
              <w:left w:val="nil"/>
              <w:bottom w:val="single" w:sz="12" w:space="0" w:color="auto"/>
              <w:right w:val="nil"/>
            </w:tcBorders>
            <w:shd w:val="clear" w:color="auto" w:fill="auto"/>
            <w:noWrap/>
            <w:vAlign w:val="bottom"/>
            <w:hideMark/>
          </w:tcPr>
          <w:p w:rsidR="003B2562" w:rsidRPr="003B2562" w:rsidRDefault="003B2562" w:rsidP="003B2562">
            <w:pPr>
              <w:spacing w:line="240" w:lineRule="auto"/>
              <w:jc w:val="left"/>
              <w:rPr>
                <w:rFonts w:eastAsia="Times New Roman" w:cs="Arial"/>
                <w:color w:val="000000"/>
                <w:szCs w:val="24"/>
                <w:lang w:eastAsia="cs-CZ"/>
              </w:rPr>
            </w:pPr>
          </w:p>
        </w:tc>
      </w:tr>
      <w:tr w:rsidR="00074114" w:rsidRPr="003B2562" w:rsidTr="00975FB2">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074114" w:rsidRPr="003B2562" w:rsidRDefault="00074114"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3.3</w:t>
            </w:r>
          </w:p>
        </w:tc>
        <w:tc>
          <w:tcPr>
            <w:tcW w:w="723" w:type="dxa"/>
            <w:gridSpan w:val="2"/>
            <w:tcBorders>
              <w:top w:val="single" w:sz="12" w:space="0" w:color="auto"/>
              <w:left w:val="single" w:sz="12" w:space="0" w:color="auto"/>
              <w:bottom w:val="single" w:sz="12" w:space="0" w:color="auto"/>
              <w:right w:val="nil"/>
            </w:tcBorders>
            <w:shd w:val="clear" w:color="auto" w:fill="auto"/>
            <w:noWrap/>
            <w:vAlign w:val="bottom"/>
            <w:hideMark/>
          </w:tcPr>
          <w:p w:rsidR="00074114" w:rsidRPr="003B2562" w:rsidRDefault="00074114"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213" w:type="dxa"/>
            <w:tcBorders>
              <w:top w:val="single" w:sz="12" w:space="0" w:color="auto"/>
              <w:left w:val="nil"/>
              <w:bottom w:val="single" w:sz="12" w:space="0" w:color="auto"/>
              <w:right w:val="nil"/>
            </w:tcBorders>
            <w:shd w:val="clear" w:color="auto" w:fill="auto"/>
            <w:noWrap/>
            <w:vAlign w:val="bottom"/>
            <w:hideMark/>
          </w:tcPr>
          <w:p w:rsidR="00074114" w:rsidRPr="003B2562" w:rsidRDefault="00074114" w:rsidP="00074114">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 xml:space="preserve">průběžně </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074114" w:rsidRPr="003B2562" w:rsidRDefault="00074114"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074114" w:rsidRPr="003B2562" w:rsidRDefault="00074114"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gridSpan w:val="2"/>
            <w:tcBorders>
              <w:top w:val="single" w:sz="8" w:space="0" w:color="auto"/>
              <w:left w:val="nil"/>
              <w:right w:val="single" w:sz="12" w:space="0" w:color="auto"/>
            </w:tcBorders>
            <w:shd w:val="clear" w:color="auto" w:fill="auto"/>
            <w:noWrap/>
            <w:vAlign w:val="bottom"/>
          </w:tcPr>
          <w:p w:rsidR="00074114" w:rsidRPr="003B2562" w:rsidRDefault="00074114" w:rsidP="003B2562">
            <w:pPr>
              <w:spacing w:line="240" w:lineRule="auto"/>
              <w:jc w:val="right"/>
              <w:rPr>
                <w:rFonts w:eastAsia="Times New Roman" w:cs="Arial"/>
                <w:color w:val="00000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074114" w:rsidRPr="00074114" w:rsidRDefault="00074114" w:rsidP="003B2562">
            <w:pPr>
              <w:spacing w:line="240" w:lineRule="auto"/>
              <w:jc w:val="right"/>
              <w:rPr>
                <w:rFonts w:eastAsia="Times New Roman" w:cs="Arial"/>
                <w:b/>
                <w:color w:val="000000"/>
                <w:szCs w:val="24"/>
                <w:lang w:eastAsia="cs-CZ"/>
              </w:rPr>
            </w:pPr>
            <w:r w:rsidRPr="00074114">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074114" w:rsidRPr="003B2562" w:rsidRDefault="00074114" w:rsidP="00074114">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N</w:t>
            </w:r>
          </w:p>
        </w:tc>
      </w:tr>
      <w:tr w:rsidR="001B7AAD" w:rsidRPr="003B2562" w:rsidTr="00975FB2">
        <w:trPr>
          <w:trHeight w:val="285"/>
        </w:trPr>
        <w:tc>
          <w:tcPr>
            <w:tcW w:w="718" w:type="dxa"/>
            <w:vMerge w:val="restart"/>
            <w:tcBorders>
              <w:top w:val="nil"/>
              <w:left w:val="single" w:sz="8" w:space="0" w:color="auto"/>
              <w:bottom w:val="nil"/>
              <w:right w:val="single" w:sz="8" w:space="0" w:color="auto"/>
            </w:tcBorders>
            <w:shd w:val="clear" w:color="000000" w:fill="FDE9D9"/>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Koordinace politiky zaměstnanosti a sociální politiky</w:t>
            </w:r>
          </w:p>
        </w:tc>
        <w:tc>
          <w:tcPr>
            <w:tcW w:w="2936" w:type="dxa"/>
            <w:gridSpan w:val="3"/>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3"/>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074114">
        <w:trPr>
          <w:trHeight w:val="630"/>
        </w:trPr>
        <w:tc>
          <w:tcPr>
            <w:tcW w:w="718" w:type="dxa"/>
            <w:vMerge/>
            <w:tcBorders>
              <w:top w:val="nil"/>
              <w:left w:val="single" w:sz="8" w:space="0" w:color="auto"/>
              <w:bottom w:val="nil"/>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9"/>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Zvýšit spolupráci v rámci ÚP ČR mezi oblastí zprostředkování zaměstnání a nepojistných sociálních dávek s cílem koordinovat činnost jak na poli politiky zaměstnanosti, tak sociální politiky. Koordinovaně identifikovat a řešit možné bariéry při vstupu na trh práce ze strany pracovní síly.</w:t>
            </w:r>
          </w:p>
        </w:tc>
      </w:tr>
      <w:tr w:rsidR="001B7AAD" w:rsidRPr="003B2562" w:rsidTr="00975FB2">
        <w:trPr>
          <w:trHeight w:val="285"/>
        </w:trPr>
        <w:tc>
          <w:tcPr>
            <w:tcW w:w="718" w:type="dxa"/>
            <w:vMerge/>
            <w:tcBorders>
              <w:top w:val="nil"/>
              <w:left w:val="single" w:sz="8" w:space="0" w:color="auto"/>
              <w:bottom w:val="nil"/>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074114"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3"/>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right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left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EC08A9" w:rsidRPr="003B2562" w:rsidTr="00975FB2">
        <w:trPr>
          <w:trHeight w:val="3600"/>
        </w:trPr>
        <w:tc>
          <w:tcPr>
            <w:tcW w:w="718" w:type="dxa"/>
            <w:vMerge/>
            <w:tcBorders>
              <w:top w:val="nil"/>
              <w:left w:val="single" w:sz="8" w:space="0" w:color="auto"/>
              <w:bottom w:val="nil"/>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nil"/>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98" w:type="dxa"/>
            <w:gridSpan w:val="8"/>
            <w:tcBorders>
              <w:top w:val="nil"/>
              <w:left w:val="nil"/>
              <w:bottom w:val="single" w:sz="4" w:space="0" w:color="auto"/>
              <w:right w:val="single" w:sz="4" w:space="0" w:color="auto"/>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 xml:space="preserve">Celkový počet UoZ v ČR ve sledovaném období (30. 9. 2016 až 31. 12. 2016) vzrostl z </w:t>
            </w:r>
            <w:r w:rsidR="00074114">
              <w:rPr>
                <w:rFonts w:eastAsia="Times New Roman" w:cs="Arial"/>
                <w:color w:val="000000"/>
                <w:szCs w:val="24"/>
                <w:lang w:eastAsia="cs-CZ"/>
              </w:rPr>
              <w:t>378 258 na 381 373 tj. nárůst o </w:t>
            </w:r>
            <w:r w:rsidRPr="003B2562">
              <w:rPr>
                <w:rFonts w:eastAsia="Times New Roman" w:cs="Arial"/>
                <w:color w:val="000000"/>
                <w:szCs w:val="24"/>
                <w:lang w:eastAsia="cs-CZ"/>
              </w:rPr>
              <w:t>0,8 %. Počet UoZ pobírající hmotnou nouzi bez zdravotního omezení a bez z</w:t>
            </w:r>
            <w:r w:rsidR="00074114">
              <w:rPr>
                <w:rFonts w:eastAsia="Times New Roman" w:cs="Arial"/>
                <w:color w:val="000000"/>
                <w:szCs w:val="24"/>
                <w:lang w:eastAsia="cs-CZ"/>
              </w:rPr>
              <w:t>ávazků klesl ze 45 861 (12,1</w:t>
            </w:r>
            <w:r w:rsidR="00C224AA">
              <w:rPr>
                <w:rFonts w:eastAsia="Times New Roman" w:cs="Arial"/>
                <w:color w:val="000000"/>
                <w:szCs w:val="24"/>
                <w:lang w:eastAsia="cs-CZ"/>
              </w:rPr>
              <w:t xml:space="preserve"> </w:t>
            </w:r>
            <w:r w:rsidR="00074114">
              <w:rPr>
                <w:rFonts w:eastAsia="Times New Roman" w:cs="Arial"/>
                <w:color w:val="000000"/>
                <w:szCs w:val="24"/>
                <w:lang w:eastAsia="cs-CZ"/>
              </w:rPr>
              <w:t>% z </w:t>
            </w:r>
            <w:r w:rsidRPr="003B2562">
              <w:rPr>
                <w:rFonts w:eastAsia="Times New Roman" w:cs="Arial"/>
                <w:color w:val="000000"/>
                <w:szCs w:val="24"/>
                <w:lang w:eastAsia="cs-CZ"/>
              </w:rPr>
              <w:t>celkového počtu UoZ) na 39 364 (10,3</w:t>
            </w:r>
            <w:r w:rsidR="00C224AA">
              <w:rPr>
                <w:rFonts w:eastAsia="Times New Roman" w:cs="Arial"/>
                <w:color w:val="000000"/>
                <w:szCs w:val="24"/>
                <w:lang w:eastAsia="cs-CZ"/>
              </w:rPr>
              <w:t xml:space="preserve"> </w:t>
            </w:r>
            <w:r w:rsidRPr="003B2562">
              <w:rPr>
                <w:rFonts w:eastAsia="Times New Roman" w:cs="Arial"/>
                <w:color w:val="000000"/>
                <w:szCs w:val="24"/>
                <w:lang w:eastAsia="cs-CZ"/>
              </w:rPr>
              <w:t>% z celkového počtu UoZ) tj. pokles o 14,2 %. Počet UoZ pobírající hmotnou nouzi bez ohledu na zdravotní stav a péči o děti klesl z 93 040 (24,6% z celkovéh</w:t>
            </w:r>
            <w:r w:rsidR="00074114">
              <w:rPr>
                <w:rFonts w:eastAsia="Times New Roman" w:cs="Arial"/>
                <w:color w:val="000000"/>
                <w:szCs w:val="24"/>
                <w:lang w:eastAsia="cs-CZ"/>
              </w:rPr>
              <w:t>o počtu UoZ) na 88 612 (23,2</w:t>
            </w:r>
            <w:r w:rsidR="00C224AA">
              <w:rPr>
                <w:rFonts w:eastAsia="Times New Roman" w:cs="Arial"/>
                <w:color w:val="000000"/>
                <w:szCs w:val="24"/>
                <w:lang w:eastAsia="cs-CZ"/>
              </w:rPr>
              <w:t xml:space="preserve"> </w:t>
            </w:r>
            <w:r w:rsidR="00074114">
              <w:rPr>
                <w:rFonts w:eastAsia="Times New Roman" w:cs="Arial"/>
                <w:color w:val="000000"/>
                <w:szCs w:val="24"/>
                <w:lang w:eastAsia="cs-CZ"/>
              </w:rPr>
              <w:t>% z </w:t>
            </w:r>
            <w:r w:rsidRPr="003B2562">
              <w:rPr>
                <w:rFonts w:eastAsia="Times New Roman" w:cs="Arial"/>
                <w:color w:val="000000"/>
                <w:szCs w:val="24"/>
                <w:lang w:eastAsia="cs-CZ"/>
              </w:rPr>
              <w:t>celkového počtu UoZ) tj. pokles o 4,8</w:t>
            </w:r>
            <w:r w:rsidR="00C224AA">
              <w:rPr>
                <w:rFonts w:eastAsia="Times New Roman" w:cs="Arial"/>
                <w:color w:val="000000"/>
                <w:szCs w:val="24"/>
                <w:lang w:eastAsia="cs-CZ"/>
              </w:rPr>
              <w:t xml:space="preserve"> </w:t>
            </w:r>
            <w:r w:rsidRPr="003B2562">
              <w:rPr>
                <w:rFonts w:eastAsia="Times New Roman" w:cs="Arial"/>
                <w:color w:val="000000"/>
                <w:szCs w:val="24"/>
                <w:lang w:eastAsia="cs-CZ"/>
              </w:rPr>
              <w:t xml:space="preserve">%. Efektivita spolupráce byla od 2Q 2016 průběžně měsíčně vyhodnocována, zčásti získáním výstupů z informačního systému, zejména s ohledem na počet UoZ v hmotné nouzi, kterým byla věnována zvýšená péče, dále kterým bylo nabídnuto vhodné zaměstnání (včetně APZ), byla jim nabídnuta rekvalifikace, nebo kteří ukončili evidenci UoZ z důvodu nástupu do zaměstnání anebo byli z evidence UoZ sankčně vyřazeni. Zvýšení péče </w:t>
            </w:r>
            <w:r w:rsidR="00C224AA">
              <w:rPr>
                <w:rFonts w:eastAsia="Times New Roman" w:cs="Arial"/>
                <w:color w:val="000000"/>
                <w:szCs w:val="24"/>
                <w:lang w:eastAsia="cs-CZ"/>
              </w:rPr>
              <w:t xml:space="preserve">o </w:t>
            </w:r>
            <w:r w:rsidRPr="003B2562">
              <w:rPr>
                <w:rFonts w:eastAsia="Times New Roman" w:cs="Arial"/>
                <w:color w:val="000000"/>
                <w:szCs w:val="24"/>
                <w:lang w:eastAsia="cs-CZ"/>
              </w:rPr>
              <w:t>UoZ v hmotné nouzi přispělo ke zlepšení jejich aktivizace a možnosti umístění do zaměstnání. Nejméně každému 9. – 10. UoZ v hmotné nouzi bylo nabídnuto vhodné zaměstnání</w:t>
            </w:r>
            <w:r w:rsidR="00074114">
              <w:rPr>
                <w:rFonts w:eastAsia="Times New Roman" w:cs="Arial"/>
                <w:color w:val="000000"/>
                <w:szCs w:val="24"/>
                <w:lang w:eastAsia="cs-CZ"/>
              </w:rPr>
              <w:t>, přičemž průměrně každý pátý z </w:t>
            </w:r>
            <w:r w:rsidRPr="003B2562">
              <w:rPr>
                <w:rFonts w:eastAsia="Times New Roman" w:cs="Arial"/>
                <w:color w:val="000000"/>
                <w:szCs w:val="24"/>
                <w:lang w:eastAsia="cs-CZ"/>
              </w:rPr>
              <w:t>nich nastoupil do zaměstnání. Vzhledem k tomu, že se často jedná o UoZ obtížně zaměstnatelné, jeví se nastoupený trend spolupráce jednotlivých útvarů ÚP ČR a další přijatá opatření jako účinná. Při práci s UoZ je preferováno nastavení aktivit k podpoře zaměstnatelnosti před případným sankčním vyřazením (nepřispívá ke zlepšení situace UoZ). Zvýšená spolupráce v rámci ÚP ČR mezi útvary zaměstnanosti a nepojistných sociálních dávek je rovněž realizována v souvislosti s novelou k veřejné službě (zákon č. 367/2016 Sb.). Oba útvary se podílí na přípravě implementace novely v praxi, zejména společnou přípravou metodických materiálů</w:t>
            </w:r>
            <w:r w:rsidR="00074114">
              <w:rPr>
                <w:rFonts w:eastAsia="Times New Roman" w:cs="Arial"/>
                <w:color w:val="000000"/>
                <w:szCs w:val="24"/>
                <w:lang w:eastAsia="cs-CZ"/>
              </w:rPr>
              <w:t xml:space="preserve"> a školení zaměstnanců ÚP ČR. V </w:t>
            </w:r>
            <w:r w:rsidRPr="003B2562">
              <w:rPr>
                <w:rFonts w:eastAsia="Times New Roman" w:cs="Arial"/>
                <w:color w:val="000000"/>
                <w:szCs w:val="24"/>
                <w:lang w:eastAsia="cs-CZ"/>
              </w:rPr>
              <w:t>praxi bude docházet ke společnému postupu obou útvarů v souvislosti s aktivizací příjemců dávek pomoci v hmotné nouzi.</w:t>
            </w:r>
          </w:p>
        </w:tc>
      </w:tr>
      <w:tr w:rsidR="00EC08A9" w:rsidRPr="003B2562" w:rsidTr="00975FB2">
        <w:trPr>
          <w:trHeight w:val="6960"/>
        </w:trPr>
        <w:tc>
          <w:tcPr>
            <w:tcW w:w="718" w:type="dxa"/>
            <w:vMerge/>
            <w:tcBorders>
              <w:top w:val="nil"/>
              <w:left w:val="single" w:sz="8" w:space="0" w:color="auto"/>
              <w:bottom w:val="nil"/>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single" w:sz="8" w:space="0" w:color="auto"/>
              <w:left w:val="nil"/>
              <w:bottom w:val="single" w:sz="8" w:space="0" w:color="auto"/>
              <w:right w:val="single" w:sz="8"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sledované</w:t>
            </w:r>
          </w:p>
        </w:tc>
        <w:tc>
          <w:tcPr>
            <w:tcW w:w="12798" w:type="dxa"/>
            <w:gridSpan w:val="8"/>
            <w:tcBorders>
              <w:top w:val="single" w:sz="4" w:space="0" w:color="auto"/>
              <w:left w:val="single" w:sz="8" w:space="0" w:color="auto"/>
              <w:bottom w:val="single" w:sz="8" w:space="0" w:color="auto"/>
              <w:right w:val="single" w:sz="8" w:space="0" w:color="000000"/>
            </w:tcBorders>
            <w:shd w:val="clear" w:color="auto" w:fill="auto"/>
            <w:hideMark/>
          </w:tcPr>
          <w:p w:rsidR="003B2562" w:rsidRPr="003B2562" w:rsidRDefault="003B2562" w:rsidP="00EC08A9">
            <w:pPr>
              <w:spacing w:line="240" w:lineRule="auto"/>
              <w:rPr>
                <w:rFonts w:eastAsia="Times New Roman" w:cs="Arial"/>
                <w:color w:val="000000"/>
                <w:szCs w:val="24"/>
                <w:lang w:eastAsia="cs-CZ"/>
              </w:rPr>
            </w:pPr>
            <w:r w:rsidRPr="003B2562">
              <w:rPr>
                <w:rFonts w:eastAsia="Times New Roman" w:cs="Arial"/>
                <w:color w:val="000000"/>
                <w:szCs w:val="24"/>
                <w:lang w:eastAsia="cs-CZ"/>
              </w:rPr>
              <w:t xml:space="preserve">V současné době je významná spolupráce zejména </w:t>
            </w:r>
            <w:r w:rsidR="00EC08A9">
              <w:rPr>
                <w:rFonts w:eastAsia="Times New Roman" w:cs="Arial"/>
                <w:color w:val="000000"/>
                <w:szCs w:val="24"/>
                <w:lang w:eastAsia="cs-CZ"/>
              </w:rPr>
              <w:t>při</w:t>
            </w:r>
            <w:r w:rsidRPr="003B2562">
              <w:rPr>
                <w:rFonts w:eastAsia="Times New Roman" w:cs="Arial"/>
                <w:color w:val="000000"/>
                <w:szCs w:val="24"/>
                <w:lang w:eastAsia="cs-CZ"/>
              </w:rPr>
              <w:t xml:space="preserve"> implementac</w:t>
            </w:r>
            <w:r w:rsidR="00EC08A9">
              <w:rPr>
                <w:rFonts w:eastAsia="Times New Roman" w:cs="Arial"/>
                <w:color w:val="000000"/>
                <w:szCs w:val="24"/>
                <w:lang w:eastAsia="cs-CZ"/>
              </w:rPr>
              <w:t>i</w:t>
            </w:r>
            <w:r w:rsidRPr="003B2562">
              <w:rPr>
                <w:rFonts w:eastAsia="Times New Roman" w:cs="Arial"/>
                <w:color w:val="000000"/>
                <w:szCs w:val="24"/>
                <w:lang w:eastAsia="cs-CZ"/>
              </w:rPr>
              <w:t xml:space="preserve"> veřejné služby do praxe, na které se podílejí obě</w:t>
            </w:r>
            <w:r w:rsidR="00C224AA">
              <w:rPr>
                <w:rFonts w:eastAsia="Times New Roman" w:cs="Arial"/>
                <w:color w:val="000000"/>
                <w:szCs w:val="24"/>
                <w:lang w:eastAsia="cs-CZ"/>
              </w:rPr>
              <w:t> </w:t>
            </w:r>
            <w:r w:rsidRPr="003B2562">
              <w:rPr>
                <w:rFonts w:eastAsia="Times New Roman" w:cs="Arial"/>
                <w:color w:val="000000"/>
                <w:szCs w:val="24"/>
                <w:lang w:eastAsia="cs-CZ"/>
              </w:rPr>
              <w:t>části ÚP ČR.</w:t>
            </w:r>
            <w:r w:rsidR="00074114">
              <w:rPr>
                <w:rFonts w:eastAsia="Times New Roman" w:cs="Arial"/>
                <w:color w:val="000000"/>
                <w:szCs w:val="24"/>
                <w:lang w:eastAsia="cs-CZ"/>
              </w:rPr>
              <w:t xml:space="preserve"> </w:t>
            </w:r>
            <w:r w:rsidRPr="003B2562">
              <w:rPr>
                <w:rFonts w:eastAsia="Times New Roman" w:cs="Arial"/>
                <w:color w:val="000000"/>
                <w:szCs w:val="24"/>
                <w:lang w:eastAsia="cs-CZ"/>
              </w:rPr>
              <w:t xml:space="preserve">VÚSPV připravuje projekt "Case management", </w:t>
            </w:r>
            <w:r w:rsidR="00EC08A9">
              <w:rPr>
                <w:rFonts w:eastAsia="Times New Roman" w:cs="Arial"/>
                <w:color w:val="000000"/>
                <w:szCs w:val="24"/>
                <w:lang w:eastAsia="cs-CZ"/>
              </w:rPr>
              <w:t>zaměřený</w:t>
            </w:r>
            <w:r w:rsidRPr="003B2562">
              <w:rPr>
                <w:rFonts w:eastAsia="Times New Roman" w:cs="Arial"/>
                <w:color w:val="000000"/>
                <w:szCs w:val="24"/>
                <w:lang w:eastAsia="cs-CZ"/>
              </w:rPr>
              <w:t xml:space="preserve"> na zefektivnění činnosti ÚP ČR ve vztahu k dlouhodobě nezaměstnaným osobám. Cílem je nastavení koordinace činností v rámci UP ČR (zaměstnanost, nepojistné sociální dávky) i s vn</w:t>
            </w:r>
            <w:r w:rsidR="00EC08A9">
              <w:rPr>
                <w:rFonts w:eastAsia="Times New Roman" w:cs="Arial"/>
                <w:color w:val="000000"/>
                <w:szCs w:val="24"/>
                <w:lang w:eastAsia="cs-CZ"/>
              </w:rPr>
              <w:t>ějšími subjekty a implementace D</w:t>
            </w:r>
            <w:r w:rsidRPr="003B2562">
              <w:rPr>
                <w:rFonts w:eastAsia="Times New Roman" w:cs="Arial"/>
                <w:color w:val="000000"/>
                <w:szCs w:val="24"/>
                <w:lang w:eastAsia="cs-CZ"/>
              </w:rPr>
              <w:t>oporučení Komise k integraci dlouhodobě nezaměstnaných osob na trhu práce. Aktuálně dostupná data o UoZ v hmotné nouzi jsou k datu 31. 5. 2017, jejich počet činil 81 046, což činí 27,2</w:t>
            </w:r>
            <w:r w:rsidR="00C224AA">
              <w:rPr>
                <w:rFonts w:eastAsia="Times New Roman" w:cs="Arial"/>
                <w:color w:val="000000"/>
                <w:szCs w:val="24"/>
                <w:lang w:eastAsia="cs-CZ"/>
              </w:rPr>
              <w:t xml:space="preserve"> </w:t>
            </w:r>
            <w:r w:rsidRPr="003B2562">
              <w:rPr>
                <w:rFonts w:eastAsia="Times New Roman" w:cs="Arial"/>
                <w:color w:val="000000"/>
                <w:szCs w:val="24"/>
                <w:lang w:eastAsia="cs-CZ"/>
              </w:rPr>
              <w:t xml:space="preserve">% z celkového počtu </w:t>
            </w:r>
            <w:r w:rsidR="00EC08A9">
              <w:rPr>
                <w:rFonts w:eastAsia="Times New Roman" w:cs="Arial"/>
                <w:color w:val="000000"/>
                <w:szCs w:val="24"/>
                <w:lang w:eastAsia="cs-CZ"/>
              </w:rPr>
              <w:t>UoZ</w:t>
            </w:r>
            <w:r w:rsidRPr="003B2562">
              <w:rPr>
                <w:rFonts w:eastAsia="Times New Roman" w:cs="Arial"/>
                <w:color w:val="000000"/>
                <w:szCs w:val="24"/>
                <w:lang w:eastAsia="cs-CZ"/>
              </w:rPr>
              <w:t>. Průběžně měsíčně je vyhodnocována efektivita spolupráce útvarů hmotné nouze a zprostředkování, v květnu byla učiněna nabídka vhodného zaměstnání nejméně každému 10. UoZ v hmotné nouzi, umístěno do zaměstnání UP ČR bylo 1</w:t>
            </w:r>
            <w:r w:rsidR="00C224AA">
              <w:rPr>
                <w:rFonts w:eastAsia="Times New Roman" w:cs="Arial"/>
                <w:color w:val="000000"/>
                <w:szCs w:val="24"/>
                <w:lang w:eastAsia="cs-CZ"/>
              </w:rPr>
              <w:t xml:space="preserve"> </w:t>
            </w:r>
            <w:r w:rsidRPr="003B2562">
              <w:rPr>
                <w:rFonts w:eastAsia="Times New Roman" w:cs="Arial"/>
                <w:color w:val="000000"/>
                <w:szCs w:val="24"/>
                <w:lang w:eastAsia="cs-CZ"/>
              </w:rPr>
              <w:t>424 UoZ v hmotné nouzi, tj. 17 % z těch, kterým bylo nabídnuto vhodné zaměstnání, rekvalifikace byla nabídnuta 839 UoZ v hmotné nouzi.</w:t>
            </w:r>
            <w:r w:rsidR="00EC08A9">
              <w:rPr>
                <w:rFonts w:eastAsia="Times New Roman" w:cs="Arial"/>
                <w:color w:val="000000"/>
                <w:szCs w:val="24"/>
                <w:lang w:eastAsia="cs-CZ"/>
              </w:rPr>
              <w:t xml:space="preserve"> </w:t>
            </w:r>
            <w:r w:rsidRPr="003B2562">
              <w:rPr>
                <w:rFonts w:eastAsia="Times New Roman" w:cs="Arial"/>
                <w:color w:val="000000"/>
                <w:szCs w:val="24"/>
                <w:lang w:eastAsia="cs-CZ"/>
              </w:rPr>
              <w:t>Na opětovně zaváděný výkon veřejné služby (VS) u příjemců dávek pomoci v hmotné nouzi je třeba nahlížet jako na předstupeň zaměstnání VPP, SUPM a na volném trhu práce. Hlavní využití VS spočívá v motivaci k získání pracovních návyků. Spolupráce odd. nepojistných sociálních dávek – hmotné nouze (odd. NSD – HN) a odd</w:t>
            </w:r>
            <w:r w:rsidR="00EC08A9">
              <w:rPr>
                <w:rFonts w:eastAsia="Times New Roman" w:cs="Arial"/>
                <w:color w:val="000000"/>
                <w:szCs w:val="24"/>
                <w:lang w:eastAsia="cs-CZ"/>
              </w:rPr>
              <w:t>.</w:t>
            </w:r>
            <w:r w:rsidRPr="003B2562">
              <w:rPr>
                <w:rFonts w:eastAsia="Times New Roman" w:cs="Arial"/>
                <w:color w:val="000000"/>
                <w:szCs w:val="24"/>
                <w:lang w:eastAsia="cs-CZ"/>
              </w:rPr>
              <w:t xml:space="preserve"> zprostředkování a poradenství (odd. ZaP) slouží k zjištění informací o UoZ vedoucích k nastavení cílené zejména poradenské a zprostředkovatelské práce s</w:t>
            </w:r>
            <w:r w:rsidR="003A3999">
              <w:rPr>
                <w:rFonts w:eastAsia="Times New Roman" w:cs="Arial"/>
                <w:color w:val="000000"/>
                <w:szCs w:val="24"/>
                <w:lang w:eastAsia="cs-CZ"/>
              </w:rPr>
              <w:t> </w:t>
            </w:r>
            <w:r w:rsidRPr="003B2562">
              <w:rPr>
                <w:rFonts w:eastAsia="Times New Roman" w:cs="Arial"/>
                <w:color w:val="000000"/>
                <w:szCs w:val="24"/>
                <w:lang w:eastAsia="cs-CZ"/>
              </w:rPr>
              <w:t>UoZ, specifikace jednotlivých kroků k dosažení zvýšení jeho zaměstnatelnosti nebo přímo nástupu do zaměstnání. V</w:t>
            </w:r>
            <w:r w:rsidR="003A3999">
              <w:rPr>
                <w:rFonts w:eastAsia="Times New Roman" w:cs="Arial"/>
                <w:color w:val="000000"/>
                <w:szCs w:val="24"/>
                <w:lang w:eastAsia="cs-CZ"/>
              </w:rPr>
              <w:t> </w:t>
            </w:r>
            <w:r w:rsidRPr="003B2562">
              <w:rPr>
                <w:rFonts w:eastAsia="Times New Roman" w:cs="Arial"/>
                <w:color w:val="000000"/>
                <w:szCs w:val="24"/>
                <w:lang w:eastAsia="cs-CZ"/>
              </w:rPr>
              <w:t xml:space="preserve">rámci součinnosti KrP/KoP je důležitá průběžná a komplexní výměna informací o UoZ, efektivní a komplexní řešení situace UoZ v souvislosti s poskytovanými službami ÚP ČR prostřednictvím individuální práce. </w:t>
            </w:r>
            <w:r w:rsidR="00EC08A9">
              <w:rPr>
                <w:rFonts w:eastAsia="Times New Roman" w:cs="Arial"/>
                <w:color w:val="000000"/>
                <w:szCs w:val="24"/>
                <w:lang w:eastAsia="cs-CZ"/>
              </w:rPr>
              <w:t>o</w:t>
            </w:r>
            <w:r w:rsidRPr="003B2562">
              <w:rPr>
                <w:rFonts w:eastAsia="Times New Roman" w:cs="Arial"/>
                <w:color w:val="000000"/>
                <w:szCs w:val="24"/>
                <w:lang w:eastAsia="cs-CZ"/>
              </w:rPr>
              <w:t xml:space="preserve">dd. NSD – HN shromáždí k vytipovaným UoZ informace vhodné pro práci s UoZ vedoucí ke zprostředkování zaměstnání. </w:t>
            </w:r>
            <w:r w:rsidR="00EC08A9">
              <w:rPr>
                <w:rFonts w:eastAsia="Times New Roman" w:cs="Arial"/>
                <w:color w:val="000000"/>
                <w:szCs w:val="24"/>
                <w:lang w:eastAsia="cs-CZ"/>
              </w:rPr>
              <w:t>I</w:t>
            </w:r>
            <w:r w:rsidRPr="003B2562">
              <w:rPr>
                <w:rFonts w:eastAsia="Times New Roman" w:cs="Arial"/>
                <w:color w:val="000000"/>
                <w:szCs w:val="24"/>
                <w:lang w:eastAsia="cs-CZ"/>
              </w:rPr>
              <w:t xml:space="preserve">dentifikuje subjektivní důvody, </w:t>
            </w:r>
            <w:r w:rsidR="00EC08A9">
              <w:rPr>
                <w:rFonts w:eastAsia="Times New Roman" w:cs="Arial"/>
                <w:color w:val="000000"/>
                <w:szCs w:val="24"/>
                <w:lang w:eastAsia="cs-CZ"/>
              </w:rPr>
              <w:t>bránící</w:t>
            </w:r>
            <w:r w:rsidRPr="003B2562">
              <w:rPr>
                <w:rFonts w:eastAsia="Times New Roman" w:cs="Arial"/>
                <w:color w:val="000000"/>
                <w:szCs w:val="24"/>
                <w:lang w:eastAsia="cs-CZ"/>
              </w:rPr>
              <w:t xml:space="preserve"> UoZ uplatnění na trhu práce. </w:t>
            </w:r>
            <w:r w:rsidR="00EC08A9">
              <w:rPr>
                <w:rFonts w:eastAsia="Times New Roman" w:cs="Arial"/>
                <w:color w:val="000000"/>
                <w:szCs w:val="24"/>
                <w:lang w:eastAsia="cs-CZ"/>
              </w:rPr>
              <w:t>Např.</w:t>
            </w:r>
            <w:r w:rsidRPr="003B2562">
              <w:rPr>
                <w:rFonts w:eastAsia="Times New Roman" w:cs="Arial"/>
                <w:color w:val="000000"/>
                <w:szCs w:val="24"/>
                <w:lang w:eastAsia="cs-CZ"/>
              </w:rPr>
              <w:t xml:space="preserve"> o bydlení, exekuce (odd. NSD – HN ho seznámí s</w:t>
            </w:r>
            <w:r w:rsidR="003A3999">
              <w:rPr>
                <w:rFonts w:eastAsia="Times New Roman" w:cs="Arial"/>
                <w:color w:val="000000"/>
                <w:szCs w:val="24"/>
                <w:lang w:eastAsia="cs-CZ"/>
              </w:rPr>
              <w:t> </w:t>
            </w:r>
            <w:r w:rsidRPr="003B2562">
              <w:rPr>
                <w:rFonts w:eastAsia="Times New Roman" w:cs="Arial"/>
                <w:color w:val="000000"/>
                <w:szCs w:val="24"/>
                <w:lang w:eastAsia="cs-CZ"/>
              </w:rPr>
              <w:t>institutem tzv. nezabavitelného minima atd.), rodinné zázemí apod. Následně odd. ZaP shromáž</w:t>
            </w:r>
            <w:r w:rsidR="00EC08A9">
              <w:rPr>
                <w:rFonts w:eastAsia="Times New Roman" w:cs="Arial"/>
                <w:color w:val="000000"/>
                <w:szCs w:val="24"/>
                <w:lang w:eastAsia="cs-CZ"/>
              </w:rPr>
              <w:t>dí údaje o</w:t>
            </w:r>
            <w:r w:rsidR="003A3999">
              <w:rPr>
                <w:rFonts w:eastAsia="Times New Roman" w:cs="Arial"/>
                <w:color w:val="000000"/>
                <w:szCs w:val="24"/>
                <w:lang w:eastAsia="cs-CZ"/>
              </w:rPr>
              <w:t> </w:t>
            </w:r>
            <w:r w:rsidR="00EC08A9">
              <w:rPr>
                <w:rFonts w:eastAsia="Times New Roman" w:cs="Arial"/>
                <w:color w:val="000000"/>
                <w:szCs w:val="24"/>
                <w:lang w:eastAsia="cs-CZ"/>
              </w:rPr>
              <w:t xml:space="preserve">pracovních návycích, </w:t>
            </w:r>
            <w:r w:rsidRPr="003B2562">
              <w:rPr>
                <w:rFonts w:eastAsia="Times New Roman" w:cs="Arial"/>
                <w:color w:val="000000"/>
                <w:szCs w:val="24"/>
                <w:lang w:eastAsia="cs-CZ"/>
              </w:rPr>
              <w:t>pracovní historii, zdravotní způsobilosti a další relevantní údaje. Při společném jednání obě odd</w:t>
            </w:r>
            <w:r w:rsidR="00EC08A9">
              <w:rPr>
                <w:rFonts w:eastAsia="Times New Roman" w:cs="Arial"/>
                <w:color w:val="000000"/>
                <w:szCs w:val="24"/>
                <w:lang w:eastAsia="cs-CZ"/>
              </w:rPr>
              <w:t>.</w:t>
            </w:r>
            <w:r w:rsidRPr="003B2562">
              <w:rPr>
                <w:rFonts w:eastAsia="Times New Roman" w:cs="Arial"/>
                <w:color w:val="000000"/>
                <w:szCs w:val="24"/>
                <w:lang w:eastAsia="cs-CZ"/>
              </w:rPr>
              <w:t xml:space="preserve"> zhodnotí možnosti řešení situace UoZ. </w:t>
            </w:r>
            <w:r w:rsidR="00EC08A9">
              <w:rPr>
                <w:rFonts w:eastAsia="Times New Roman" w:cs="Arial"/>
                <w:color w:val="000000"/>
                <w:szCs w:val="24"/>
                <w:lang w:eastAsia="cs-CZ"/>
              </w:rPr>
              <w:t>V</w:t>
            </w:r>
            <w:r w:rsidRPr="003B2562">
              <w:rPr>
                <w:rFonts w:eastAsia="Times New Roman" w:cs="Arial"/>
                <w:color w:val="000000"/>
                <w:szCs w:val="24"/>
                <w:lang w:eastAsia="cs-CZ"/>
              </w:rPr>
              <w:t>znikne</w:t>
            </w:r>
            <w:r w:rsidR="00EC08A9">
              <w:rPr>
                <w:rFonts w:eastAsia="Times New Roman" w:cs="Arial"/>
                <w:color w:val="000000"/>
                <w:szCs w:val="24"/>
                <w:lang w:eastAsia="cs-CZ"/>
              </w:rPr>
              <w:t>-li</w:t>
            </w:r>
            <w:r w:rsidRPr="003B2562">
              <w:rPr>
                <w:rFonts w:eastAsia="Times New Roman" w:cs="Arial"/>
                <w:color w:val="000000"/>
                <w:szCs w:val="24"/>
                <w:lang w:eastAsia="cs-CZ"/>
              </w:rPr>
              <w:t xml:space="preserve"> potřeba provedení rozšířeného kontaktu s UoZ, realizuje se za účasti zástupců odd. ZaP a odd. NSD – HN. </w:t>
            </w:r>
            <w:r w:rsidR="00EC08A9">
              <w:rPr>
                <w:rFonts w:eastAsia="Times New Roman" w:cs="Arial"/>
                <w:color w:val="000000"/>
                <w:szCs w:val="24"/>
                <w:lang w:eastAsia="cs-CZ"/>
              </w:rPr>
              <w:t>J</w:t>
            </w:r>
            <w:r w:rsidRPr="003B2562">
              <w:rPr>
                <w:rFonts w:eastAsia="Times New Roman" w:cs="Arial"/>
                <w:color w:val="000000"/>
                <w:szCs w:val="24"/>
                <w:lang w:eastAsia="cs-CZ"/>
              </w:rPr>
              <w:t>e projednán další postup práce s UoZ – zapojení do poradenských aktivit, zařazení do rekvalifikačního kurzu, upřesnění pracovních pozic, na které bude doporučován, případně vydání konkrétního doporučení na vybranou pracovní pozici. UoZ je instruován jednotlivými kroky, které je nutné následně realizovat (např. pomoc při sepsání životopisu) a současně s následky nesplnění povinností (např. odmítnutí vhodného zaměstnání). Poté odd. ZaP zhodnotí úspěšnost UoZ na trhu práce, výsledek projednaných doporučenek sdělí odd. NSD – HN. Jedná se o sehrávání údajů mezi informačními systémy</w:t>
            </w:r>
            <w:r w:rsidR="00EC08A9">
              <w:rPr>
                <w:rFonts w:eastAsia="Times New Roman" w:cs="Arial"/>
                <w:color w:val="000000"/>
                <w:szCs w:val="24"/>
                <w:lang w:eastAsia="cs-CZ"/>
              </w:rPr>
              <w:t>, ve kterých</w:t>
            </w:r>
            <w:r w:rsidRPr="003B2562">
              <w:rPr>
                <w:rFonts w:eastAsia="Times New Roman" w:cs="Arial"/>
                <w:color w:val="000000"/>
                <w:szCs w:val="24"/>
                <w:lang w:eastAsia="cs-CZ"/>
              </w:rPr>
              <w:t xml:space="preserve"> je zaznamenáno např. ukončení evidence, sankční vyřazení atd</w:t>
            </w:r>
            <w:r w:rsidR="00674862">
              <w:rPr>
                <w:rFonts w:eastAsia="Times New Roman" w:cs="Arial"/>
                <w:color w:val="000000"/>
                <w:szCs w:val="24"/>
                <w:lang w:eastAsia="cs-CZ"/>
              </w:rPr>
              <w:t>.</w:t>
            </w:r>
            <w:r w:rsidRPr="003B2562">
              <w:rPr>
                <w:rFonts w:eastAsia="Times New Roman" w:cs="Arial"/>
                <w:color w:val="000000"/>
                <w:szCs w:val="24"/>
                <w:lang w:eastAsia="cs-CZ"/>
              </w:rPr>
              <w:t>, zařazení do projektů organizovaných ÚP</w:t>
            </w:r>
            <w:r w:rsidR="003A3999">
              <w:rPr>
                <w:rFonts w:eastAsia="Times New Roman" w:cs="Arial"/>
                <w:color w:val="000000"/>
                <w:szCs w:val="24"/>
                <w:lang w:eastAsia="cs-CZ"/>
              </w:rPr>
              <w:t xml:space="preserve"> Č</w:t>
            </w:r>
            <w:r w:rsidRPr="003B2562">
              <w:rPr>
                <w:rFonts w:eastAsia="Times New Roman" w:cs="Arial"/>
                <w:color w:val="000000"/>
                <w:szCs w:val="24"/>
                <w:lang w:eastAsia="cs-CZ"/>
              </w:rPr>
              <w:t>R a dalších aktivit jako jsou JOB kluby, skupinová, motivační, individuální a jiná poradenství atd. Na základě sdělených informací projednají obě oddělení další možná opatření např. účast v rekvalifikačních kurzech, poradenských aktivitách atd. Mezi odd. ZaP a odd. NSD – HN je zachována zpětná vazba ve vztahu k průběhu a výsledku úspěšnosti aktivit UoZ a eliminaci závislosti na dávkách pomoci v hmotné nouzi.</w:t>
            </w:r>
          </w:p>
        </w:tc>
      </w:tr>
    </w:tbl>
    <w:p w:rsidR="00EC08A9" w:rsidRDefault="00EC08A9"/>
    <w:tbl>
      <w:tblPr>
        <w:tblW w:w="14097" w:type="dxa"/>
        <w:tblInd w:w="47" w:type="dxa"/>
        <w:tblCellMar>
          <w:left w:w="70" w:type="dxa"/>
          <w:right w:w="70" w:type="dxa"/>
        </w:tblCellMar>
        <w:tblLook w:val="04A0" w:firstRow="1" w:lastRow="0" w:firstColumn="1" w:lastColumn="0" w:noHBand="0" w:noVBand="1"/>
      </w:tblPr>
      <w:tblGrid>
        <w:gridCol w:w="718"/>
        <w:gridCol w:w="581"/>
        <w:gridCol w:w="2355"/>
        <w:gridCol w:w="1145"/>
        <w:gridCol w:w="1028"/>
        <w:gridCol w:w="3628"/>
        <w:gridCol w:w="1624"/>
        <w:gridCol w:w="3018"/>
      </w:tblGrid>
      <w:tr w:rsidR="006C3A6D" w:rsidRPr="003B2562" w:rsidTr="00975FB2">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FDE9D9"/>
            <w:noWrap/>
            <w:vAlign w:val="bottom"/>
            <w:hideMark/>
          </w:tcPr>
          <w:p w:rsidR="006C3A6D" w:rsidRPr="003B2562" w:rsidRDefault="006C3A6D"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3.4</w:t>
            </w:r>
          </w:p>
        </w:tc>
        <w:tc>
          <w:tcPr>
            <w:tcW w:w="581" w:type="dxa"/>
            <w:tcBorders>
              <w:top w:val="single" w:sz="12" w:space="0" w:color="auto"/>
              <w:left w:val="single" w:sz="12" w:space="0" w:color="auto"/>
              <w:bottom w:val="single" w:sz="12" w:space="0" w:color="auto"/>
              <w:right w:val="nil"/>
            </w:tcBorders>
            <w:shd w:val="clear" w:color="auto" w:fill="auto"/>
            <w:noWrap/>
            <w:vAlign w:val="bottom"/>
            <w:hideMark/>
          </w:tcPr>
          <w:p w:rsidR="006C3A6D" w:rsidRPr="003B2562" w:rsidRDefault="006C3A6D"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355" w:type="dxa"/>
            <w:tcBorders>
              <w:top w:val="single" w:sz="12" w:space="0" w:color="auto"/>
              <w:left w:val="nil"/>
              <w:bottom w:val="single" w:sz="12" w:space="0" w:color="auto"/>
              <w:right w:val="nil"/>
            </w:tcBorders>
            <w:shd w:val="clear" w:color="auto" w:fill="auto"/>
            <w:noWrap/>
            <w:vAlign w:val="bottom"/>
            <w:hideMark/>
          </w:tcPr>
          <w:p w:rsidR="006C3A6D" w:rsidRPr="003B2562" w:rsidRDefault="006C3A6D" w:rsidP="00975FB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6C3A6D" w:rsidRPr="003B2562" w:rsidRDefault="006C3A6D"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6C3A6D" w:rsidRPr="003B2562" w:rsidRDefault="006C3A6D"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tcBorders>
              <w:top w:val="single" w:sz="8" w:space="0" w:color="auto"/>
              <w:left w:val="nil"/>
              <w:right w:val="single" w:sz="12" w:space="0" w:color="auto"/>
            </w:tcBorders>
            <w:shd w:val="clear" w:color="auto" w:fill="auto"/>
            <w:noWrap/>
            <w:vAlign w:val="bottom"/>
            <w:hideMark/>
          </w:tcPr>
          <w:p w:rsidR="006C3A6D" w:rsidRPr="003B2562" w:rsidRDefault="006C3A6D" w:rsidP="003B2562">
            <w:pPr>
              <w:spacing w:line="240" w:lineRule="auto"/>
              <w:jc w:val="right"/>
              <w:rPr>
                <w:rFonts w:eastAsia="Times New Roman" w:cs="Arial"/>
                <w:color w:val="000000"/>
                <w:szCs w:val="24"/>
                <w:lang w:eastAsia="cs-CZ"/>
              </w:rPr>
            </w:pPr>
            <w:r w:rsidRPr="003B2562">
              <w:rPr>
                <w:rFonts w:eastAsia="Times New Roman" w:cs="Arial"/>
                <w:color w:val="000000"/>
                <w:szCs w:val="24"/>
                <w:lang w:eastAsia="cs-CZ"/>
              </w:rPr>
              <w:t> </w:t>
            </w:r>
          </w:p>
        </w:tc>
        <w:tc>
          <w:tcPr>
            <w:tcW w:w="1624" w:type="dxa"/>
            <w:tcBorders>
              <w:top w:val="single" w:sz="12" w:space="0" w:color="auto"/>
              <w:left w:val="single" w:sz="12" w:space="0" w:color="auto"/>
              <w:bottom w:val="single" w:sz="12" w:space="0" w:color="auto"/>
            </w:tcBorders>
            <w:shd w:val="clear" w:color="auto" w:fill="auto"/>
            <w:noWrap/>
            <w:vAlign w:val="bottom"/>
          </w:tcPr>
          <w:p w:rsidR="006C3A6D" w:rsidRPr="006C3A6D" w:rsidRDefault="006C3A6D"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6C3A6D" w:rsidRPr="003B2562" w:rsidRDefault="006C3A6D" w:rsidP="006C3A6D">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N</w:t>
            </w:r>
          </w:p>
        </w:tc>
      </w:tr>
      <w:tr w:rsidR="001B7AAD" w:rsidRPr="003B2562" w:rsidTr="00975FB2">
        <w:trPr>
          <w:trHeight w:val="285"/>
        </w:trPr>
        <w:tc>
          <w:tcPr>
            <w:tcW w:w="718" w:type="dxa"/>
            <w:vMerge w:val="restart"/>
            <w:tcBorders>
              <w:top w:val="nil"/>
              <w:left w:val="single" w:sz="8" w:space="0" w:color="auto"/>
              <w:bottom w:val="single" w:sz="8" w:space="0" w:color="000000"/>
              <w:right w:val="single" w:sz="8" w:space="0" w:color="auto"/>
            </w:tcBorders>
            <w:shd w:val="clear" w:color="000000" w:fill="FDE9D9"/>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Potírání diskriminace na trhu práce a nelegálního zaměstnávání</w:t>
            </w:r>
          </w:p>
        </w:tc>
        <w:tc>
          <w:tcPr>
            <w:tcW w:w="2936" w:type="dxa"/>
            <w:gridSpan w:val="2"/>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2"/>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6C3A6D">
        <w:trPr>
          <w:trHeight w:val="285"/>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7"/>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Zintenzivnění činnosti SUIP v oblasti kontroly nelegální práce a potírání diskriminace na trhu práce</w:t>
            </w:r>
          </w:p>
        </w:tc>
      </w:tr>
      <w:tr w:rsidR="001B7AAD" w:rsidRPr="003B2562" w:rsidTr="006C3A6D">
        <w:trPr>
          <w:trHeight w:val="285"/>
        </w:trPr>
        <w:tc>
          <w:tcPr>
            <w:tcW w:w="718"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3B2562" w:rsidP="006C3A6D">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500" w:type="dxa"/>
            <w:gridSpan w:val="2"/>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2"/>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6C3A6D">
        <w:trPr>
          <w:trHeight w:val="4890"/>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98" w:type="dxa"/>
            <w:gridSpan w:val="6"/>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roce 2016 bylo souhrnně ve všech oblastech kontrolní činnosti SÚIP  provedeno 26 620 kontrol. Z tohoto počtu bylo v oblasti dodržování ustanovení ZoZ provedeno celkem 9 632 kontrol (9 308 zaměřeno na nelegální zaměstnávání). Nelegální zaměstnávání bylo zjištěno u 845 kontrol. Z celkového počtu 2 290 zjištěných nelegálně zaměstnaných osob se v 760 případech jednalo o občany ČR, ve 193 případech o občany EU a v 1 337 případech o občany třecích zemí. V případě výkonu nelegální práce občanů třetích zemí, se v 343 případech jednalo o výkon práce mimo pracovněprávní vztah, v 785 případech o výkon práce bez či v rozporu s vydaným povolením k zaměstnání, zaměstnaneckou či modrou kartou a v 209 případech o výkon práce bez povolení k pobytu (někteří i v kombinaci více těchto nedostatků). Oproti roku 2015 byl zaznamenán výrazný nárůst počtu nelegálně zaměstnaných cizinců ze třetích zemí. Nejčastěji se jednalo o státní příslušníky Ukrajiny (997 osob), Moldavska (143 osob), Vietnamu (73 osob), Srbska (37 osob), Albánie (12 osob), Uzbekistánu (10 osob) a Ruska (9 osob). V roce 2016 obdržel SÚIP celkem 7</w:t>
            </w:r>
            <w:r w:rsidR="00674862">
              <w:rPr>
                <w:rFonts w:eastAsia="Times New Roman" w:cs="Arial"/>
                <w:color w:val="000000"/>
                <w:szCs w:val="24"/>
                <w:lang w:eastAsia="cs-CZ"/>
              </w:rPr>
              <w:t> </w:t>
            </w:r>
            <w:r w:rsidRPr="003B2562">
              <w:rPr>
                <w:rFonts w:eastAsia="Times New Roman" w:cs="Arial"/>
                <w:color w:val="000000"/>
                <w:szCs w:val="24"/>
                <w:lang w:eastAsia="cs-CZ"/>
              </w:rPr>
              <w:t>351 podnětů ke kontrole. Z tohoto počtu směřovalo do dodržování ZoZ v roce 2016 celkem 2 254 podnětů, z nichž 1</w:t>
            </w:r>
            <w:r w:rsidR="00674862">
              <w:rPr>
                <w:rFonts w:eastAsia="Times New Roman" w:cs="Arial"/>
                <w:color w:val="000000"/>
                <w:szCs w:val="24"/>
                <w:lang w:eastAsia="cs-CZ"/>
              </w:rPr>
              <w:t> </w:t>
            </w:r>
            <w:r w:rsidRPr="003B2562">
              <w:rPr>
                <w:rFonts w:eastAsia="Times New Roman" w:cs="Arial"/>
                <w:color w:val="000000"/>
                <w:szCs w:val="24"/>
                <w:lang w:eastAsia="cs-CZ"/>
              </w:rPr>
              <w:t>925 podnětů poukazovalo porušování v oblasti nelegálního zaměstnávání. V úseku nelegálního zaměstnávání pak upozorňovalo 1 702 podnětů na výkon nelegální práce občanů ČR, v 306 případech na nelegální práci občanů EU mimo ČR a v 449 případech na výkon nelegální práce cizinců mimo EU. Přičemž jeden objekt může směřovat do více oblastí a je v každé z nich započítán. Na základě přijatých podnětů bylo provedeno celkem 5 664 kontrol, z nichž 1 460 kontrol směřovalo do oblasti nelegálního zaměstnávání. Za porušení právních předpisů v oblasti nelegálního zaměstnávání bylo uloženo v roce 2016 714 pokut a jejich celková výše dosáhla částky 73 152 500 Kč. V loňském roce obdržel Státní úřad inspekce práce 390 podnětů směřujících do oblasti uplatňování práva na zaměstnání a</w:t>
            </w:r>
            <w:r w:rsidR="00674862">
              <w:rPr>
                <w:rFonts w:eastAsia="Times New Roman" w:cs="Arial"/>
                <w:color w:val="000000"/>
                <w:szCs w:val="24"/>
                <w:lang w:eastAsia="cs-CZ"/>
              </w:rPr>
              <w:t> </w:t>
            </w:r>
            <w:r w:rsidRPr="003B2562">
              <w:rPr>
                <w:rFonts w:eastAsia="Times New Roman" w:cs="Arial"/>
                <w:color w:val="000000"/>
                <w:szCs w:val="24"/>
                <w:lang w:eastAsia="cs-CZ"/>
              </w:rPr>
              <w:t>v</w:t>
            </w:r>
            <w:r w:rsidR="00674862">
              <w:rPr>
                <w:rFonts w:eastAsia="Times New Roman" w:cs="Arial"/>
                <w:color w:val="000000"/>
                <w:szCs w:val="24"/>
                <w:lang w:eastAsia="cs-CZ"/>
              </w:rPr>
              <w:t> </w:t>
            </w:r>
            <w:r w:rsidRPr="003B2562">
              <w:rPr>
                <w:rFonts w:eastAsia="Times New Roman" w:cs="Arial"/>
                <w:color w:val="000000"/>
                <w:szCs w:val="24"/>
                <w:lang w:eastAsia="cs-CZ"/>
              </w:rPr>
              <w:t>zaměstnání. V roce 2016 bylo provedeno 683 kontrol zaměřených na diskriminaci při uplatňování práva na zaměstnání a v zaměstnání, z toho 431 přímo v rámci hlavního úkolu zaměřeného na diskriminaci a při dalších 252 kontrolách byla oblast diskriminace jednou z kontrolovaných oblastí. Při těchto kontrolách bylo zjištěno 152 nedostatků. Za zjištěné nedostatky bylo uloženo 46 pokut v souhrnné výši 836 000 Kč.</w:t>
            </w:r>
          </w:p>
        </w:tc>
      </w:tr>
      <w:tr w:rsidR="003B2562" w:rsidRPr="003B2562" w:rsidTr="00975FB2">
        <w:trPr>
          <w:trHeight w:val="652"/>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sled</w:t>
            </w:r>
            <w:r w:rsidR="003A3999">
              <w:rPr>
                <w:rFonts w:eastAsia="Times New Roman" w:cs="Arial"/>
                <w:color w:val="000000"/>
                <w:szCs w:val="24"/>
                <w:lang w:eastAsia="cs-CZ"/>
              </w:rPr>
              <w:t>.</w:t>
            </w:r>
            <w:r w:rsidRPr="003B2562">
              <w:rPr>
                <w:rFonts w:eastAsia="Times New Roman" w:cs="Arial"/>
                <w:color w:val="000000"/>
                <w:szCs w:val="24"/>
                <w:lang w:eastAsia="cs-CZ"/>
              </w:rPr>
              <w:t xml:space="preserve"> </w:t>
            </w:r>
          </w:p>
        </w:tc>
        <w:tc>
          <w:tcPr>
            <w:tcW w:w="12798" w:type="dxa"/>
            <w:gridSpan w:val="6"/>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beze změny</w:t>
            </w:r>
          </w:p>
        </w:tc>
      </w:tr>
    </w:tbl>
    <w:p w:rsidR="00480702" w:rsidRDefault="00480702">
      <w: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673"/>
        <w:gridCol w:w="1682"/>
        <w:gridCol w:w="1145"/>
        <w:gridCol w:w="1028"/>
        <w:gridCol w:w="3628"/>
        <w:gridCol w:w="1624"/>
        <w:gridCol w:w="3018"/>
      </w:tblGrid>
      <w:tr w:rsidR="003B2562" w:rsidRPr="003B2562" w:rsidTr="00A7437E">
        <w:trPr>
          <w:trHeight w:val="330"/>
        </w:trPr>
        <w:tc>
          <w:tcPr>
            <w:tcW w:w="718" w:type="dxa"/>
            <w:tcBorders>
              <w:top w:val="double" w:sz="6" w:space="0" w:color="auto"/>
              <w:left w:val="double" w:sz="6" w:space="0" w:color="auto"/>
              <w:bottom w:val="double" w:sz="6" w:space="0" w:color="auto"/>
              <w:right w:val="nil"/>
            </w:tcBorders>
            <w:shd w:val="clear" w:color="000000" w:fill="B1A0C7"/>
            <w:noWrap/>
            <w:vAlign w:val="center"/>
            <w:hideMark/>
          </w:tcPr>
          <w:p w:rsidR="003B2562" w:rsidRPr="003B2562" w:rsidRDefault="003B2562" w:rsidP="003B2562">
            <w:pPr>
              <w:spacing w:line="240" w:lineRule="auto"/>
              <w:jc w:val="center"/>
              <w:rPr>
                <w:rFonts w:eastAsia="Times New Roman" w:cs="Arial"/>
                <w:b/>
                <w:bCs/>
                <w:color w:val="000000"/>
                <w:szCs w:val="24"/>
                <w:lang w:eastAsia="cs-CZ"/>
              </w:rPr>
            </w:pPr>
          </w:p>
        </w:tc>
        <w:tc>
          <w:tcPr>
            <w:tcW w:w="13379" w:type="dxa"/>
            <w:gridSpan w:val="8"/>
            <w:tcBorders>
              <w:top w:val="double" w:sz="6" w:space="0" w:color="auto"/>
              <w:left w:val="nil"/>
              <w:bottom w:val="double" w:sz="6" w:space="0" w:color="auto"/>
              <w:right w:val="double" w:sz="6" w:space="0" w:color="000000"/>
            </w:tcBorders>
            <w:shd w:val="clear" w:color="000000" w:fill="B1A0C7"/>
            <w:vAlign w:val="center"/>
            <w:hideMark/>
          </w:tcPr>
          <w:p w:rsidR="003B2562" w:rsidRPr="003B2562" w:rsidRDefault="000F62D5" w:rsidP="00FF4B45">
            <w:pPr>
              <w:pStyle w:val="Nadpis2"/>
              <w:numPr>
                <w:ilvl w:val="0"/>
                <w:numId w:val="0"/>
              </w:numPr>
              <w:rPr>
                <w:rFonts w:eastAsia="Times New Roman"/>
                <w:lang w:eastAsia="cs-CZ"/>
              </w:rPr>
            </w:pPr>
            <w:bookmarkStart w:id="104" w:name="_Toc492628609"/>
            <w:r>
              <w:rPr>
                <w:rFonts w:eastAsia="Times New Roman"/>
                <w:lang w:eastAsia="cs-CZ"/>
              </w:rPr>
              <w:t>Sk. 4 Zvýšení</w:t>
            </w:r>
            <w:r w:rsidR="003B2562" w:rsidRPr="003B2562">
              <w:rPr>
                <w:rFonts w:eastAsia="Times New Roman"/>
                <w:lang w:eastAsia="cs-CZ"/>
              </w:rPr>
              <w:t xml:space="preserve"> kvalifikačního souladu na trhu práce</w:t>
            </w:r>
            <w:bookmarkEnd w:id="104"/>
          </w:p>
        </w:tc>
      </w:tr>
      <w:tr w:rsidR="00480702" w:rsidRPr="003B2562" w:rsidTr="00975FB2">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480702" w:rsidRPr="003B2562" w:rsidRDefault="0048070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4.1</w:t>
            </w:r>
          </w:p>
        </w:tc>
        <w:tc>
          <w:tcPr>
            <w:tcW w:w="1254" w:type="dxa"/>
            <w:gridSpan w:val="2"/>
            <w:tcBorders>
              <w:top w:val="single" w:sz="8" w:space="0" w:color="auto"/>
              <w:left w:val="single" w:sz="12" w:space="0" w:color="auto"/>
              <w:bottom w:val="single" w:sz="12" w:space="0" w:color="auto"/>
              <w:right w:val="nil"/>
            </w:tcBorders>
            <w:shd w:val="clear" w:color="auto" w:fill="auto"/>
            <w:noWrap/>
            <w:vAlign w:val="bottom"/>
            <w:hideMark/>
          </w:tcPr>
          <w:p w:rsidR="00480702" w:rsidRPr="003B2562" w:rsidRDefault="0048070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1682" w:type="dxa"/>
            <w:tcBorders>
              <w:top w:val="single" w:sz="8" w:space="0" w:color="auto"/>
              <w:left w:val="nil"/>
              <w:bottom w:val="single" w:sz="12" w:space="0" w:color="auto"/>
              <w:right w:val="nil"/>
            </w:tcBorders>
            <w:shd w:val="clear" w:color="auto" w:fill="auto"/>
            <w:noWrap/>
            <w:vAlign w:val="bottom"/>
            <w:hideMark/>
          </w:tcPr>
          <w:p w:rsidR="00480702" w:rsidRPr="003B2562" w:rsidRDefault="00480702" w:rsidP="0048070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480702" w:rsidRPr="003B2562" w:rsidRDefault="00480702"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480702" w:rsidRPr="003B2562" w:rsidRDefault="0048070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480702" w:rsidRPr="003B2562" w:rsidRDefault="00480702" w:rsidP="003B2562">
            <w:pPr>
              <w:spacing w:line="240" w:lineRule="auto"/>
              <w:jc w:val="right"/>
              <w:rPr>
                <w:rFonts w:eastAsia="Times New Roman" w:cs="Arial"/>
                <w:color w:val="000000"/>
                <w:szCs w:val="24"/>
                <w:lang w:eastAsia="cs-CZ"/>
              </w:rPr>
            </w:pPr>
          </w:p>
        </w:tc>
        <w:tc>
          <w:tcPr>
            <w:tcW w:w="1624" w:type="dxa"/>
            <w:tcBorders>
              <w:top w:val="single" w:sz="8" w:space="0" w:color="auto"/>
              <w:left w:val="single" w:sz="12" w:space="0" w:color="auto"/>
              <w:bottom w:val="single" w:sz="12" w:space="0" w:color="auto"/>
            </w:tcBorders>
            <w:shd w:val="clear" w:color="auto" w:fill="auto"/>
            <w:noWrap/>
            <w:vAlign w:val="bottom"/>
          </w:tcPr>
          <w:p w:rsidR="00480702" w:rsidRPr="00975FB2" w:rsidRDefault="00F9736F" w:rsidP="003B2562">
            <w:pPr>
              <w:spacing w:line="240" w:lineRule="auto"/>
              <w:jc w:val="right"/>
              <w:rPr>
                <w:rFonts w:eastAsia="Times New Roman" w:cs="Arial"/>
                <w:b/>
                <w:color w:val="000000"/>
                <w:szCs w:val="24"/>
                <w:lang w:eastAsia="cs-CZ"/>
              </w:rPr>
            </w:pPr>
            <w:r w:rsidRPr="00975FB2">
              <w:rPr>
                <w:rFonts w:eastAsia="Times New Roman" w:cs="Arial"/>
                <w:b/>
                <w:color w:val="000000"/>
                <w:szCs w:val="24"/>
                <w:lang w:eastAsia="cs-CZ"/>
              </w:rPr>
              <w:t>Povaha</w:t>
            </w:r>
          </w:p>
        </w:tc>
        <w:tc>
          <w:tcPr>
            <w:tcW w:w="3018" w:type="dxa"/>
            <w:tcBorders>
              <w:top w:val="single" w:sz="8" w:space="0" w:color="auto"/>
              <w:bottom w:val="single" w:sz="12" w:space="0" w:color="auto"/>
              <w:right w:val="single" w:sz="12" w:space="0" w:color="auto"/>
            </w:tcBorders>
            <w:shd w:val="clear" w:color="auto" w:fill="auto"/>
            <w:noWrap/>
            <w:vAlign w:val="bottom"/>
          </w:tcPr>
          <w:p w:rsidR="00480702" w:rsidRPr="00C52A0B" w:rsidRDefault="00480702" w:rsidP="00480702">
            <w:pPr>
              <w:spacing w:line="240" w:lineRule="auto"/>
              <w:jc w:val="left"/>
              <w:rPr>
                <w:rFonts w:eastAsia="Times New Roman" w:cs="Arial"/>
                <w:b/>
                <w:bCs/>
                <w:color w:val="000000"/>
                <w:szCs w:val="24"/>
                <w:lang w:eastAsia="cs-CZ"/>
              </w:rPr>
            </w:pPr>
            <w:r w:rsidRPr="00C52A0B">
              <w:rPr>
                <w:rFonts w:eastAsia="Times New Roman" w:cs="Arial"/>
                <w:b/>
                <w:bCs/>
                <w:color w:val="000000"/>
                <w:szCs w:val="24"/>
                <w:lang w:eastAsia="cs-CZ"/>
              </w:rPr>
              <w:t>N</w:t>
            </w:r>
          </w:p>
        </w:tc>
      </w:tr>
      <w:tr w:rsidR="001B7AAD" w:rsidRPr="003B2562" w:rsidTr="00975FB2">
        <w:trPr>
          <w:trHeight w:val="285"/>
        </w:trPr>
        <w:tc>
          <w:tcPr>
            <w:tcW w:w="718"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Kariérové poradenství</w:t>
            </w:r>
          </w:p>
        </w:tc>
        <w:tc>
          <w:tcPr>
            <w:tcW w:w="2936" w:type="dxa"/>
            <w:gridSpan w:val="3"/>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2"/>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F9736F">
        <w:trPr>
          <w:trHeight w:val="812"/>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8"/>
            <w:tcBorders>
              <w:left w:val="nil"/>
              <w:bottom w:val="double" w:sz="6" w:space="0" w:color="auto"/>
              <w:right w:val="single" w:sz="8" w:space="0" w:color="000000"/>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 rámci individualizované práce s klienty ÚP ČR budou posíleny útvary informačních a poradenských středisek s cílem zintenzivnit činnost ÚP ČR v oblasti kariérového poradenství a poradenství k volbě povolání s cílem směřovat volnou (a</w:t>
            </w:r>
            <w:r w:rsidR="00674862">
              <w:rPr>
                <w:rFonts w:eastAsia="Times New Roman" w:cs="Arial"/>
                <w:color w:val="000000"/>
                <w:szCs w:val="24"/>
                <w:lang w:eastAsia="cs-CZ"/>
              </w:rPr>
              <w:t> </w:t>
            </w:r>
            <w:r w:rsidRPr="003B2562">
              <w:rPr>
                <w:rFonts w:eastAsia="Times New Roman" w:cs="Arial"/>
                <w:color w:val="000000"/>
                <w:szCs w:val="24"/>
                <w:lang w:eastAsia="cs-CZ"/>
              </w:rPr>
              <w:t>potenciální) pracovní sílu do těch oblastí národního hospodářství, kde je citelný nedostatek vhodné pracovní síly</w:t>
            </w:r>
          </w:p>
        </w:tc>
      </w:tr>
      <w:tr w:rsidR="001B7AAD" w:rsidRPr="003B2562" w:rsidTr="00975FB2">
        <w:trPr>
          <w:trHeight w:val="285"/>
        </w:trPr>
        <w:tc>
          <w:tcPr>
            <w:tcW w:w="718"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F9736F"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500" w:type="dxa"/>
            <w:gridSpan w:val="3"/>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2"/>
            <w:tcBorders>
              <w:top w:val="double" w:sz="6" w:space="0" w:color="auto"/>
              <w:left w:val="double" w:sz="6" w:space="0" w:color="auto"/>
              <w:bottom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bottom w:val="double" w:sz="6" w:space="0" w:color="auto"/>
              <w:right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left w:val="nil"/>
              <w:bottom w:val="double" w:sz="6" w:space="0" w:color="auto"/>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F9736F" w:rsidRPr="003B2562" w:rsidTr="00975FB2">
        <w:trPr>
          <w:trHeight w:val="3885"/>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98" w:type="dxa"/>
            <w:gridSpan w:val="7"/>
            <w:tcBorders>
              <w:top w:val="double" w:sz="6" w:space="0" w:color="auto"/>
              <w:left w:val="nil"/>
              <w:bottom w:val="single" w:sz="4" w:space="0" w:color="auto"/>
              <w:right w:val="single" w:sz="4" w:space="0" w:color="auto"/>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Interní poradenské aktivity zajišťované zaměstnanci útvarů poradenství a dalšího vzdělávání se soustředily na skupinové i individuální poradenství. Poradenské aktivity zaměřené na volbu či změnu povolání, byly zabezpečované především zaměstnanci IPS. Poskytovány jsou jak žákům a studentům (případně jejich rodičům), tak zároveň UoZ. V</w:t>
            </w:r>
            <w:r w:rsidR="00C52A0B">
              <w:rPr>
                <w:rFonts w:eastAsia="Times New Roman" w:cs="Arial"/>
                <w:color w:val="000000"/>
                <w:szCs w:val="24"/>
                <w:lang w:eastAsia="cs-CZ"/>
              </w:rPr>
              <w:t> </w:t>
            </w:r>
            <w:r w:rsidRPr="003B2562">
              <w:rPr>
                <w:rFonts w:eastAsia="Times New Roman" w:cs="Arial"/>
                <w:color w:val="000000"/>
                <w:szCs w:val="24"/>
                <w:lang w:eastAsia="cs-CZ"/>
              </w:rPr>
              <w:t>rámci poradenství pro volbu povolání bylo IPS zrealizováno celkem 4 704 skupinových akcí pro školy (99 027 žáků či studentů). IPS v roce 2015 uspořádala celkem 2 936 akcí pro 30 778 UoZ. Skupinové informační schůzky jsou zaměřeny na informování klientů o jejich právech a povinnostech, o službách ÚP ČR, o rekvalifikacích a APZ, o</w:t>
            </w:r>
            <w:r w:rsidR="00C52A0B">
              <w:rPr>
                <w:rFonts w:eastAsia="Times New Roman" w:cs="Arial"/>
                <w:color w:val="000000"/>
                <w:szCs w:val="24"/>
                <w:lang w:eastAsia="cs-CZ"/>
              </w:rPr>
              <w:t> </w:t>
            </w:r>
            <w:r w:rsidRPr="003B2562">
              <w:rPr>
                <w:rFonts w:eastAsia="Times New Roman" w:cs="Arial"/>
                <w:color w:val="000000"/>
                <w:szCs w:val="24"/>
                <w:lang w:eastAsia="cs-CZ"/>
              </w:rPr>
              <w:t xml:space="preserve">možnostech sjednání IAP apod. Informačních schůzek se v roce 2016 uskutečnilo 5 790 pro 108 488 klientů. Individuální poradenství bylo v roce 2016 poskytnuto 127 526 klientům, zahrnuje především poradenství k volbě povolání, k rekvalifikacím, speciální, psychologické poradenství, poradenství k pracovní rehabilitaci či užití diagnostických nástrojů. Bilanční diagnostika byla interně poskytnuta celkem 125 klientům. V roce 2016 bylo realizováno interně zaměstnanci ÚP ČR celkem 263 skupinových poradenských aktivit v rámci RIP. Tyto aktivity byly realizovány pro 1 930 klientů. Individuální poradenství bylo poskytnuto v rámci RIP celkem 2 388 klientům. ÚP ČR rovněž realizoval další akce v počtu 633 (např. prezentace IPS na veletrzích). Externí poradenství bylo v roce 2016 zabezpečováno prostřednictvím odborných zařízení za účelem zjišťování osobnostních a kvalifikačních předpokladů osob pro volbu povolání, pro zprostředkování vhodného zaměstnání, pro volbu přípravy k práci OZP a při výběru </w:t>
            </w:r>
            <w:r w:rsidR="00C52A0B">
              <w:rPr>
                <w:rFonts w:eastAsia="Times New Roman" w:cs="Arial"/>
                <w:color w:val="000000"/>
                <w:szCs w:val="24"/>
                <w:lang w:eastAsia="cs-CZ"/>
              </w:rPr>
              <w:t>n</w:t>
            </w:r>
            <w:r w:rsidRPr="003B2562">
              <w:rPr>
                <w:rFonts w:eastAsia="Times New Roman" w:cs="Arial"/>
                <w:color w:val="000000"/>
                <w:szCs w:val="24"/>
                <w:lang w:eastAsia="cs-CZ"/>
              </w:rPr>
              <w:t>ástrojů APZ. Skupinových poradenských aktivit zabezpečovaných externě se uskutečnilo 442 pro 4 324 klientů, individuální poradenství pro 494 klientů. Bilanční diagnostika byla zajišťována především externě, pro 945 klientů. Job Cluby představují ucelený aktivizační poradenský program. Počet realizovaných programů v roce 2016 byl celkem 268. Počet účastníků byl 2 478, z toho bylo 2 105 úspěšných absolventů.</w:t>
            </w:r>
          </w:p>
        </w:tc>
      </w:tr>
      <w:tr w:rsidR="00F9736F" w:rsidRPr="003B2562" w:rsidTr="00975FB2">
        <w:trPr>
          <w:trHeight w:val="4005"/>
        </w:trPr>
        <w:tc>
          <w:tcPr>
            <w:tcW w:w="718" w:type="dxa"/>
            <w:vMerge/>
            <w:tcBorders>
              <w:top w:val="nil"/>
              <w:left w:val="single" w:sz="8" w:space="0" w:color="auto"/>
              <w:bottom w:val="single" w:sz="4" w:space="0" w:color="auto"/>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single" w:sz="4" w:space="0" w:color="auto"/>
              <w:left w:val="nil"/>
              <w:bottom w:val="single" w:sz="4"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798" w:type="dxa"/>
            <w:gridSpan w:val="7"/>
            <w:tcBorders>
              <w:top w:val="single" w:sz="4" w:space="0" w:color="auto"/>
              <w:left w:val="nil"/>
              <w:bottom w:val="single" w:sz="4"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Interní poradenské aktivity zajišťované zaměstnanci útvarů poradenství a dalšího vzdělávání se soustředily na skupinové i individuální poradenství. Poradenské aktivity zaměřené na volbu či změnu povolání, byly zabezpečované především zaměstnanci IPS. Poskytovány jsou jak žákům a studentům (případně jejich rodičům), tak zároveň UoZ. V</w:t>
            </w:r>
            <w:r w:rsidR="00D12997">
              <w:rPr>
                <w:rFonts w:eastAsia="Times New Roman" w:cs="Arial"/>
                <w:color w:val="000000"/>
                <w:szCs w:val="24"/>
                <w:lang w:eastAsia="cs-CZ"/>
              </w:rPr>
              <w:t> </w:t>
            </w:r>
            <w:r w:rsidRPr="003B2562">
              <w:rPr>
                <w:rFonts w:eastAsia="Times New Roman" w:cs="Arial"/>
                <w:color w:val="000000"/>
                <w:szCs w:val="24"/>
                <w:lang w:eastAsia="cs-CZ"/>
              </w:rPr>
              <w:t>rámci poradenství pro volbu povolání bylo IPS zrealizováno celkem 2</w:t>
            </w:r>
            <w:r w:rsidR="004B235C">
              <w:rPr>
                <w:rFonts w:eastAsia="Times New Roman" w:cs="Arial"/>
                <w:color w:val="000000"/>
                <w:szCs w:val="24"/>
                <w:lang w:eastAsia="cs-CZ"/>
              </w:rPr>
              <w:t xml:space="preserve"> </w:t>
            </w:r>
            <w:r w:rsidRPr="003B2562">
              <w:rPr>
                <w:rFonts w:eastAsia="Times New Roman" w:cs="Arial"/>
                <w:color w:val="000000"/>
                <w:szCs w:val="24"/>
                <w:lang w:eastAsia="cs-CZ"/>
              </w:rPr>
              <w:t>431 skupinových akcí pro školy (51</w:t>
            </w:r>
            <w:r w:rsidR="004B235C">
              <w:rPr>
                <w:rFonts w:eastAsia="Times New Roman" w:cs="Arial"/>
                <w:color w:val="000000"/>
                <w:szCs w:val="24"/>
                <w:lang w:eastAsia="cs-CZ"/>
              </w:rPr>
              <w:t xml:space="preserve"> </w:t>
            </w:r>
            <w:r w:rsidRPr="003B2562">
              <w:rPr>
                <w:rFonts w:eastAsia="Times New Roman" w:cs="Arial"/>
                <w:color w:val="000000"/>
                <w:szCs w:val="24"/>
                <w:lang w:eastAsia="cs-CZ"/>
              </w:rPr>
              <w:t>945 žáků či studentů). IPS v roce 2017 uspořádala celkem 2</w:t>
            </w:r>
            <w:r w:rsidR="004B235C">
              <w:rPr>
                <w:rFonts w:eastAsia="Times New Roman" w:cs="Arial"/>
                <w:color w:val="000000"/>
                <w:szCs w:val="24"/>
                <w:lang w:eastAsia="cs-CZ"/>
              </w:rPr>
              <w:t xml:space="preserve"> </w:t>
            </w:r>
            <w:r w:rsidRPr="003B2562">
              <w:rPr>
                <w:rFonts w:eastAsia="Times New Roman" w:cs="Arial"/>
                <w:color w:val="000000"/>
                <w:szCs w:val="24"/>
                <w:lang w:eastAsia="cs-CZ"/>
              </w:rPr>
              <w:t>113 akcí pro 16</w:t>
            </w:r>
            <w:r w:rsidR="004B235C">
              <w:rPr>
                <w:rFonts w:eastAsia="Times New Roman" w:cs="Arial"/>
                <w:color w:val="000000"/>
                <w:szCs w:val="24"/>
                <w:lang w:eastAsia="cs-CZ"/>
              </w:rPr>
              <w:t xml:space="preserve"> </w:t>
            </w:r>
            <w:r w:rsidRPr="003B2562">
              <w:rPr>
                <w:rFonts w:eastAsia="Times New Roman" w:cs="Arial"/>
                <w:color w:val="000000"/>
                <w:szCs w:val="24"/>
                <w:lang w:eastAsia="cs-CZ"/>
              </w:rPr>
              <w:t>764 UoZ. Skupinové informační schůzky jsou zaměřeny na informování klientů o jejich právech a povinnostech, o službách ÚP ČR, o rekvalifikacích a APZ, o</w:t>
            </w:r>
            <w:r w:rsidR="00D12997">
              <w:rPr>
                <w:rFonts w:eastAsia="Times New Roman" w:cs="Arial"/>
                <w:color w:val="000000"/>
                <w:szCs w:val="24"/>
                <w:lang w:eastAsia="cs-CZ"/>
              </w:rPr>
              <w:t> </w:t>
            </w:r>
            <w:r w:rsidRPr="003B2562">
              <w:rPr>
                <w:rFonts w:eastAsia="Times New Roman" w:cs="Arial"/>
                <w:color w:val="000000"/>
                <w:szCs w:val="24"/>
                <w:lang w:eastAsia="cs-CZ"/>
              </w:rPr>
              <w:t>možnostech sjednání IAP apod. Informačních schůzek se v roce 2017 uskutečnilo 2</w:t>
            </w:r>
            <w:r w:rsidR="004B235C">
              <w:rPr>
                <w:rFonts w:eastAsia="Times New Roman" w:cs="Arial"/>
                <w:color w:val="000000"/>
                <w:szCs w:val="24"/>
                <w:lang w:eastAsia="cs-CZ"/>
              </w:rPr>
              <w:t xml:space="preserve"> </w:t>
            </w:r>
            <w:r w:rsidRPr="003B2562">
              <w:rPr>
                <w:rFonts w:eastAsia="Times New Roman" w:cs="Arial"/>
                <w:color w:val="000000"/>
                <w:szCs w:val="24"/>
                <w:lang w:eastAsia="cs-CZ"/>
              </w:rPr>
              <w:t>913 pro 42</w:t>
            </w:r>
            <w:r w:rsidR="004B235C">
              <w:rPr>
                <w:rFonts w:eastAsia="Times New Roman" w:cs="Arial"/>
                <w:color w:val="000000"/>
                <w:szCs w:val="24"/>
                <w:lang w:eastAsia="cs-CZ"/>
              </w:rPr>
              <w:t xml:space="preserve"> </w:t>
            </w:r>
            <w:r w:rsidRPr="003B2562">
              <w:rPr>
                <w:rFonts w:eastAsia="Times New Roman" w:cs="Arial"/>
                <w:color w:val="000000"/>
                <w:szCs w:val="24"/>
                <w:lang w:eastAsia="cs-CZ"/>
              </w:rPr>
              <w:t>948 klientů. Individuální poradenství bylo v roce 2017 poskytnuto 58</w:t>
            </w:r>
            <w:r w:rsidR="004B235C">
              <w:rPr>
                <w:rFonts w:eastAsia="Times New Roman" w:cs="Arial"/>
                <w:color w:val="000000"/>
                <w:szCs w:val="24"/>
                <w:lang w:eastAsia="cs-CZ"/>
              </w:rPr>
              <w:t xml:space="preserve"> </w:t>
            </w:r>
            <w:r w:rsidRPr="003B2562">
              <w:rPr>
                <w:rFonts w:eastAsia="Times New Roman" w:cs="Arial"/>
                <w:color w:val="000000"/>
                <w:szCs w:val="24"/>
                <w:lang w:eastAsia="cs-CZ"/>
              </w:rPr>
              <w:t>149 klientům, zahrnuje především poradenství k volbě povolání, k</w:t>
            </w:r>
            <w:r w:rsidR="00D12997">
              <w:rPr>
                <w:rFonts w:eastAsia="Times New Roman" w:cs="Arial"/>
                <w:color w:val="000000"/>
                <w:szCs w:val="24"/>
                <w:lang w:eastAsia="cs-CZ"/>
              </w:rPr>
              <w:t> </w:t>
            </w:r>
            <w:r w:rsidRPr="003B2562">
              <w:rPr>
                <w:rFonts w:eastAsia="Times New Roman" w:cs="Arial"/>
                <w:color w:val="000000"/>
                <w:szCs w:val="24"/>
                <w:lang w:eastAsia="cs-CZ"/>
              </w:rPr>
              <w:t>rekvalifikacím, speciální, psychologické poradenství, poradenství k pracovní rehabilitaci či užití diagnostických nástrojů. Bilanční diagnostika byla interně poskytnuta celkem 24 klientům. V roce 2017 bylo realizováno interně zaměstnanci ÚP ČR celkem 317 skupinových poradenských aktivit v rámci RIP. Tyto aktivity byly realizovány pro 2</w:t>
            </w:r>
            <w:r w:rsidR="004B235C">
              <w:rPr>
                <w:rFonts w:eastAsia="Times New Roman" w:cs="Arial"/>
                <w:color w:val="000000"/>
                <w:szCs w:val="24"/>
                <w:lang w:eastAsia="cs-CZ"/>
              </w:rPr>
              <w:t xml:space="preserve"> </w:t>
            </w:r>
            <w:r w:rsidRPr="003B2562">
              <w:rPr>
                <w:rFonts w:eastAsia="Times New Roman" w:cs="Arial"/>
                <w:color w:val="000000"/>
                <w:szCs w:val="24"/>
                <w:lang w:eastAsia="cs-CZ"/>
              </w:rPr>
              <w:t>418 klientů. Individuální poradenství bylo poskytnuto v rámci RIP celkem 4</w:t>
            </w:r>
            <w:r w:rsidR="004B235C">
              <w:rPr>
                <w:rFonts w:eastAsia="Times New Roman" w:cs="Arial"/>
                <w:color w:val="000000"/>
                <w:szCs w:val="24"/>
                <w:lang w:eastAsia="cs-CZ"/>
              </w:rPr>
              <w:t xml:space="preserve"> </w:t>
            </w:r>
            <w:r w:rsidRPr="003B2562">
              <w:rPr>
                <w:rFonts w:eastAsia="Times New Roman" w:cs="Arial"/>
                <w:color w:val="000000"/>
                <w:szCs w:val="24"/>
                <w:lang w:eastAsia="cs-CZ"/>
              </w:rPr>
              <w:t>036 klientům. ÚP ČR rovněž realizoval další akce v počtu 240 (např. prezentace IPS na veletrzích). Externí poradenství bylo v roce 2017 zabezpečováno prostřednictvím odborných zařízení za účelem zjišťování osobnostních a kvalifikačních předpokladů osob pro volbu povolání, pro zprostředkování vhodného zaměstnání, pro volbu přípravy k práci OZP a při výběru nástrojů APZ. Skupinových poradenských aktivit zabezpečovaných externě se uskutečnilo 287 pro 2</w:t>
            </w:r>
            <w:r w:rsidR="004B235C">
              <w:rPr>
                <w:rFonts w:eastAsia="Times New Roman" w:cs="Arial"/>
                <w:color w:val="000000"/>
                <w:szCs w:val="24"/>
                <w:lang w:eastAsia="cs-CZ"/>
              </w:rPr>
              <w:t xml:space="preserve"> </w:t>
            </w:r>
            <w:r w:rsidRPr="003B2562">
              <w:rPr>
                <w:rFonts w:eastAsia="Times New Roman" w:cs="Arial"/>
                <w:color w:val="000000"/>
                <w:szCs w:val="24"/>
                <w:lang w:eastAsia="cs-CZ"/>
              </w:rPr>
              <w:t>326 klientů, individuální poradenství pro 406 klientů. Bilanční diagnostika byla zajišťována především externě, pro 459 klientů. Job Cluby představují ucelený aktivizační poradenský program. Počet realizovaných programů v roce 2017 byl celkem 170. Počet účastníků byl 1479, z toho bylo 1290 úspěšných absolventů.</w:t>
            </w:r>
          </w:p>
        </w:tc>
      </w:tr>
    </w:tbl>
    <w:p w:rsidR="00F9736F" w:rsidRDefault="00F9736F">
      <w: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2355"/>
        <w:gridCol w:w="1145"/>
        <w:gridCol w:w="1028"/>
        <w:gridCol w:w="3628"/>
        <w:gridCol w:w="1624"/>
        <w:gridCol w:w="3018"/>
      </w:tblGrid>
      <w:tr w:rsidR="00F9736F" w:rsidRPr="003B2562" w:rsidTr="00975FB2">
        <w:trPr>
          <w:trHeight w:val="285"/>
        </w:trPr>
        <w:tc>
          <w:tcPr>
            <w:tcW w:w="718"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F9736F" w:rsidRPr="003B2562" w:rsidRDefault="00F9736F"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4.2</w:t>
            </w:r>
          </w:p>
        </w:tc>
        <w:tc>
          <w:tcPr>
            <w:tcW w:w="581" w:type="dxa"/>
            <w:tcBorders>
              <w:top w:val="single" w:sz="12" w:space="0" w:color="auto"/>
              <w:left w:val="single" w:sz="12" w:space="0" w:color="auto"/>
              <w:bottom w:val="single" w:sz="12" w:space="0" w:color="auto"/>
              <w:right w:val="nil"/>
            </w:tcBorders>
            <w:shd w:val="clear" w:color="auto" w:fill="auto"/>
            <w:noWrap/>
            <w:vAlign w:val="bottom"/>
            <w:hideMark/>
          </w:tcPr>
          <w:p w:rsidR="00F9736F" w:rsidRPr="003B2562" w:rsidRDefault="00F9736F"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355" w:type="dxa"/>
            <w:tcBorders>
              <w:top w:val="single" w:sz="12" w:space="0" w:color="auto"/>
              <w:left w:val="nil"/>
              <w:bottom w:val="single" w:sz="12" w:space="0" w:color="auto"/>
              <w:right w:val="nil"/>
            </w:tcBorders>
            <w:shd w:val="clear" w:color="auto" w:fill="auto"/>
            <w:noWrap/>
            <w:vAlign w:val="bottom"/>
            <w:hideMark/>
          </w:tcPr>
          <w:p w:rsidR="00F9736F" w:rsidRPr="003B2562" w:rsidRDefault="00F9736F" w:rsidP="00F9736F">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45" w:type="dxa"/>
            <w:tcBorders>
              <w:top w:val="single" w:sz="12" w:space="0" w:color="auto"/>
              <w:left w:val="single" w:sz="12" w:space="0" w:color="auto"/>
              <w:bottom w:val="single" w:sz="12" w:space="0" w:color="auto"/>
              <w:right w:val="nil"/>
            </w:tcBorders>
            <w:shd w:val="clear" w:color="auto" w:fill="auto"/>
            <w:noWrap/>
            <w:vAlign w:val="bottom"/>
            <w:hideMark/>
          </w:tcPr>
          <w:p w:rsidR="00F9736F" w:rsidRPr="003B2562" w:rsidRDefault="00F9736F"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12" w:space="0" w:color="auto"/>
              <w:right w:val="single" w:sz="12" w:space="0" w:color="auto"/>
            </w:tcBorders>
            <w:shd w:val="clear" w:color="auto" w:fill="auto"/>
            <w:noWrap/>
            <w:vAlign w:val="bottom"/>
            <w:hideMark/>
          </w:tcPr>
          <w:p w:rsidR="00F9736F" w:rsidRPr="003B2562" w:rsidRDefault="00F9736F"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tcBorders>
              <w:top w:val="single" w:sz="8" w:space="0" w:color="auto"/>
              <w:left w:val="nil"/>
              <w:right w:val="single" w:sz="12" w:space="0" w:color="auto"/>
            </w:tcBorders>
            <w:shd w:val="clear" w:color="auto" w:fill="auto"/>
            <w:noWrap/>
            <w:vAlign w:val="bottom"/>
          </w:tcPr>
          <w:p w:rsidR="00F9736F" w:rsidRPr="003B2562" w:rsidRDefault="00F9736F" w:rsidP="003B2562">
            <w:pPr>
              <w:spacing w:line="240" w:lineRule="auto"/>
              <w:jc w:val="right"/>
              <w:rPr>
                <w:rFonts w:eastAsia="Times New Roman" w:cs="Arial"/>
                <w:color w:val="000000"/>
                <w:szCs w:val="24"/>
                <w:lang w:eastAsia="cs-CZ"/>
              </w:rPr>
            </w:pPr>
          </w:p>
        </w:tc>
        <w:tc>
          <w:tcPr>
            <w:tcW w:w="1624" w:type="dxa"/>
            <w:tcBorders>
              <w:top w:val="single" w:sz="12" w:space="0" w:color="auto"/>
              <w:left w:val="single" w:sz="12" w:space="0" w:color="auto"/>
              <w:bottom w:val="single" w:sz="12" w:space="0" w:color="auto"/>
            </w:tcBorders>
            <w:shd w:val="clear" w:color="auto" w:fill="auto"/>
            <w:noWrap/>
            <w:vAlign w:val="bottom"/>
          </w:tcPr>
          <w:p w:rsidR="00F9736F" w:rsidRPr="00F9736F" w:rsidRDefault="00F9736F"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18" w:type="dxa"/>
            <w:tcBorders>
              <w:top w:val="single" w:sz="12" w:space="0" w:color="auto"/>
              <w:bottom w:val="single" w:sz="12" w:space="0" w:color="auto"/>
              <w:right w:val="single" w:sz="12" w:space="0" w:color="auto"/>
            </w:tcBorders>
            <w:shd w:val="clear" w:color="auto" w:fill="auto"/>
            <w:noWrap/>
            <w:vAlign w:val="bottom"/>
          </w:tcPr>
          <w:p w:rsidR="00F9736F" w:rsidRPr="00F9736F" w:rsidRDefault="00F9736F" w:rsidP="00F9736F">
            <w:pPr>
              <w:spacing w:line="240" w:lineRule="auto"/>
              <w:jc w:val="left"/>
              <w:rPr>
                <w:rFonts w:eastAsia="Times New Roman" w:cs="Arial"/>
                <w:b/>
                <w:bCs/>
                <w:color w:val="000000"/>
                <w:szCs w:val="24"/>
                <w:lang w:eastAsia="cs-CZ"/>
              </w:rPr>
            </w:pPr>
            <w:r w:rsidRPr="00F9736F">
              <w:rPr>
                <w:rFonts w:eastAsia="Times New Roman" w:cs="Arial"/>
                <w:b/>
                <w:bCs/>
                <w:color w:val="000000"/>
                <w:szCs w:val="24"/>
                <w:lang w:eastAsia="cs-CZ"/>
              </w:rPr>
              <w:t>N</w:t>
            </w:r>
          </w:p>
        </w:tc>
      </w:tr>
      <w:tr w:rsidR="001B7AAD" w:rsidRPr="003B2562" w:rsidTr="00975FB2">
        <w:trPr>
          <w:trHeight w:val="285"/>
        </w:trPr>
        <w:tc>
          <w:tcPr>
            <w:tcW w:w="718" w:type="dxa"/>
            <w:vMerge w:val="restart"/>
            <w:tcBorders>
              <w:top w:val="nil"/>
              <w:left w:val="single" w:sz="8" w:space="0" w:color="auto"/>
              <w:bottom w:val="single" w:sz="8" w:space="0" w:color="auto"/>
              <w:right w:val="single" w:sz="8" w:space="0" w:color="auto"/>
            </w:tcBorders>
            <w:shd w:val="clear" w:color="000000" w:fill="E4DFEC"/>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Rekvalifikace</w:t>
            </w:r>
          </w:p>
        </w:tc>
        <w:tc>
          <w:tcPr>
            <w:tcW w:w="2936" w:type="dxa"/>
            <w:gridSpan w:val="2"/>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2"/>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930"/>
        </w:trPr>
        <w:tc>
          <w:tcPr>
            <w:tcW w:w="718" w:type="dxa"/>
            <w:vMerge/>
            <w:tcBorders>
              <w:top w:val="nil"/>
              <w:left w:val="single" w:sz="8" w:space="0" w:color="auto"/>
              <w:bottom w:val="single" w:sz="8" w:space="0" w:color="auto"/>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7"/>
            <w:tcBorders>
              <w:left w:val="nil"/>
              <w:bottom w:val="double" w:sz="6" w:space="0" w:color="auto"/>
              <w:right w:val="single" w:sz="8" w:space="0" w:color="000000"/>
            </w:tcBorders>
            <w:shd w:val="clear" w:color="auto" w:fill="auto"/>
            <w:hideMark/>
          </w:tcPr>
          <w:p w:rsidR="003B2562" w:rsidRPr="003B2562" w:rsidRDefault="003B2562" w:rsidP="00F9736F">
            <w:pPr>
              <w:spacing w:line="240" w:lineRule="auto"/>
              <w:rPr>
                <w:rFonts w:eastAsia="Times New Roman" w:cs="Arial"/>
                <w:color w:val="000000"/>
                <w:szCs w:val="24"/>
                <w:lang w:eastAsia="cs-CZ"/>
              </w:rPr>
            </w:pPr>
            <w:r w:rsidRPr="003B2562">
              <w:rPr>
                <w:rFonts w:eastAsia="Times New Roman" w:cs="Arial"/>
                <w:color w:val="000000"/>
                <w:szCs w:val="24"/>
                <w:lang w:eastAsia="cs-CZ"/>
              </w:rPr>
              <w:t>Pro odstranění disproporcí v profesním rozložení nabídky a poptávky bude prováděn efektivní průzkum požadavků zaměstnavatelů tak, aby rekvalifikační kurzy byly schopny v dostatečném předstihu připravit pracovní sílu. MPSV provede vyhodnocení efektivity nastavení rekvalifika</w:t>
            </w:r>
            <w:r w:rsidR="00F9736F">
              <w:rPr>
                <w:rFonts w:eastAsia="Times New Roman" w:cs="Arial"/>
                <w:color w:val="000000"/>
                <w:szCs w:val="24"/>
                <w:lang w:eastAsia="cs-CZ"/>
              </w:rPr>
              <w:t>cí</w:t>
            </w:r>
            <w:r w:rsidRPr="003B2562">
              <w:rPr>
                <w:rFonts w:eastAsia="Times New Roman" w:cs="Arial"/>
                <w:color w:val="000000"/>
                <w:szCs w:val="24"/>
                <w:lang w:eastAsia="cs-CZ"/>
              </w:rPr>
              <w:t xml:space="preserve"> a vypracuje návrhy směřující ke zvýšení </w:t>
            </w:r>
            <w:r w:rsidR="00F9736F">
              <w:rPr>
                <w:rFonts w:eastAsia="Times New Roman" w:cs="Arial"/>
                <w:color w:val="000000"/>
                <w:szCs w:val="24"/>
                <w:lang w:eastAsia="cs-CZ"/>
              </w:rPr>
              <w:t xml:space="preserve">jejich </w:t>
            </w:r>
            <w:r w:rsidRPr="003B2562">
              <w:rPr>
                <w:rFonts w:eastAsia="Times New Roman" w:cs="Arial"/>
                <w:color w:val="000000"/>
                <w:szCs w:val="24"/>
                <w:lang w:eastAsia="cs-CZ"/>
              </w:rPr>
              <w:t xml:space="preserve">flexibility a efektivity </w:t>
            </w:r>
          </w:p>
        </w:tc>
      </w:tr>
      <w:tr w:rsidR="001B7AAD" w:rsidRPr="003B2562" w:rsidTr="00975FB2">
        <w:trPr>
          <w:trHeight w:val="285"/>
        </w:trPr>
        <w:tc>
          <w:tcPr>
            <w:tcW w:w="718" w:type="dxa"/>
            <w:vMerge/>
            <w:tcBorders>
              <w:top w:val="nil"/>
              <w:left w:val="single" w:sz="8" w:space="0" w:color="auto"/>
              <w:bottom w:val="single" w:sz="8" w:space="0" w:color="auto"/>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F9736F"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500" w:type="dxa"/>
            <w:gridSpan w:val="2"/>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2"/>
            <w:tcBorders>
              <w:top w:val="double" w:sz="6" w:space="0" w:color="auto"/>
              <w:left w:val="double" w:sz="6" w:space="0" w:color="auto"/>
              <w:bottom w:val="nil"/>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right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left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F9736F" w:rsidRPr="003B2562" w:rsidTr="00975FB2">
        <w:trPr>
          <w:trHeight w:val="5535"/>
        </w:trPr>
        <w:tc>
          <w:tcPr>
            <w:tcW w:w="718" w:type="dxa"/>
            <w:vMerge/>
            <w:tcBorders>
              <w:top w:val="nil"/>
              <w:left w:val="single" w:sz="8" w:space="0" w:color="auto"/>
              <w:bottom w:val="single" w:sz="8" w:space="0" w:color="auto"/>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nil"/>
              <w:left w:val="nil"/>
              <w:bottom w:val="single" w:sz="8" w:space="0" w:color="auto"/>
              <w:right w:val="single" w:sz="8"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98" w:type="dxa"/>
            <w:gridSpan w:val="6"/>
            <w:tcBorders>
              <w:top w:val="nil"/>
              <w:left w:val="single" w:sz="8" w:space="0" w:color="auto"/>
              <w:bottom w:val="single" w:sz="8" w:space="0" w:color="auto"/>
              <w:right w:val="single" w:sz="8" w:space="0" w:color="auto"/>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Rekvalifikace se svým zaměřením přizpůsobovaly požadavkům trhu práce a</w:t>
            </w:r>
            <w:r w:rsidR="00AE0E7A">
              <w:rPr>
                <w:rFonts w:eastAsia="Times New Roman" w:cs="Arial"/>
                <w:color w:val="000000"/>
                <w:szCs w:val="24"/>
                <w:lang w:eastAsia="cs-CZ"/>
              </w:rPr>
              <w:t> </w:t>
            </w:r>
            <w:r w:rsidRPr="003B2562">
              <w:rPr>
                <w:rFonts w:eastAsia="Times New Roman" w:cs="Arial"/>
                <w:color w:val="000000"/>
                <w:szCs w:val="24"/>
                <w:lang w:eastAsia="cs-CZ"/>
              </w:rPr>
              <w:t>struktuře VPM. Využívaly se nejen pro získání nové nebo rozšíření stávající kvalifikace, ale také k jejímu zvýšení a</w:t>
            </w:r>
            <w:r w:rsidR="00AE0E7A">
              <w:rPr>
                <w:rFonts w:eastAsia="Times New Roman" w:cs="Arial"/>
                <w:color w:val="000000"/>
                <w:szCs w:val="24"/>
                <w:lang w:eastAsia="cs-CZ"/>
              </w:rPr>
              <w:t> </w:t>
            </w:r>
            <w:r w:rsidRPr="003B2562">
              <w:rPr>
                <w:rFonts w:eastAsia="Times New Roman" w:cs="Arial"/>
                <w:color w:val="000000"/>
                <w:szCs w:val="24"/>
                <w:lang w:eastAsia="cs-CZ"/>
              </w:rPr>
              <w:t>prohloubení, včetně udržování a</w:t>
            </w:r>
            <w:r w:rsidR="00AE0E7A">
              <w:rPr>
                <w:rFonts w:eastAsia="Times New Roman" w:cs="Arial"/>
                <w:color w:val="000000"/>
                <w:szCs w:val="24"/>
                <w:lang w:eastAsia="cs-CZ"/>
              </w:rPr>
              <w:t> </w:t>
            </w:r>
            <w:r w:rsidRPr="003B2562">
              <w:rPr>
                <w:rFonts w:eastAsia="Times New Roman" w:cs="Arial"/>
                <w:color w:val="000000"/>
                <w:szCs w:val="24"/>
                <w:lang w:eastAsia="cs-CZ"/>
              </w:rPr>
              <w:t>obnovování dosavadních kompetencí.</w:t>
            </w:r>
            <w:r w:rsidR="00931EB7">
              <w:rPr>
                <w:rFonts w:eastAsia="Times New Roman" w:cs="Arial"/>
                <w:color w:val="000000"/>
                <w:szCs w:val="24"/>
                <w:lang w:eastAsia="cs-CZ"/>
              </w:rPr>
              <w:t xml:space="preserve"> </w:t>
            </w:r>
            <w:r w:rsidRPr="003B2562">
              <w:rPr>
                <w:rFonts w:eastAsia="Times New Roman" w:cs="Arial"/>
                <w:color w:val="000000"/>
                <w:szCs w:val="24"/>
                <w:lang w:eastAsia="cs-CZ"/>
              </w:rPr>
              <w:t>Rekvalifikace patří co do počtu účastníků mezi ne</w:t>
            </w:r>
            <w:r w:rsidR="00AE0E7A">
              <w:rPr>
                <w:rFonts w:eastAsia="Times New Roman" w:cs="Arial"/>
                <w:color w:val="000000"/>
                <w:szCs w:val="24"/>
                <w:lang w:eastAsia="cs-CZ"/>
              </w:rPr>
              <w:t>j</w:t>
            </w:r>
            <w:r w:rsidRPr="003B2562">
              <w:rPr>
                <w:rFonts w:eastAsia="Times New Roman" w:cs="Arial"/>
                <w:color w:val="000000"/>
                <w:szCs w:val="24"/>
                <w:lang w:eastAsia="cs-CZ"/>
              </w:rPr>
              <w:t>využívanější nástroj APZ. V</w:t>
            </w:r>
            <w:r w:rsidR="00AE0E7A">
              <w:rPr>
                <w:rFonts w:eastAsia="Times New Roman" w:cs="Arial"/>
                <w:color w:val="000000"/>
                <w:szCs w:val="24"/>
                <w:lang w:eastAsia="cs-CZ"/>
              </w:rPr>
              <w:t> </w:t>
            </w:r>
            <w:r w:rsidRPr="003B2562">
              <w:rPr>
                <w:rFonts w:eastAsia="Times New Roman" w:cs="Arial"/>
                <w:color w:val="000000"/>
                <w:szCs w:val="24"/>
                <w:lang w:eastAsia="cs-CZ"/>
              </w:rPr>
              <w:t>roce 2016 se rekvalifikace zúčastnilo celkem 22 548 osob, v roce 2015 38 078 osob, v roce 2014 to bylo 46 454 osob.  Meziroční pokles nezaměstnanosti, se odráží i na nižších počtech absolvovaných rekvalifikací.  Vzhledem k</w:t>
            </w:r>
            <w:r w:rsidR="00AE0E7A">
              <w:rPr>
                <w:rFonts w:eastAsia="Times New Roman" w:cs="Arial"/>
                <w:color w:val="000000"/>
                <w:szCs w:val="24"/>
                <w:lang w:eastAsia="cs-CZ"/>
              </w:rPr>
              <w:t> </w:t>
            </w:r>
            <w:r w:rsidRPr="003B2562">
              <w:rPr>
                <w:rFonts w:eastAsia="Times New Roman" w:cs="Arial"/>
                <w:color w:val="000000"/>
                <w:szCs w:val="24"/>
                <w:lang w:eastAsia="cs-CZ"/>
              </w:rPr>
              <w:t>počtu evidovaných UoZ na ÚP ČR se ale jedná o srovnatelné počty účastníků, kteří se v uvedených obdobích rekvalifikace zúčastnili. Rekvalifikace zabezpečované ÚP ČR se v roce 2016 zúčastnilo 12 847 osob a 9 701 osob se zúčastnilo rekvalifikace „zvolené“, tj. rekvalifikace, kdy si klient sám vybírá rekvalifikační kurz a rekvalifikační zařízení a</w:t>
            </w:r>
            <w:r w:rsidR="00AE0E7A">
              <w:rPr>
                <w:rFonts w:eastAsia="Times New Roman" w:cs="Arial"/>
                <w:color w:val="000000"/>
                <w:szCs w:val="24"/>
                <w:lang w:eastAsia="cs-CZ"/>
              </w:rPr>
              <w:t> </w:t>
            </w:r>
            <w:r w:rsidRPr="003B2562">
              <w:rPr>
                <w:rFonts w:eastAsia="Times New Roman" w:cs="Arial"/>
                <w:color w:val="000000"/>
                <w:szCs w:val="24"/>
                <w:lang w:eastAsia="cs-CZ"/>
              </w:rPr>
              <w:t>žádá ÚP ČR o schválení a úhradu zvolené rekvalifikace. Podíl zvolené rekvalifikace tvořil z celkového počtu účastníků rekvalifikace v uvedeném období 43 % (v roce 2015 tvořil podíl zvolené rekvalifikace 46 %). Z celkového počtu klientů, kteří byli v uvedeném období na rekvalifikaci zařazeni, jich více jak 80 % rekvalifikační kurz úspěšně ukončilo. Mezi nejčastěji realizované zabezpečované rekvalifikace patřily kurzy zaměřené na základní počítačové dovednosti, kurzy pro získání řidičských a profesních průkazů, svářečské kurzy, kurzy účetnictví. U zvolených rekvalifikací byly rovněž nejčastěji realizovány kurzy pro získání řidičských a profesních průkazů. Následovaly kurzy pro pracovníky v sociálních službách, kurzy svářečské, kurzy pro pracovníky v osobních službách, kurzy účetnictví. Z</w:t>
            </w:r>
            <w:r w:rsidR="00AE0E7A">
              <w:rPr>
                <w:rFonts w:eastAsia="Times New Roman" w:cs="Arial"/>
                <w:color w:val="000000"/>
                <w:szCs w:val="24"/>
                <w:lang w:eastAsia="cs-CZ"/>
              </w:rPr>
              <w:t> </w:t>
            </w:r>
            <w:r w:rsidRPr="003B2562">
              <w:rPr>
                <w:rFonts w:eastAsia="Times New Roman" w:cs="Arial"/>
                <w:color w:val="000000"/>
                <w:szCs w:val="24"/>
                <w:lang w:eastAsia="cs-CZ"/>
              </w:rPr>
              <w:t xml:space="preserve">hlediska kvalifikace byli mezi účastníky kurzů nejvíce zastoupeni </w:t>
            </w:r>
            <w:r w:rsidR="00AE0E7A">
              <w:rPr>
                <w:rFonts w:eastAsia="Times New Roman" w:cs="Arial"/>
                <w:color w:val="000000"/>
                <w:szCs w:val="24"/>
                <w:lang w:eastAsia="cs-CZ"/>
              </w:rPr>
              <w:t>UoZ</w:t>
            </w:r>
            <w:r w:rsidRPr="003B2562">
              <w:rPr>
                <w:rFonts w:eastAsia="Times New Roman" w:cs="Arial"/>
                <w:color w:val="000000"/>
                <w:szCs w:val="24"/>
                <w:lang w:eastAsia="cs-CZ"/>
              </w:rPr>
              <w:t xml:space="preserve"> s výučním listem, úplným středním vzděláním s maturitou a základním vzděláním. Vzhledem k požadavkům zaměstnavatelů byly přednostně podporovány rekvalifikace s praktickou částí výuky a rekvalifikace směřující ke konkrétnímu pracovnímu uplatnění. Podstatná je skutečnost, že každá rekvalifikace musí být účelná, tj. že po jejím absolvování existuje reálná šance na pracovní uplatnění. Z úrovně MPSV je zároveň připravován projekt „Kvasar“, jehož smyslem je, ve spolupráci se zaměstnavateli a sdruženími zaměstnavatelů, navrhnout revizi systému rekvalifikací, a to mj. tak, aby lépe reagovaly na potřeby trhu práce a uplatnění </w:t>
            </w:r>
            <w:r w:rsidR="00AE0E7A">
              <w:rPr>
                <w:rFonts w:eastAsia="Times New Roman" w:cs="Arial"/>
                <w:color w:val="000000"/>
                <w:szCs w:val="24"/>
                <w:lang w:eastAsia="cs-CZ"/>
              </w:rPr>
              <w:t>UoZ</w:t>
            </w:r>
            <w:r w:rsidRPr="003B2562">
              <w:rPr>
                <w:rFonts w:eastAsia="Times New Roman" w:cs="Arial"/>
                <w:color w:val="000000"/>
                <w:szCs w:val="24"/>
                <w:lang w:eastAsia="cs-CZ"/>
              </w:rPr>
              <w:t>, např. dostatečným podílem praxe v průběhu rekvalifikací nebo prostřednictvím modularizace rekvalifikací tak, aby byly schopny reflektovat již naučené dovednosti a</w:t>
            </w:r>
            <w:r w:rsidR="00AE0E7A">
              <w:rPr>
                <w:rFonts w:eastAsia="Times New Roman" w:cs="Arial"/>
                <w:color w:val="000000"/>
                <w:szCs w:val="24"/>
                <w:lang w:eastAsia="cs-CZ"/>
              </w:rPr>
              <w:t> </w:t>
            </w:r>
            <w:r w:rsidRPr="003B2562">
              <w:rPr>
                <w:rFonts w:eastAsia="Times New Roman" w:cs="Arial"/>
                <w:color w:val="000000"/>
                <w:szCs w:val="24"/>
                <w:lang w:eastAsia="cs-CZ"/>
              </w:rPr>
              <w:t>rekvalifikovaná osoba mohla být vzdělávána pouze v těch částech, které skutečně potřebuje. Návrh projektového záměru byl zpracován a odeslán Resortní radě, aby ho mohla projednat na svém lednovém jednání.</w:t>
            </w:r>
          </w:p>
        </w:tc>
      </w:tr>
      <w:tr w:rsidR="00F9736F" w:rsidRPr="003B2562" w:rsidTr="00975FB2">
        <w:trPr>
          <w:trHeight w:val="5160"/>
        </w:trPr>
        <w:tc>
          <w:tcPr>
            <w:tcW w:w="718" w:type="dxa"/>
            <w:vMerge/>
            <w:tcBorders>
              <w:top w:val="nil"/>
              <w:left w:val="single" w:sz="8" w:space="0" w:color="auto"/>
              <w:bottom w:val="single" w:sz="8" w:space="0" w:color="auto"/>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single" w:sz="8"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798" w:type="dxa"/>
            <w:gridSpan w:val="6"/>
            <w:tcBorders>
              <w:top w:val="single" w:sz="8" w:space="0" w:color="auto"/>
              <w:left w:val="nil"/>
              <w:bottom w:val="single" w:sz="8" w:space="0" w:color="auto"/>
              <w:right w:val="single" w:sz="8" w:space="0" w:color="000000"/>
            </w:tcBorders>
            <w:shd w:val="clear" w:color="auto" w:fill="auto"/>
            <w:hideMark/>
          </w:tcPr>
          <w:p w:rsidR="003B2562" w:rsidRPr="003B2562" w:rsidRDefault="003B2562" w:rsidP="00931EB7">
            <w:pPr>
              <w:spacing w:line="240" w:lineRule="auto"/>
              <w:rPr>
                <w:rFonts w:eastAsia="Times New Roman" w:cs="Arial"/>
                <w:color w:val="000000"/>
                <w:szCs w:val="24"/>
                <w:lang w:eastAsia="cs-CZ"/>
              </w:rPr>
            </w:pPr>
            <w:r w:rsidRPr="003B2562">
              <w:rPr>
                <w:rFonts w:eastAsia="Times New Roman" w:cs="Arial"/>
                <w:color w:val="000000"/>
                <w:szCs w:val="24"/>
                <w:lang w:eastAsia="cs-CZ"/>
              </w:rPr>
              <w:t>Rekvalifikace se svým zaměřením, obdobně jako v dřívějších obdobích, přizpůsobovaly požadavkům trhu práce a</w:t>
            </w:r>
            <w:r w:rsidR="00AE0E7A">
              <w:rPr>
                <w:rFonts w:eastAsia="Times New Roman" w:cs="Arial"/>
                <w:color w:val="000000"/>
                <w:szCs w:val="24"/>
                <w:lang w:eastAsia="cs-CZ"/>
              </w:rPr>
              <w:t> </w:t>
            </w:r>
            <w:r w:rsidRPr="003B2562">
              <w:rPr>
                <w:rFonts w:eastAsia="Times New Roman" w:cs="Arial"/>
                <w:color w:val="000000"/>
                <w:szCs w:val="24"/>
                <w:lang w:eastAsia="cs-CZ"/>
              </w:rPr>
              <w:t>struktuře VPM. Využívaly se jak pro získání nové nebo rozšíření stávající kvalifikace, tak k jejímu zvýšení a</w:t>
            </w:r>
            <w:r w:rsidR="00AE0E7A">
              <w:rPr>
                <w:rFonts w:eastAsia="Times New Roman" w:cs="Arial"/>
                <w:color w:val="000000"/>
                <w:szCs w:val="24"/>
                <w:lang w:eastAsia="cs-CZ"/>
              </w:rPr>
              <w:t> </w:t>
            </w:r>
            <w:r w:rsidRPr="003B2562">
              <w:rPr>
                <w:rFonts w:eastAsia="Times New Roman" w:cs="Arial"/>
                <w:color w:val="000000"/>
                <w:szCs w:val="24"/>
                <w:lang w:eastAsia="cs-CZ"/>
              </w:rPr>
              <w:t>prohloubení, včetně udržování a obnovování dosavadních kompetencí. Rekvalifikace nadále patří co do počtu účastníků mezi ne</w:t>
            </w:r>
            <w:r w:rsidR="00AE0E7A">
              <w:rPr>
                <w:rFonts w:eastAsia="Times New Roman" w:cs="Arial"/>
                <w:color w:val="000000"/>
                <w:szCs w:val="24"/>
                <w:lang w:eastAsia="cs-CZ"/>
              </w:rPr>
              <w:t>j</w:t>
            </w:r>
            <w:r w:rsidRPr="003B2562">
              <w:rPr>
                <w:rFonts w:eastAsia="Times New Roman" w:cs="Arial"/>
                <w:color w:val="000000"/>
                <w:szCs w:val="24"/>
                <w:lang w:eastAsia="cs-CZ"/>
              </w:rPr>
              <w:t xml:space="preserve">využívanější nástroj APZ. Za 1. pololetí roku 2017 se rekvalifikací zúčastnilo 10 424 osob. Rekvalifikace zabezpečované ÚP ČR se ve sledovaném období zúčastnilo 6 854 osob a zvolené rekvalifikace 3 570 osob (v 1. pololetí roku 2016 se zabezpečované rekvalifikace zúčastnilo 7 340 osob a zvolené rekvalifikace 5 613 osob). Podíl zvolené rekvalifikace tvořil ve sledovaném období 34 % z celkového počtu účastníků rekvalifikace. Mezi nejčastěji realizované zabezpečované rekvalifikace patřily kurzy zaměřené na základní počítačové dovednosti, kurzy pro získání řidičských a profesních průkazů, svářečské kurzy. U zvolených rekvalifikací byly nejčastěji realizovány kurzy pro získání řidičských a profesních průkazů, následovaly kurzy pro pracovníky v sociálních službách a kurzy pro pracovníky v osobních službách. Z hlediska kvalifikace byli mezi účastníky kurzů nejvíce zastoupeni UoZ s výučním listem, s úplným středním vzděláním s maturitou a ZŠ. Rekvalifikace byly hrazeny převážně z prostředků ESF, především z projektu VDTP II. Pokles nezaměstnanosti se odráží na nižších počtech absolvovaných rekvalifikací. Důvodem snížení je i celkově dobrá kondice národního hospodářství, vysoký počet volných míst. To přináší větší ochotou zaměstnavatelů přijímat zaměstnance i bez rekvalifikace s tím, že si je zaučí, příp. rekvalifikují již sami, během pracovního procesu. Vzhledem k požadavkům zaměstnavatelů byly přednostně podporovány rekvalifikace s praktickou částí výuky a rekvalifikace směřující ke konkrétnímu pracovnímu uplatnění. Podstatná je skutečnost, že každá rekvalifikace musí být účelná, tj. že po jejím absolvování existuje reálná šance na pracovní uplatnění. Z úrovně MPSV je zároveň připravován projekt „Kvasar“, jehož smyslem je, ve spolupráci se zaměstnavateli a sdruženími zaměstnavatelů, navrhnout revizi systému rekvalifikací tak, aby lépe reagovaly na potřeby trhu práce a uplatnění UoZ, např. dostatečným podílem praxe v průběhu rekvalifikací nebo díky prostřednictvím modularizace rekvalifikací tak, aby byly schopny reflektovat již naučené dovednosti a rekvalifikovaná osoba mohla být vzdělávána pouze v těch částech, které skutečně potřebuje. </w:t>
            </w:r>
            <w:r w:rsidR="00931EB7" w:rsidRPr="00931EB7">
              <w:rPr>
                <w:rFonts w:eastAsia="Times New Roman" w:cs="Arial"/>
                <w:color w:val="000000"/>
                <w:szCs w:val="24"/>
                <w:lang w:eastAsia="cs-CZ"/>
              </w:rPr>
              <w:t>Po zpracování projektového záměru, který byl odsouhlasen na PROP dne 5. 6. 2017, byla zpracována projektová žádost (dne 11. 7. 2017), která byla posouzena hodnotiteli. Tito uplatnili některé připomínky, které byly vypořádány do 11. 8. 2017. Finální hodnotící posudky byly hodnotiteli odevzdány dne 20. 8. 2017.</w:t>
            </w:r>
          </w:p>
        </w:tc>
      </w:tr>
    </w:tbl>
    <w:p w:rsidR="00F9736F" w:rsidRDefault="00F9736F">
      <w:r>
        <w:br w:type="page"/>
      </w:r>
    </w:p>
    <w:tbl>
      <w:tblPr>
        <w:tblW w:w="14097" w:type="dxa"/>
        <w:tblInd w:w="47" w:type="dxa"/>
        <w:tblCellMar>
          <w:left w:w="70" w:type="dxa"/>
          <w:right w:w="70" w:type="dxa"/>
        </w:tblCellMar>
        <w:tblLook w:val="04A0" w:firstRow="1" w:lastRow="0" w:firstColumn="1" w:lastColumn="0" w:noHBand="0" w:noVBand="1"/>
      </w:tblPr>
      <w:tblGrid>
        <w:gridCol w:w="718"/>
        <w:gridCol w:w="581"/>
        <w:gridCol w:w="2355"/>
        <w:gridCol w:w="1145"/>
        <w:gridCol w:w="1028"/>
        <w:gridCol w:w="3628"/>
        <w:gridCol w:w="1624"/>
        <w:gridCol w:w="3018"/>
      </w:tblGrid>
      <w:tr w:rsidR="00F9736F" w:rsidRPr="003B2562" w:rsidTr="00F9736F">
        <w:trPr>
          <w:trHeight w:val="285"/>
        </w:trPr>
        <w:tc>
          <w:tcPr>
            <w:tcW w:w="718" w:type="dxa"/>
            <w:tcBorders>
              <w:top w:val="single" w:sz="8" w:space="0" w:color="auto"/>
              <w:left w:val="single" w:sz="8" w:space="0" w:color="auto"/>
              <w:bottom w:val="single" w:sz="4" w:space="0" w:color="auto"/>
              <w:right w:val="nil"/>
            </w:tcBorders>
            <w:shd w:val="clear" w:color="000000" w:fill="E4DFEC"/>
            <w:noWrap/>
            <w:vAlign w:val="bottom"/>
            <w:hideMark/>
          </w:tcPr>
          <w:p w:rsidR="00F9736F" w:rsidRPr="003B2562" w:rsidRDefault="00F9736F"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4.3</w:t>
            </w:r>
          </w:p>
        </w:tc>
        <w:tc>
          <w:tcPr>
            <w:tcW w:w="581" w:type="dxa"/>
            <w:tcBorders>
              <w:top w:val="single" w:sz="8" w:space="0" w:color="auto"/>
              <w:left w:val="single" w:sz="8" w:space="0" w:color="auto"/>
              <w:bottom w:val="single" w:sz="8" w:space="0" w:color="auto"/>
              <w:right w:val="nil"/>
            </w:tcBorders>
            <w:shd w:val="clear" w:color="auto" w:fill="auto"/>
            <w:noWrap/>
            <w:vAlign w:val="bottom"/>
            <w:hideMark/>
          </w:tcPr>
          <w:p w:rsidR="00F9736F" w:rsidRPr="003B2562" w:rsidRDefault="00F9736F"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355" w:type="dxa"/>
            <w:tcBorders>
              <w:top w:val="single" w:sz="8" w:space="0" w:color="auto"/>
              <w:left w:val="nil"/>
              <w:bottom w:val="single" w:sz="8" w:space="0" w:color="auto"/>
              <w:right w:val="nil"/>
            </w:tcBorders>
            <w:shd w:val="clear" w:color="auto" w:fill="auto"/>
            <w:noWrap/>
            <w:vAlign w:val="bottom"/>
            <w:hideMark/>
          </w:tcPr>
          <w:p w:rsidR="00F9736F" w:rsidRPr="003B2562" w:rsidRDefault="00F9736F"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2016</w:t>
            </w:r>
          </w:p>
        </w:tc>
        <w:tc>
          <w:tcPr>
            <w:tcW w:w="1145" w:type="dxa"/>
            <w:tcBorders>
              <w:top w:val="single" w:sz="12" w:space="0" w:color="auto"/>
              <w:left w:val="single" w:sz="12" w:space="0" w:color="auto"/>
              <w:bottom w:val="single" w:sz="8" w:space="0" w:color="auto"/>
              <w:right w:val="nil"/>
            </w:tcBorders>
            <w:shd w:val="clear" w:color="auto" w:fill="auto"/>
            <w:noWrap/>
            <w:vAlign w:val="bottom"/>
            <w:hideMark/>
          </w:tcPr>
          <w:p w:rsidR="00F9736F" w:rsidRPr="003B2562" w:rsidRDefault="00F9736F"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8" w:type="dxa"/>
            <w:tcBorders>
              <w:top w:val="single" w:sz="12" w:space="0" w:color="auto"/>
              <w:left w:val="nil"/>
              <w:bottom w:val="single" w:sz="8" w:space="0" w:color="auto"/>
              <w:right w:val="single" w:sz="12" w:space="0" w:color="auto"/>
            </w:tcBorders>
            <w:shd w:val="clear" w:color="auto" w:fill="auto"/>
            <w:noWrap/>
            <w:vAlign w:val="bottom"/>
            <w:hideMark/>
          </w:tcPr>
          <w:p w:rsidR="00F9736F" w:rsidRPr="003B2562" w:rsidRDefault="00F9736F"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MPSV</w:t>
            </w:r>
          </w:p>
        </w:tc>
        <w:tc>
          <w:tcPr>
            <w:tcW w:w="3628" w:type="dxa"/>
            <w:tcBorders>
              <w:top w:val="single" w:sz="8" w:space="0" w:color="auto"/>
              <w:left w:val="nil"/>
              <w:bottom w:val="single" w:sz="8" w:space="0" w:color="auto"/>
              <w:right w:val="single" w:sz="4" w:space="0" w:color="auto"/>
            </w:tcBorders>
            <w:shd w:val="clear" w:color="auto" w:fill="auto"/>
            <w:noWrap/>
            <w:vAlign w:val="bottom"/>
          </w:tcPr>
          <w:p w:rsidR="00F9736F" w:rsidRPr="003B2562" w:rsidRDefault="00F9736F" w:rsidP="003B2562">
            <w:pPr>
              <w:spacing w:line="240" w:lineRule="auto"/>
              <w:jc w:val="right"/>
              <w:rPr>
                <w:rFonts w:eastAsia="Times New Roman" w:cs="Arial"/>
                <w:color w:val="000000"/>
                <w:szCs w:val="24"/>
                <w:lang w:eastAsia="cs-CZ"/>
              </w:rPr>
            </w:pPr>
          </w:p>
        </w:tc>
        <w:tc>
          <w:tcPr>
            <w:tcW w:w="1624" w:type="dxa"/>
            <w:tcBorders>
              <w:top w:val="single" w:sz="8" w:space="0" w:color="auto"/>
              <w:left w:val="nil"/>
              <w:bottom w:val="single" w:sz="8" w:space="0" w:color="auto"/>
              <w:right w:val="single" w:sz="4" w:space="0" w:color="auto"/>
            </w:tcBorders>
            <w:shd w:val="clear" w:color="auto" w:fill="auto"/>
            <w:noWrap/>
            <w:vAlign w:val="bottom"/>
          </w:tcPr>
          <w:p w:rsidR="00F9736F" w:rsidRPr="00F9736F" w:rsidRDefault="00F9736F"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18" w:type="dxa"/>
            <w:tcBorders>
              <w:top w:val="single" w:sz="8" w:space="0" w:color="auto"/>
              <w:left w:val="nil"/>
              <w:bottom w:val="single" w:sz="8" w:space="0" w:color="auto"/>
              <w:right w:val="single" w:sz="12" w:space="0" w:color="auto"/>
            </w:tcBorders>
            <w:shd w:val="clear" w:color="auto" w:fill="auto"/>
            <w:noWrap/>
            <w:vAlign w:val="bottom"/>
          </w:tcPr>
          <w:p w:rsidR="00F9736F" w:rsidRPr="00F9736F" w:rsidRDefault="00F9736F" w:rsidP="00F9736F">
            <w:pPr>
              <w:spacing w:line="240" w:lineRule="auto"/>
              <w:jc w:val="left"/>
              <w:rPr>
                <w:rFonts w:eastAsia="Times New Roman" w:cs="Arial"/>
                <w:b/>
                <w:bCs/>
                <w:color w:val="000000"/>
                <w:szCs w:val="24"/>
                <w:lang w:eastAsia="cs-CZ"/>
              </w:rPr>
            </w:pPr>
            <w:r w:rsidRPr="00F9736F">
              <w:rPr>
                <w:rFonts w:eastAsia="Times New Roman" w:cs="Arial"/>
                <w:b/>
                <w:bCs/>
                <w:color w:val="000000"/>
                <w:szCs w:val="24"/>
                <w:lang w:eastAsia="cs-CZ"/>
              </w:rPr>
              <w:t>N</w:t>
            </w:r>
          </w:p>
        </w:tc>
      </w:tr>
      <w:tr w:rsidR="001B7AAD" w:rsidRPr="003B2562" w:rsidTr="00F9736F">
        <w:trPr>
          <w:trHeight w:val="285"/>
        </w:trPr>
        <w:tc>
          <w:tcPr>
            <w:tcW w:w="718"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Predikce trhu práce</w:t>
            </w:r>
          </w:p>
        </w:tc>
        <w:tc>
          <w:tcPr>
            <w:tcW w:w="2936" w:type="dxa"/>
            <w:gridSpan w:val="2"/>
            <w:tcBorders>
              <w:top w:val="single" w:sz="8"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5"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56" w:type="dxa"/>
            <w:gridSpan w:val="2"/>
            <w:tcBorders>
              <w:top w:val="single" w:sz="8" w:space="0" w:color="auto"/>
            </w:tcBorders>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24" w:type="dxa"/>
            <w:tcBorders>
              <w:top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18" w:type="dxa"/>
            <w:tcBorders>
              <w:top w:val="single" w:sz="8"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F9736F">
        <w:trPr>
          <w:trHeight w:val="570"/>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79" w:type="dxa"/>
            <w:gridSpan w:val="7"/>
            <w:tcBorders>
              <w:left w:val="nil"/>
              <w:bottom w:val="double" w:sz="6"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MPSV vytvoří systém predikcí vývoje trhu práce, tak aby bylo možné v dostatečném předstihu reagovat na vývoj trhu práce a zabezpečit tak dostatek pracovní síly ve vhodné kvalifikační struktuře a její připravenost ke vstupu na trh práce. Využito bude již realizovaných kroků (projekt PŘEKVAP)</w:t>
            </w:r>
          </w:p>
        </w:tc>
      </w:tr>
      <w:tr w:rsidR="00F9736F" w:rsidRPr="003B2562" w:rsidTr="00F9736F">
        <w:trPr>
          <w:trHeight w:val="285"/>
        </w:trPr>
        <w:tc>
          <w:tcPr>
            <w:tcW w:w="718"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double" w:sz="6" w:space="0" w:color="auto"/>
              <w:left w:val="double" w:sz="6" w:space="0" w:color="auto"/>
              <w:bottom w:val="double" w:sz="6" w:space="0" w:color="auto"/>
              <w:right w:val="nil"/>
            </w:tcBorders>
            <w:shd w:val="clear" w:color="000000" w:fill="F2DCDB"/>
            <w:noWrap/>
            <w:vAlign w:val="bottom"/>
            <w:hideMark/>
          </w:tcPr>
          <w:p w:rsidR="003B2562" w:rsidRPr="003B2562" w:rsidRDefault="00F9736F" w:rsidP="003B2562">
            <w:pPr>
              <w:spacing w:line="240" w:lineRule="auto"/>
              <w:jc w:val="center"/>
              <w:rPr>
                <w:rFonts w:eastAsia="Times New Roman" w:cs="Arial"/>
                <w:color w:val="000000"/>
                <w:szCs w:val="24"/>
                <w:lang w:eastAsia="cs-CZ"/>
              </w:rPr>
            </w:pPr>
            <w:r>
              <w:rPr>
                <w:rFonts w:eastAsia="Times New Roman" w:cs="Arial"/>
                <w:color w:val="000000"/>
                <w:szCs w:val="24"/>
                <w:lang w:eastAsia="cs-CZ"/>
              </w:rPr>
              <w:t>stav</w:t>
            </w:r>
          </w:p>
        </w:tc>
        <w:tc>
          <w:tcPr>
            <w:tcW w:w="3500" w:type="dxa"/>
            <w:gridSpan w:val="2"/>
            <w:tcBorders>
              <w:top w:val="double" w:sz="6" w:space="0" w:color="auto"/>
              <w:left w:val="nil"/>
              <w:bottom w:val="double" w:sz="6" w:space="0" w:color="auto"/>
              <w:right w:val="double" w:sz="6" w:space="0" w:color="auto"/>
            </w:tcBorders>
            <w:shd w:val="clear" w:color="000000" w:fill="E6B8B7"/>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Řešeno</w:t>
            </w:r>
          </w:p>
        </w:tc>
        <w:tc>
          <w:tcPr>
            <w:tcW w:w="4656" w:type="dxa"/>
            <w:gridSpan w:val="2"/>
            <w:tcBorders>
              <w:top w:val="double" w:sz="6" w:space="0" w:color="auto"/>
              <w:left w:val="double" w:sz="6" w:space="0" w:color="auto"/>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24" w:type="dxa"/>
            <w:tcBorders>
              <w:top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18" w:type="dxa"/>
            <w:tcBorders>
              <w:top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F9736F" w:rsidRPr="003B2562" w:rsidTr="00F9736F">
        <w:trPr>
          <w:trHeight w:val="900"/>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nil"/>
              <w:left w:val="nil"/>
              <w:bottom w:val="nil"/>
              <w:right w:val="single" w:sz="4" w:space="0" w:color="auto"/>
            </w:tcBorders>
            <w:shd w:val="clear" w:color="auto" w:fill="auto"/>
            <w:textDirection w:val="btLr"/>
            <w:vAlign w:val="center"/>
            <w:hideMark/>
          </w:tcPr>
          <w:p w:rsidR="003B2562" w:rsidRPr="003B2562" w:rsidRDefault="00F9736F" w:rsidP="00F9736F">
            <w:pPr>
              <w:spacing w:line="240" w:lineRule="auto"/>
              <w:jc w:val="center"/>
              <w:rPr>
                <w:rFonts w:eastAsia="Times New Roman" w:cs="Arial"/>
                <w:color w:val="000000"/>
                <w:szCs w:val="24"/>
                <w:lang w:eastAsia="cs-CZ"/>
              </w:rPr>
            </w:pPr>
            <w:r>
              <w:rPr>
                <w:rFonts w:eastAsia="Times New Roman" w:cs="Arial"/>
                <w:color w:val="000000"/>
                <w:szCs w:val="24"/>
                <w:lang w:eastAsia="cs-CZ"/>
              </w:rPr>
              <w:t>min.</w:t>
            </w:r>
          </w:p>
        </w:tc>
        <w:tc>
          <w:tcPr>
            <w:tcW w:w="12798" w:type="dxa"/>
            <w:gridSpan w:val="6"/>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Od 1. 1. 2017 zahájena realizace projektu KOMPAS</w:t>
            </w:r>
          </w:p>
        </w:tc>
      </w:tr>
      <w:tr w:rsidR="00F9736F" w:rsidRPr="003B2562" w:rsidTr="00F9736F">
        <w:trPr>
          <w:trHeight w:val="5160"/>
        </w:trPr>
        <w:tc>
          <w:tcPr>
            <w:tcW w:w="718"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1"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798" w:type="dxa"/>
            <w:gridSpan w:val="6"/>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F9736F">
            <w:pPr>
              <w:spacing w:line="240" w:lineRule="auto"/>
              <w:rPr>
                <w:rFonts w:eastAsia="Times New Roman" w:cs="Arial"/>
                <w:color w:val="000000"/>
                <w:szCs w:val="24"/>
                <w:lang w:eastAsia="cs-CZ"/>
              </w:rPr>
            </w:pPr>
            <w:r w:rsidRPr="003B2562">
              <w:rPr>
                <w:rFonts w:eastAsia="Times New Roman" w:cs="Arial"/>
                <w:color w:val="000000"/>
                <w:szCs w:val="24"/>
                <w:lang w:eastAsia="cs-CZ"/>
              </w:rPr>
              <w:t xml:space="preserve">MPSV projektem připravuje zkvalitnění trhu práce a ve spolupráci s ÚP ČR, VUPSV, NVF a dalšími partnery z regionů bude vytvářet udržitelný systém spolehlivých predikcí trhu práce. Partneři do počátku projektu přinášejí specializace ze svých hlavních oblastí činnosti. Systém Predikcí trhu práce je přípravou „barometru“ pro včasnou identifikaci nových příležitostí i vznikajících rizik na trhu práce. </w:t>
            </w:r>
            <w:r w:rsidR="00F9736F">
              <w:rPr>
                <w:rFonts w:eastAsia="Times New Roman" w:cs="Arial"/>
                <w:color w:val="000000"/>
                <w:szCs w:val="24"/>
                <w:lang w:eastAsia="cs-CZ"/>
              </w:rPr>
              <w:t>J</w:t>
            </w:r>
            <w:r w:rsidRPr="003B2562">
              <w:rPr>
                <w:rFonts w:eastAsia="Times New Roman" w:cs="Arial"/>
                <w:color w:val="000000"/>
                <w:szCs w:val="24"/>
                <w:lang w:eastAsia="cs-CZ"/>
              </w:rPr>
              <w:t>e budován tak, aby byl součástí strategie podpory dalšího rozvoje potenciálu a na inovacích založené konkurenceschopnosti ČR. Tuto funkci by měl propracovaný systém plnit za využití souhrnné datové z</w:t>
            </w:r>
            <w:r w:rsidR="00F9736F">
              <w:rPr>
                <w:rFonts w:eastAsia="Times New Roman" w:cs="Arial"/>
                <w:color w:val="000000"/>
                <w:szCs w:val="24"/>
                <w:lang w:eastAsia="cs-CZ"/>
              </w:rPr>
              <w:t xml:space="preserve">ákladny i určitého předvídání, </w:t>
            </w:r>
            <w:r w:rsidRPr="003B2562">
              <w:rPr>
                <w:rFonts w:eastAsia="Times New Roman" w:cs="Arial"/>
                <w:color w:val="000000"/>
                <w:szCs w:val="24"/>
                <w:lang w:eastAsia="cs-CZ"/>
              </w:rPr>
              <w:t xml:space="preserve">monitoringu světových trhů a technologií za účelem identifikace tržních a technologických trendů, </w:t>
            </w:r>
            <w:r w:rsidR="00F9736F">
              <w:rPr>
                <w:rFonts w:eastAsia="Times New Roman" w:cs="Arial"/>
                <w:color w:val="000000"/>
                <w:szCs w:val="24"/>
                <w:lang w:eastAsia="cs-CZ"/>
              </w:rPr>
              <w:t>představující jak</w:t>
            </w:r>
            <w:r w:rsidRPr="003B2562">
              <w:rPr>
                <w:rFonts w:eastAsia="Times New Roman" w:cs="Arial"/>
                <w:color w:val="000000"/>
                <w:szCs w:val="24"/>
                <w:lang w:eastAsia="cs-CZ"/>
              </w:rPr>
              <w:t xml:space="preserve"> příležitosti, </w:t>
            </w:r>
            <w:r w:rsidR="00F9736F">
              <w:rPr>
                <w:rFonts w:eastAsia="Times New Roman" w:cs="Arial"/>
                <w:color w:val="000000"/>
                <w:szCs w:val="24"/>
                <w:lang w:eastAsia="cs-CZ"/>
              </w:rPr>
              <w:t>tak</w:t>
            </w:r>
            <w:r w:rsidRPr="003B2562">
              <w:rPr>
                <w:rFonts w:eastAsia="Times New Roman" w:cs="Arial"/>
                <w:color w:val="000000"/>
                <w:szCs w:val="24"/>
                <w:lang w:eastAsia="cs-CZ"/>
              </w:rPr>
              <w:t xml:space="preserve"> rizika pro klíčové obory ekonomiky ČR a v krajích. Systém je vytvářen s ohledem na funkčnost a udržitelnost po skončení projektu. V průběhu prvního půl roku realizace projektu KOMPAS byl zpřesněn postup</w:t>
            </w:r>
            <w:r w:rsidR="00F9736F">
              <w:rPr>
                <w:rFonts w:eastAsia="Times New Roman" w:cs="Arial"/>
                <w:color w:val="000000"/>
                <w:szCs w:val="24"/>
                <w:lang w:eastAsia="cs-CZ"/>
              </w:rPr>
              <w:t>,</w:t>
            </w:r>
            <w:r w:rsidRPr="003B2562">
              <w:rPr>
                <w:rFonts w:eastAsia="Times New Roman" w:cs="Arial"/>
                <w:color w:val="000000"/>
                <w:szCs w:val="24"/>
                <w:lang w:eastAsia="cs-CZ"/>
              </w:rPr>
              <w:t xml:space="preserve"> </w:t>
            </w:r>
            <w:r w:rsidR="00F9736F">
              <w:rPr>
                <w:rFonts w:eastAsia="Times New Roman" w:cs="Arial"/>
                <w:color w:val="000000"/>
                <w:szCs w:val="24"/>
                <w:lang w:eastAsia="cs-CZ"/>
              </w:rPr>
              <w:t>v</w:t>
            </w:r>
            <w:r w:rsidRPr="003B2562">
              <w:rPr>
                <w:rFonts w:eastAsia="Times New Roman" w:cs="Arial"/>
                <w:color w:val="000000"/>
                <w:szCs w:val="24"/>
                <w:lang w:eastAsia="cs-CZ"/>
              </w:rPr>
              <w:t>ytvořen harmonogram prací, probíhalo vzdělávání cílové skupiny (pracovníci MPSV, ÚP ČR a regionálních platforem), byly zahájeny práce na regionálních profilech krajů. Z hlediska tvorby elektronického modelu byly zahájeny související práce pro přípravu převodníků datových vstupů. Bylo vytvořeno odborné pracoviště MPSV a síť spolupracujících subjektů, které v rámci regionálního rozložení zastupují území celé ČR.</w:t>
            </w:r>
            <w:r w:rsidR="00F9736F">
              <w:rPr>
                <w:rFonts w:eastAsia="Times New Roman" w:cs="Arial"/>
                <w:color w:val="000000"/>
                <w:szCs w:val="24"/>
                <w:lang w:eastAsia="cs-CZ"/>
              </w:rPr>
              <w:t xml:space="preserve"> </w:t>
            </w:r>
            <w:r w:rsidRPr="003B2562">
              <w:rPr>
                <w:rFonts w:eastAsia="Times New Roman" w:cs="Arial"/>
                <w:color w:val="000000"/>
                <w:szCs w:val="24"/>
                <w:lang w:eastAsia="cs-CZ"/>
              </w:rPr>
              <w:t>UP ČR započal spolupráci s příslušnými krajským platformami</w:t>
            </w:r>
            <w:r w:rsidR="00412306">
              <w:rPr>
                <w:rFonts w:eastAsia="Times New Roman" w:cs="Arial"/>
                <w:color w:val="000000"/>
                <w:szCs w:val="24"/>
                <w:lang w:eastAsia="cs-CZ"/>
              </w:rPr>
              <w:t>,</w:t>
            </w:r>
            <w:r w:rsidRPr="003B2562">
              <w:rPr>
                <w:rFonts w:eastAsia="Times New Roman" w:cs="Arial"/>
                <w:color w:val="000000"/>
                <w:szCs w:val="24"/>
                <w:lang w:eastAsia="cs-CZ"/>
              </w:rPr>
              <w:t xml:space="preserve"> s ostatními regionálními partnery a zahájil práce na nové metodice monitoringu trhu práce. Tohoto procesu se kromě ÚP ČR zúčastňují všechny zainteresované strany, včetně krajských platforem, VÚPS a NVF. Průběžně se realizuje sběr námětů a připomínek k systému monitoringu trhu práce ÚP ČR. Mimo uvedené činnosti se experti ÚP ČR setkávají se zástupci potencionálních uživatelů výsledných prognóz z řad zaměstnavatelů. ÚP ČR dále spolupracuje s VÚPSV a NVF při zpracovávání tzv. regionálních profilů, které by měly obsahovat základní charakteristiku jednotlivých krajů společně s údaji z oblasti demografie, ekonomiky, trhu práce a vzdělávání.  Základem regionálních profilů by se podle návrhu měly stát roční zprávy krajských poboček ÚP ČR, k nimž by byly doplňovány další informace. ÚP ČR realizoval dne 7. 6. 2017 interní školení pro realizační týmy MPSV a krajských platforem na téma „realizace regionálního monitoringu trhu práce“.</w:t>
            </w:r>
          </w:p>
        </w:tc>
      </w:tr>
    </w:tbl>
    <w:p w:rsidR="003B31A4" w:rsidRDefault="003B31A4">
      <w:r>
        <w:br w:type="page"/>
      </w:r>
    </w:p>
    <w:tbl>
      <w:tblPr>
        <w:tblW w:w="14097" w:type="dxa"/>
        <w:tblInd w:w="47" w:type="dxa"/>
        <w:tblCellMar>
          <w:left w:w="70" w:type="dxa"/>
          <w:right w:w="70" w:type="dxa"/>
        </w:tblCellMar>
        <w:tblLook w:val="04A0" w:firstRow="1" w:lastRow="0" w:firstColumn="1" w:lastColumn="0" w:noHBand="0" w:noVBand="1"/>
      </w:tblPr>
      <w:tblGrid>
        <w:gridCol w:w="716"/>
        <w:gridCol w:w="644"/>
        <w:gridCol w:w="2344"/>
        <w:gridCol w:w="1140"/>
        <w:gridCol w:w="1024"/>
        <w:gridCol w:w="3610"/>
        <w:gridCol w:w="1616"/>
        <w:gridCol w:w="3003"/>
      </w:tblGrid>
      <w:tr w:rsidR="003B31A4" w:rsidRPr="003B2562" w:rsidTr="00975FB2">
        <w:trPr>
          <w:trHeight w:val="285"/>
        </w:trPr>
        <w:tc>
          <w:tcPr>
            <w:tcW w:w="716" w:type="dxa"/>
            <w:tcBorders>
              <w:top w:val="single" w:sz="8" w:space="0" w:color="auto"/>
              <w:left w:val="single" w:sz="8" w:space="0" w:color="auto"/>
              <w:bottom w:val="single" w:sz="4" w:space="0" w:color="auto"/>
              <w:right w:val="single" w:sz="12" w:space="0" w:color="auto"/>
            </w:tcBorders>
            <w:shd w:val="clear" w:color="000000" w:fill="E4DFEC"/>
            <w:noWrap/>
            <w:vAlign w:val="bottom"/>
            <w:hideMark/>
          </w:tcPr>
          <w:p w:rsidR="003B31A4" w:rsidRPr="003B2562" w:rsidRDefault="003B31A4"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4.4</w:t>
            </w:r>
          </w:p>
        </w:tc>
        <w:tc>
          <w:tcPr>
            <w:tcW w:w="644" w:type="dxa"/>
            <w:tcBorders>
              <w:top w:val="single" w:sz="12" w:space="0" w:color="auto"/>
              <w:left w:val="single" w:sz="12" w:space="0" w:color="auto"/>
              <w:bottom w:val="single" w:sz="12" w:space="0" w:color="auto"/>
              <w:right w:val="nil"/>
            </w:tcBorders>
            <w:shd w:val="clear" w:color="auto" w:fill="auto"/>
            <w:noWrap/>
            <w:vAlign w:val="bottom"/>
            <w:hideMark/>
          </w:tcPr>
          <w:p w:rsidR="003B31A4" w:rsidRPr="003B2562" w:rsidRDefault="003B31A4"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T:</w:t>
            </w:r>
          </w:p>
        </w:tc>
        <w:tc>
          <w:tcPr>
            <w:tcW w:w="2344" w:type="dxa"/>
            <w:tcBorders>
              <w:top w:val="single" w:sz="12" w:space="0" w:color="auto"/>
              <w:left w:val="nil"/>
              <w:bottom w:val="single" w:sz="12" w:space="0" w:color="auto"/>
              <w:right w:val="nil"/>
            </w:tcBorders>
            <w:shd w:val="clear" w:color="auto" w:fill="auto"/>
            <w:noWrap/>
            <w:vAlign w:val="bottom"/>
            <w:hideMark/>
          </w:tcPr>
          <w:p w:rsidR="003B31A4" w:rsidRPr="003B2562" w:rsidRDefault="003B31A4" w:rsidP="00975FB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w:t>
            </w:r>
          </w:p>
        </w:tc>
        <w:tc>
          <w:tcPr>
            <w:tcW w:w="1140" w:type="dxa"/>
            <w:tcBorders>
              <w:top w:val="single" w:sz="12" w:space="0" w:color="auto"/>
              <w:left w:val="single" w:sz="12" w:space="0" w:color="auto"/>
              <w:bottom w:val="single" w:sz="12" w:space="0" w:color="auto"/>
              <w:right w:val="nil"/>
            </w:tcBorders>
            <w:shd w:val="clear" w:color="auto" w:fill="auto"/>
            <w:noWrap/>
            <w:vAlign w:val="bottom"/>
            <w:hideMark/>
          </w:tcPr>
          <w:p w:rsidR="003B31A4" w:rsidRPr="003B2562" w:rsidRDefault="003B31A4" w:rsidP="003B2562">
            <w:pPr>
              <w:spacing w:line="240" w:lineRule="auto"/>
              <w:jc w:val="right"/>
              <w:rPr>
                <w:rFonts w:eastAsia="Times New Roman" w:cs="Arial"/>
                <w:b/>
                <w:bCs/>
                <w:color w:val="000000"/>
                <w:szCs w:val="24"/>
                <w:lang w:eastAsia="cs-CZ"/>
              </w:rPr>
            </w:pPr>
            <w:r w:rsidRPr="003B2562">
              <w:rPr>
                <w:rFonts w:eastAsia="Times New Roman" w:cs="Arial"/>
                <w:b/>
                <w:bCs/>
                <w:color w:val="000000"/>
                <w:szCs w:val="24"/>
                <w:lang w:eastAsia="cs-CZ"/>
              </w:rPr>
              <w:t>gesce:</w:t>
            </w:r>
          </w:p>
        </w:tc>
        <w:tc>
          <w:tcPr>
            <w:tcW w:w="1024" w:type="dxa"/>
            <w:tcBorders>
              <w:top w:val="single" w:sz="12" w:space="0" w:color="auto"/>
              <w:left w:val="nil"/>
              <w:bottom w:val="single" w:sz="12" w:space="0" w:color="auto"/>
              <w:right w:val="single" w:sz="12" w:space="0" w:color="auto"/>
            </w:tcBorders>
            <w:shd w:val="clear" w:color="auto" w:fill="auto"/>
            <w:noWrap/>
            <w:vAlign w:val="bottom"/>
            <w:hideMark/>
          </w:tcPr>
          <w:p w:rsidR="003B31A4" w:rsidRPr="003B2562" w:rsidRDefault="003B31A4"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 </w:t>
            </w:r>
            <w:r w:rsidR="00412306">
              <w:rPr>
                <w:rFonts w:eastAsia="Times New Roman" w:cs="Arial"/>
                <w:b/>
                <w:bCs/>
                <w:color w:val="000000"/>
                <w:szCs w:val="24"/>
                <w:lang w:eastAsia="cs-CZ"/>
              </w:rPr>
              <w:t>MPSV</w:t>
            </w:r>
          </w:p>
        </w:tc>
        <w:tc>
          <w:tcPr>
            <w:tcW w:w="3610" w:type="dxa"/>
            <w:tcBorders>
              <w:top w:val="single" w:sz="8" w:space="0" w:color="auto"/>
              <w:left w:val="nil"/>
              <w:right w:val="single" w:sz="12" w:space="0" w:color="auto"/>
            </w:tcBorders>
            <w:shd w:val="clear" w:color="auto" w:fill="auto"/>
            <w:noWrap/>
            <w:vAlign w:val="bottom"/>
          </w:tcPr>
          <w:p w:rsidR="003B31A4" w:rsidRPr="003B2562" w:rsidRDefault="003B31A4" w:rsidP="003B2562">
            <w:pPr>
              <w:spacing w:line="240" w:lineRule="auto"/>
              <w:jc w:val="right"/>
              <w:rPr>
                <w:rFonts w:eastAsia="Times New Roman" w:cs="Arial"/>
                <w:color w:val="000000"/>
                <w:szCs w:val="24"/>
                <w:lang w:eastAsia="cs-CZ"/>
              </w:rPr>
            </w:pPr>
          </w:p>
        </w:tc>
        <w:tc>
          <w:tcPr>
            <w:tcW w:w="1616" w:type="dxa"/>
            <w:tcBorders>
              <w:top w:val="single" w:sz="12" w:space="0" w:color="auto"/>
              <w:left w:val="single" w:sz="12" w:space="0" w:color="auto"/>
              <w:bottom w:val="single" w:sz="12" w:space="0" w:color="auto"/>
            </w:tcBorders>
            <w:shd w:val="clear" w:color="auto" w:fill="auto"/>
            <w:noWrap/>
            <w:vAlign w:val="bottom"/>
          </w:tcPr>
          <w:p w:rsidR="003B31A4" w:rsidRPr="003B31A4" w:rsidRDefault="003B31A4" w:rsidP="003B2562">
            <w:pPr>
              <w:spacing w:line="240" w:lineRule="auto"/>
              <w:jc w:val="right"/>
              <w:rPr>
                <w:rFonts w:eastAsia="Times New Roman" w:cs="Arial"/>
                <w:b/>
                <w:color w:val="000000"/>
                <w:szCs w:val="24"/>
                <w:lang w:eastAsia="cs-CZ"/>
              </w:rPr>
            </w:pPr>
            <w:r>
              <w:rPr>
                <w:rFonts w:eastAsia="Times New Roman" w:cs="Arial"/>
                <w:b/>
                <w:color w:val="000000"/>
                <w:szCs w:val="24"/>
                <w:lang w:eastAsia="cs-CZ"/>
              </w:rPr>
              <w:t>Povaha</w:t>
            </w:r>
          </w:p>
        </w:tc>
        <w:tc>
          <w:tcPr>
            <w:tcW w:w="3003" w:type="dxa"/>
            <w:tcBorders>
              <w:top w:val="single" w:sz="12" w:space="0" w:color="auto"/>
              <w:bottom w:val="single" w:sz="12" w:space="0" w:color="auto"/>
              <w:right w:val="single" w:sz="12" w:space="0" w:color="auto"/>
            </w:tcBorders>
            <w:shd w:val="clear" w:color="auto" w:fill="auto"/>
            <w:noWrap/>
            <w:vAlign w:val="bottom"/>
          </w:tcPr>
          <w:p w:rsidR="003B31A4" w:rsidRPr="003B2562" w:rsidRDefault="003B31A4" w:rsidP="00975FB2">
            <w:pPr>
              <w:spacing w:line="240" w:lineRule="auto"/>
              <w:jc w:val="left"/>
              <w:rPr>
                <w:rFonts w:eastAsia="Times New Roman" w:cs="Arial"/>
                <w:b/>
                <w:bCs/>
                <w:color w:val="000000"/>
                <w:szCs w:val="24"/>
                <w:lang w:eastAsia="cs-CZ"/>
              </w:rPr>
            </w:pPr>
            <w:r>
              <w:rPr>
                <w:rFonts w:eastAsia="Times New Roman" w:cs="Arial"/>
                <w:b/>
                <w:bCs/>
                <w:color w:val="000000"/>
                <w:szCs w:val="24"/>
                <w:lang w:eastAsia="cs-CZ"/>
              </w:rPr>
              <w:t>N</w:t>
            </w:r>
          </w:p>
        </w:tc>
      </w:tr>
      <w:tr w:rsidR="001B7AAD" w:rsidRPr="003B2562" w:rsidTr="00975FB2">
        <w:trPr>
          <w:trHeight w:val="285"/>
        </w:trPr>
        <w:tc>
          <w:tcPr>
            <w:tcW w:w="716" w:type="dxa"/>
            <w:vMerge w:val="restart"/>
            <w:tcBorders>
              <w:top w:val="nil"/>
              <w:left w:val="single" w:sz="8" w:space="0" w:color="auto"/>
              <w:bottom w:val="single" w:sz="8" w:space="0" w:color="000000"/>
              <w:right w:val="single" w:sz="8" w:space="0" w:color="auto"/>
            </w:tcBorders>
            <w:shd w:val="clear" w:color="000000" w:fill="E4DFEC"/>
            <w:noWrap/>
            <w:textDirection w:val="btLr"/>
            <w:vAlign w:val="center"/>
            <w:hideMark/>
          </w:tcPr>
          <w:p w:rsidR="003B2562" w:rsidRPr="003B2562" w:rsidRDefault="003B2562" w:rsidP="003B2562">
            <w:pPr>
              <w:spacing w:line="240" w:lineRule="auto"/>
              <w:jc w:val="center"/>
              <w:rPr>
                <w:rFonts w:eastAsia="Times New Roman" w:cs="Arial"/>
                <w:b/>
                <w:bCs/>
                <w:color w:val="000000"/>
                <w:szCs w:val="24"/>
                <w:lang w:eastAsia="cs-CZ"/>
              </w:rPr>
            </w:pPr>
            <w:r w:rsidRPr="003B2562">
              <w:rPr>
                <w:rFonts w:eastAsia="Times New Roman" w:cs="Arial"/>
                <w:b/>
                <w:bCs/>
                <w:color w:val="000000"/>
                <w:szCs w:val="24"/>
                <w:lang w:eastAsia="cs-CZ"/>
              </w:rPr>
              <w:t>Spolupráce na trhu práce</w:t>
            </w:r>
          </w:p>
        </w:tc>
        <w:tc>
          <w:tcPr>
            <w:tcW w:w="2988" w:type="dxa"/>
            <w:gridSpan w:val="2"/>
            <w:tcBorders>
              <w:top w:val="single" w:sz="12" w:space="0" w:color="auto"/>
              <w:left w:val="nil"/>
            </w:tcBorders>
            <w:shd w:val="clear" w:color="auto" w:fill="auto"/>
            <w:noWrap/>
            <w:vAlign w:val="bottom"/>
          </w:tcPr>
          <w:p w:rsidR="003B2562" w:rsidRPr="003B2562" w:rsidRDefault="003B2562" w:rsidP="003B2562">
            <w:pPr>
              <w:spacing w:line="240" w:lineRule="auto"/>
              <w:jc w:val="right"/>
              <w:rPr>
                <w:rFonts w:eastAsia="Times New Roman" w:cs="Arial"/>
                <w:b/>
                <w:bCs/>
                <w:color w:val="000000"/>
                <w:szCs w:val="24"/>
                <w:lang w:eastAsia="cs-CZ"/>
              </w:rPr>
            </w:pPr>
          </w:p>
        </w:tc>
        <w:tc>
          <w:tcPr>
            <w:tcW w:w="1140" w:type="dxa"/>
            <w:tcBorders>
              <w:top w:val="single" w:sz="8" w:space="0" w:color="auto"/>
            </w:tcBorders>
            <w:shd w:val="clear" w:color="auto" w:fill="auto"/>
            <w:noWrap/>
            <w:vAlign w:val="bottom"/>
          </w:tcPr>
          <w:p w:rsidR="003B2562" w:rsidRPr="003B2562" w:rsidRDefault="003B2562" w:rsidP="003B2562">
            <w:pPr>
              <w:spacing w:line="240" w:lineRule="auto"/>
              <w:jc w:val="center"/>
              <w:rPr>
                <w:rFonts w:eastAsia="Times New Roman" w:cs="Arial"/>
                <w:b/>
                <w:bCs/>
                <w:color w:val="000000"/>
                <w:szCs w:val="24"/>
                <w:lang w:eastAsia="cs-CZ"/>
              </w:rPr>
            </w:pPr>
          </w:p>
        </w:tc>
        <w:tc>
          <w:tcPr>
            <w:tcW w:w="4634" w:type="dxa"/>
            <w:gridSpan w:val="2"/>
            <w:shd w:val="clear" w:color="auto" w:fill="auto"/>
            <w:noWrap/>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Popis</w:t>
            </w:r>
          </w:p>
        </w:tc>
        <w:tc>
          <w:tcPr>
            <w:tcW w:w="1616" w:type="dxa"/>
            <w:tcBorders>
              <w:top w:val="single" w:sz="12"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c>
          <w:tcPr>
            <w:tcW w:w="3003" w:type="dxa"/>
            <w:tcBorders>
              <w:top w:val="single" w:sz="12" w:space="0" w:color="auto"/>
              <w:right w:val="single" w:sz="8" w:space="0" w:color="auto"/>
            </w:tcBorders>
            <w:shd w:val="clear" w:color="auto" w:fill="auto"/>
            <w:noWrap/>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3B2562" w:rsidRPr="003B2562" w:rsidTr="00975FB2">
        <w:trPr>
          <w:trHeight w:val="1365"/>
        </w:trPr>
        <w:tc>
          <w:tcPr>
            <w:tcW w:w="716"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13381" w:type="dxa"/>
            <w:gridSpan w:val="7"/>
            <w:tcBorders>
              <w:left w:val="nil"/>
              <w:bottom w:val="double" w:sz="6" w:space="0" w:color="auto"/>
              <w:right w:val="single" w:sz="8" w:space="0" w:color="000000"/>
            </w:tcBorders>
            <w:shd w:val="clear" w:color="auto" w:fill="auto"/>
            <w:hideMark/>
          </w:tcPr>
          <w:p w:rsidR="003B2562" w:rsidRPr="003B2562" w:rsidRDefault="003B2562">
            <w:pPr>
              <w:spacing w:line="240" w:lineRule="auto"/>
              <w:rPr>
                <w:rFonts w:eastAsia="Times New Roman" w:cs="Arial"/>
                <w:color w:val="000000"/>
                <w:szCs w:val="24"/>
                <w:lang w:eastAsia="cs-CZ"/>
              </w:rPr>
            </w:pPr>
            <w:r w:rsidRPr="003B2562">
              <w:rPr>
                <w:rFonts w:eastAsia="Times New Roman" w:cs="Arial"/>
                <w:color w:val="000000"/>
                <w:szCs w:val="24"/>
                <w:lang w:eastAsia="cs-CZ"/>
              </w:rPr>
              <w:t xml:space="preserve">Spolupráce všech zúčastněných aktérů trhu práce (státní správy, zaměstnavatelů, samosprávy, zástupců zaměstnanců, vzdělávacích institucí, nestátních neziskových organizací a dalších aktérů ovlivňujících trh práce) je zcela nezbytným předpokladem k realizaci významné části výše uvedených opatření. Ze strany státní správy bude zaměstnavatelům poskytnuta maximální možná podpora při podpoře zaměstnanosti a kvalifikace pracovní síly, zejména ve prospěch znevýhodněných skupin osob. Primární platformou pro posilování spolupráce na trhu práce, zejména v oblasti realizace politiky zaměstnanosti, jsou poradní sbory zřizované </w:t>
            </w:r>
            <w:r w:rsidR="00412306">
              <w:rPr>
                <w:rFonts w:eastAsia="Times New Roman" w:cs="Arial"/>
                <w:color w:val="000000"/>
                <w:szCs w:val="24"/>
                <w:lang w:eastAsia="cs-CZ"/>
              </w:rPr>
              <w:t>ÚP</w:t>
            </w:r>
            <w:r w:rsidRPr="003B2562">
              <w:rPr>
                <w:rFonts w:eastAsia="Times New Roman" w:cs="Arial"/>
                <w:color w:val="000000"/>
                <w:szCs w:val="24"/>
                <w:lang w:eastAsia="cs-CZ"/>
              </w:rPr>
              <w:t xml:space="preserve"> ČR podle zákona o zaměstnanosti</w:t>
            </w:r>
            <w:r w:rsidR="00412306">
              <w:rPr>
                <w:rFonts w:eastAsia="Times New Roman" w:cs="Arial"/>
                <w:color w:val="000000"/>
                <w:szCs w:val="24"/>
                <w:lang w:eastAsia="cs-CZ"/>
              </w:rPr>
              <w:t>.</w:t>
            </w:r>
          </w:p>
        </w:tc>
      </w:tr>
      <w:tr w:rsidR="001B7AAD" w:rsidRPr="003B2562" w:rsidTr="00975FB2">
        <w:trPr>
          <w:trHeight w:val="285"/>
        </w:trPr>
        <w:tc>
          <w:tcPr>
            <w:tcW w:w="716" w:type="dxa"/>
            <w:vMerge/>
            <w:tcBorders>
              <w:top w:val="nil"/>
              <w:left w:val="single" w:sz="8" w:space="0" w:color="auto"/>
              <w:bottom w:val="single" w:sz="8" w:space="0" w:color="000000"/>
              <w:right w:val="double" w:sz="6"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3" w:type="dxa"/>
            <w:tcBorders>
              <w:top w:val="double" w:sz="6" w:space="0" w:color="auto"/>
              <w:left w:val="double" w:sz="6" w:space="0" w:color="auto"/>
              <w:bottom w:val="double" w:sz="6" w:space="0" w:color="auto"/>
              <w:right w:val="nil"/>
            </w:tcBorders>
            <w:shd w:val="clear" w:color="000000" w:fill="D8E4BC"/>
            <w:noWrap/>
            <w:vAlign w:val="bottom"/>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stav</w:t>
            </w:r>
          </w:p>
        </w:tc>
        <w:tc>
          <w:tcPr>
            <w:tcW w:w="3545" w:type="dxa"/>
            <w:gridSpan w:val="2"/>
            <w:tcBorders>
              <w:top w:val="double" w:sz="6" w:space="0" w:color="auto"/>
              <w:left w:val="nil"/>
              <w:bottom w:val="double" w:sz="6" w:space="0" w:color="auto"/>
              <w:right w:val="double" w:sz="6" w:space="0" w:color="auto"/>
            </w:tcBorders>
            <w:shd w:val="clear" w:color="000000" w:fill="D8E4BC"/>
            <w:vAlign w:val="bottom"/>
            <w:hideMark/>
          </w:tcPr>
          <w:p w:rsidR="003B2562" w:rsidRPr="003B2562" w:rsidRDefault="003B2562" w:rsidP="003B2562">
            <w:pPr>
              <w:spacing w:line="240" w:lineRule="auto"/>
              <w:jc w:val="left"/>
              <w:rPr>
                <w:rFonts w:eastAsia="Times New Roman" w:cs="Arial"/>
                <w:b/>
                <w:bCs/>
                <w:color w:val="000000"/>
                <w:szCs w:val="24"/>
                <w:lang w:eastAsia="cs-CZ"/>
              </w:rPr>
            </w:pPr>
            <w:r w:rsidRPr="003B2562">
              <w:rPr>
                <w:rFonts w:eastAsia="Times New Roman" w:cs="Arial"/>
                <w:b/>
                <w:bCs/>
                <w:color w:val="000000"/>
                <w:szCs w:val="24"/>
                <w:lang w:eastAsia="cs-CZ"/>
              </w:rPr>
              <w:t>Průběžně plněno</w:t>
            </w:r>
          </w:p>
        </w:tc>
        <w:tc>
          <w:tcPr>
            <w:tcW w:w="4634" w:type="dxa"/>
            <w:gridSpan w:val="2"/>
            <w:tcBorders>
              <w:top w:val="double" w:sz="6" w:space="0" w:color="auto"/>
              <w:left w:val="double" w:sz="6" w:space="0" w:color="auto"/>
              <w:bottom w:val="nil"/>
            </w:tcBorders>
            <w:shd w:val="clear" w:color="auto" w:fill="auto"/>
            <w:vAlign w:val="center"/>
            <w:hideMark/>
          </w:tcPr>
          <w:p w:rsidR="003B2562" w:rsidRPr="003B2562" w:rsidRDefault="003B2562" w:rsidP="003B2562">
            <w:pPr>
              <w:spacing w:line="240" w:lineRule="auto"/>
              <w:jc w:val="center"/>
              <w:rPr>
                <w:rFonts w:eastAsia="Times New Roman" w:cs="Arial"/>
                <w:b/>
                <w:bCs/>
                <w:color w:val="000000"/>
                <w:szCs w:val="24"/>
                <w:u w:val="single"/>
                <w:lang w:eastAsia="cs-CZ"/>
              </w:rPr>
            </w:pPr>
            <w:r w:rsidRPr="003B2562">
              <w:rPr>
                <w:rFonts w:eastAsia="Times New Roman" w:cs="Arial"/>
                <w:b/>
                <w:bCs/>
                <w:color w:val="000000"/>
                <w:szCs w:val="24"/>
                <w:u w:val="single"/>
                <w:lang w:eastAsia="cs-CZ"/>
              </w:rPr>
              <w:t>Plnění</w:t>
            </w:r>
          </w:p>
        </w:tc>
        <w:tc>
          <w:tcPr>
            <w:tcW w:w="1616" w:type="dxa"/>
            <w:tcBorders>
              <w:top w:val="nil"/>
              <w:right w:val="nil"/>
            </w:tcBorders>
            <w:shd w:val="clear" w:color="auto" w:fill="auto"/>
            <w:vAlign w:val="center"/>
          </w:tcPr>
          <w:p w:rsidR="003B2562" w:rsidRPr="003B2562" w:rsidRDefault="003B2562" w:rsidP="003B2562">
            <w:pPr>
              <w:spacing w:line="240" w:lineRule="auto"/>
              <w:jc w:val="right"/>
              <w:rPr>
                <w:rFonts w:eastAsia="Times New Roman" w:cs="Arial"/>
                <w:color w:val="000000"/>
                <w:szCs w:val="24"/>
                <w:lang w:eastAsia="cs-CZ"/>
              </w:rPr>
            </w:pPr>
          </w:p>
        </w:tc>
        <w:tc>
          <w:tcPr>
            <w:tcW w:w="3003" w:type="dxa"/>
            <w:tcBorders>
              <w:top w:val="nil"/>
              <w:left w:val="nil"/>
              <w:right w:val="single" w:sz="8" w:space="0" w:color="auto"/>
            </w:tcBorders>
            <w:shd w:val="clear" w:color="auto" w:fill="auto"/>
            <w:vAlign w:val="center"/>
          </w:tcPr>
          <w:p w:rsidR="003B2562" w:rsidRPr="003B2562" w:rsidRDefault="003B2562" w:rsidP="003B2562">
            <w:pPr>
              <w:spacing w:line="240" w:lineRule="auto"/>
              <w:jc w:val="center"/>
              <w:rPr>
                <w:rFonts w:eastAsia="Times New Roman" w:cs="Arial"/>
                <w:b/>
                <w:bCs/>
                <w:color w:val="000000"/>
                <w:szCs w:val="24"/>
                <w:u w:val="single"/>
                <w:lang w:eastAsia="cs-CZ"/>
              </w:rPr>
            </w:pPr>
          </w:p>
        </w:tc>
      </w:tr>
      <w:tr w:rsidR="00F9736F" w:rsidRPr="003B2562" w:rsidTr="00975FB2">
        <w:trPr>
          <w:trHeight w:val="2640"/>
        </w:trPr>
        <w:tc>
          <w:tcPr>
            <w:tcW w:w="716"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3" w:type="dxa"/>
            <w:tcBorders>
              <w:top w:val="nil"/>
              <w:left w:val="nil"/>
              <w:bottom w:val="nil"/>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minulé</w:t>
            </w:r>
          </w:p>
        </w:tc>
        <w:tc>
          <w:tcPr>
            <w:tcW w:w="12798" w:type="dxa"/>
            <w:gridSpan w:val="6"/>
            <w:tcBorders>
              <w:top w:val="nil"/>
              <w:left w:val="nil"/>
              <w:bottom w:val="nil"/>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ÚP ČR se v roce 2016 zaměřil, stejně jako v předchozím období, na budování lokálních sítí zaměstnanosti, jejichž prostřednictvím dochází k propojení jednotlivých subjektů na trhu práce. Cílem je komplexní a společné řešení problematiky zaměstnanosti, vzájemné předávání zkušeností a know-how. Dílčími úkoly jsou realizace aktivního monitoringu trhu práce, prohlubování spolupráce se zaměstnavateli a iniciativa v oblasti efektivního fungování poradních sborů při ÚP ČR. V roce 2016 bylo realizováno celkem 161 setkání poradních sborů na krajských i lokálních úrovních. Cílem monitoringu trhu práce je zjišťování skutečných stavů a pohybů zaměstnanců u zaměstnavatelů, navázání a prohlubování spolupráce mezi ÚP ČR a zaměstnavateli v regionech. Pravidelné získávání relevantních podkladů pro mapování situace na regionálním trhu práce a průběžné zjišťování potřeb zaměstnavatelů v oblasti jejich poptávky po pracovní síle vede k efektivnější realizaci APZ. Aktivní osobní setkávání se zaměstnavateli ve všech regionech ČR slouží mimo jiné také k přímému získávání VPM a přispívá k úspěšnějšímu umísťování UoZ z evidence ÚP ČR. Ve výzvě č. 55 OP Z zaměřené na podporu aktivit teritoriálních paktů zaměstnanosti v práci se znevýhodněnými skupinami bylo podpořeno 12 projektů o objemu 107,3 mil. Kč.</w:t>
            </w:r>
          </w:p>
        </w:tc>
      </w:tr>
      <w:tr w:rsidR="00F9736F" w:rsidRPr="003B2562" w:rsidTr="00975FB2">
        <w:trPr>
          <w:trHeight w:val="1095"/>
        </w:trPr>
        <w:tc>
          <w:tcPr>
            <w:tcW w:w="716" w:type="dxa"/>
            <w:vMerge/>
            <w:tcBorders>
              <w:top w:val="nil"/>
              <w:left w:val="single" w:sz="8" w:space="0" w:color="auto"/>
              <w:bottom w:val="single" w:sz="8" w:space="0" w:color="000000"/>
              <w:right w:val="single" w:sz="8" w:space="0" w:color="auto"/>
            </w:tcBorders>
            <w:vAlign w:val="center"/>
            <w:hideMark/>
          </w:tcPr>
          <w:p w:rsidR="003B2562" w:rsidRPr="003B2562" w:rsidRDefault="003B2562" w:rsidP="003B2562">
            <w:pPr>
              <w:spacing w:line="240" w:lineRule="auto"/>
              <w:jc w:val="left"/>
              <w:rPr>
                <w:rFonts w:eastAsia="Times New Roman" w:cs="Arial"/>
                <w:b/>
                <w:bCs/>
                <w:color w:val="000000"/>
                <w:szCs w:val="24"/>
                <w:lang w:eastAsia="cs-CZ"/>
              </w:rPr>
            </w:pPr>
          </w:p>
        </w:tc>
        <w:tc>
          <w:tcPr>
            <w:tcW w:w="583" w:type="dxa"/>
            <w:tcBorders>
              <w:top w:val="single" w:sz="4" w:space="0" w:color="auto"/>
              <w:left w:val="nil"/>
              <w:bottom w:val="single" w:sz="8" w:space="0" w:color="auto"/>
              <w:right w:val="single" w:sz="4" w:space="0" w:color="auto"/>
            </w:tcBorders>
            <w:shd w:val="clear" w:color="auto" w:fill="auto"/>
            <w:textDirection w:val="btLr"/>
            <w:vAlign w:val="center"/>
            <w:hideMark/>
          </w:tcPr>
          <w:p w:rsidR="003B2562" w:rsidRPr="003B2562" w:rsidRDefault="003B2562" w:rsidP="003B2562">
            <w:pPr>
              <w:spacing w:line="240" w:lineRule="auto"/>
              <w:jc w:val="center"/>
              <w:rPr>
                <w:rFonts w:eastAsia="Times New Roman" w:cs="Arial"/>
                <w:color w:val="000000"/>
                <w:szCs w:val="24"/>
                <w:lang w:eastAsia="cs-CZ"/>
              </w:rPr>
            </w:pPr>
            <w:r w:rsidRPr="003B2562">
              <w:rPr>
                <w:rFonts w:eastAsia="Times New Roman" w:cs="Arial"/>
                <w:color w:val="000000"/>
                <w:szCs w:val="24"/>
                <w:lang w:eastAsia="cs-CZ"/>
              </w:rPr>
              <w:t xml:space="preserve">sledované </w:t>
            </w:r>
          </w:p>
        </w:tc>
        <w:tc>
          <w:tcPr>
            <w:tcW w:w="12798" w:type="dxa"/>
            <w:gridSpan w:val="6"/>
            <w:tcBorders>
              <w:top w:val="single" w:sz="4" w:space="0" w:color="auto"/>
              <w:left w:val="nil"/>
              <w:bottom w:val="single" w:sz="8" w:space="0" w:color="auto"/>
              <w:right w:val="single" w:sz="8" w:space="0" w:color="000000"/>
            </w:tcBorders>
            <w:shd w:val="clear" w:color="auto" w:fill="auto"/>
            <w:hideMark/>
          </w:tcPr>
          <w:p w:rsidR="003B2562" w:rsidRPr="003B2562" w:rsidRDefault="003B2562" w:rsidP="003B2562">
            <w:pPr>
              <w:spacing w:line="240" w:lineRule="auto"/>
              <w:rPr>
                <w:rFonts w:eastAsia="Times New Roman" w:cs="Arial"/>
                <w:color w:val="000000"/>
                <w:szCs w:val="24"/>
                <w:lang w:eastAsia="cs-CZ"/>
              </w:rPr>
            </w:pPr>
            <w:r w:rsidRPr="003B2562">
              <w:rPr>
                <w:rFonts w:eastAsia="Times New Roman" w:cs="Arial"/>
                <w:color w:val="000000"/>
                <w:szCs w:val="24"/>
                <w:lang w:eastAsia="cs-CZ"/>
              </w:rPr>
              <w:t>Vytváření a upevňování lokálních sítí zaměstnanosti je stále oblast, na kterou se ÚP ČR ve své činnosti zvýšeně zaměřuje. Za první pololetí roku 2017 se realizovalo celkem 77 setkání poradních sborů zřízených pracovišti ÚP ČR. V</w:t>
            </w:r>
            <w:r w:rsidR="00412306">
              <w:rPr>
                <w:rFonts w:eastAsia="Times New Roman" w:cs="Arial"/>
                <w:color w:val="000000"/>
                <w:szCs w:val="24"/>
                <w:lang w:eastAsia="cs-CZ"/>
              </w:rPr>
              <w:t> </w:t>
            </w:r>
            <w:r w:rsidRPr="003B2562">
              <w:rPr>
                <w:rFonts w:eastAsia="Times New Roman" w:cs="Arial"/>
                <w:color w:val="000000"/>
                <w:szCs w:val="24"/>
                <w:lang w:eastAsia="cs-CZ"/>
              </w:rPr>
              <w:t>rámci projektu KOMPAS byla navázána úzká spolupráce mezi krajskými pobočkami ÚP ČR a regionálními partnery, zejména nositeli teritoriálních paktů zaměstnanosti, pro zajištění kvalitnějšího monitoringu trhu práce.</w:t>
            </w:r>
          </w:p>
        </w:tc>
      </w:tr>
    </w:tbl>
    <w:p w:rsidR="00EA0889" w:rsidRPr="003B2562" w:rsidRDefault="00EA0889" w:rsidP="00110B70">
      <w:pPr>
        <w:spacing w:line="240" w:lineRule="auto"/>
        <w:rPr>
          <w:rFonts w:cs="Arial"/>
          <w:szCs w:val="24"/>
        </w:rPr>
      </w:pPr>
    </w:p>
    <w:sectPr w:rsidR="00EA0889" w:rsidRPr="003B2562" w:rsidSect="00495EF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F1" w:rsidRDefault="00B235F1" w:rsidP="00A93F0C">
      <w:pPr>
        <w:spacing w:line="240" w:lineRule="auto"/>
      </w:pPr>
      <w:r>
        <w:separator/>
      </w:r>
    </w:p>
  </w:endnote>
  <w:endnote w:type="continuationSeparator" w:id="0">
    <w:p w:rsidR="00B235F1" w:rsidRDefault="00B235F1" w:rsidP="00A93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79904"/>
      <w:docPartObj>
        <w:docPartGallery w:val="Page Numbers (Bottom of Page)"/>
        <w:docPartUnique/>
      </w:docPartObj>
    </w:sdtPr>
    <w:sdtEndPr/>
    <w:sdtContent>
      <w:p w:rsidR="00B235F1" w:rsidRDefault="00B235F1">
        <w:pPr>
          <w:pStyle w:val="Zpat"/>
          <w:jc w:val="center"/>
        </w:pPr>
        <w:r>
          <w:fldChar w:fldCharType="begin"/>
        </w:r>
        <w:r>
          <w:instrText>PAGE   \* MERGEFORMAT</w:instrText>
        </w:r>
        <w:r>
          <w:fldChar w:fldCharType="separate"/>
        </w:r>
        <w:r>
          <w:rPr>
            <w:noProof/>
          </w:rPr>
          <w:t>i</w:t>
        </w:r>
        <w:r>
          <w:fldChar w:fldCharType="end"/>
        </w:r>
      </w:p>
    </w:sdtContent>
  </w:sdt>
  <w:p w:rsidR="00B235F1" w:rsidRDefault="00B235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277139"/>
      <w:docPartObj>
        <w:docPartGallery w:val="Page Numbers (Bottom of Page)"/>
        <w:docPartUnique/>
      </w:docPartObj>
    </w:sdtPr>
    <w:sdtEndPr/>
    <w:sdtContent>
      <w:p w:rsidR="00B235F1" w:rsidRDefault="00B235F1">
        <w:pPr>
          <w:pStyle w:val="Zpat"/>
          <w:jc w:val="center"/>
        </w:pPr>
        <w:r>
          <w:fldChar w:fldCharType="begin"/>
        </w:r>
        <w:r>
          <w:instrText>PAGE   \* MERGEFORMAT</w:instrText>
        </w:r>
        <w:r>
          <w:fldChar w:fldCharType="separate"/>
        </w:r>
        <w:r>
          <w:rPr>
            <w:noProof/>
          </w:rPr>
          <w:t>ii</w:t>
        </w:r>
        <w:r>
          <w:fldChar w:fldCharType="end"/>
        </w:r>
      </w:p>
    </w:sdtContent>
  </w:sdt>
  <w:p w:rsidR="00B235F1" w:rsidRDefault="00B235F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409557"/>
      <w:docPartObj>
        <w:docPartGallery w:val="Page Numbers (Bottom of Page)"/>
        <w:docPartUnique/>
      </w:docPartObj>
    </w:sdtPr>
    <w:sdtEndPr/>
    <w:sdtContent>
      <w:p w:rsidR="00B235F1" w:rsidRDefault="00B235F1">
        <w:pPr>
          <w:pStyle w:val="Zpat"/>
          <w:jc w:val="center"/>
        </w:pPr>
        <w:r>
          <w:fldChar w:fldCharType="begin"/>
        </w:r>
        <w:r>
          <w:instrText>PAGE   \* MERGEFORMAT</w:instrText>
        </w:r>
        <w:r>
          <w:fldChar w:fldCharType="separate"/>
        </w:r>
        <w:r w:rsidR="00F26E8F">
          <w:rPr>
            <w:noProof/>
          </w:rPr>
          <w:t>i</w:t>
        </w:r>
        <w:r>
          <w:fldChar w:fldCharType="end"/>
        </w:r>
      </w:p>
    </w:sdtContent>
  </w:sdt>
  <w:p w:rsidR="00B235F1" w:rsidRDefault="00B235F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425508"/>
      <w:docPartObj>
        <w:docPartGallery w:val="Page Numbers (Bottom of Page)"/>
        <w:docPartUnique/>
      </w:docPartObj>
    </w:sdtPr>
    <w:sdtEndPr/>
    <w:sdtContent>
      <w:p w:rsidR="00B235F1" w:rsidRDefault="00B235F1">
        <w:pPr>
          <w:pStyle w:val="Zpat"/>
          <w:jc w:val="center"/>
        </w:pPr>
        <w:r>
          <w:fldChar w:fldCharType="begin"/>
        </w:r>
        <w:r>
          <w:instrText>PAGE   \* MERGEFORMAT</w:instrText>
        </w:r>
        <w:r>
          <w:fldChar w:fldCharType="separate"/>
        </w:r>
        <w:r w:rsidR="00F26E8F">
          <w:rPr>
            <w:noProof/>
          </w:rPr>
          <w:t>3</w:t>
        </w:r>
        <w:r>
          <w:fldChar w:fldCharType="end"/>
        </w:r>
      </w:p>
    </w:sdtContent>
  </w:sdt>
  <w:p w:rsidR="00B235F1" w:rsidRDefault="00B235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F1" w:rsidRDefault="00B235F1" w:rsidP="00A93F0C">
      <w:pPr>
        <w:spacing w:line="240" w:lineRule="auto"/>
      </w:pPr>
      <w:r>
        <w:separator/>
      </w:r>
    </w:p>
  </w:footnote>
  <w:footnote w:type="continuationSeparator" w:id="0">
    <w:p w:rsidR="00B235F1" w:rsidRDefault="00B235F1" w:rsidP="00A93F0C">
      <w:pPr>
        <w:spacing w:line="240" w:lineRule="auto"/>
      </w:pPr>
      <w:r>
        <w:continuationSeparator/>
      </w:r>
    </w:p>
  </w:footnote>
  <w:footnote w:id="1">
    <w:p w:rsidR="00B235F1" w:rsidRDefault="00B235F1">
      <w:pPr>
        <w:pStyle w:val="Textpoznpodarou"/>
      </w:pPr>
      <w:r>
        <w:rPr>
          <w:rStyle w:val="Znakapoznpodarou"/>
        </w:rPr>
        <w:footnoteRef/>
      </w:r>
      <w:r>
        <w:t xml:space="preserve"> Není-li uvedeno jinak, zdroj dat Informační systém o průměrném výdělku (ISPV), www.ispv.cz.</w:t>
      </w:r>
    </w:p>
  </w:footnote>
  <w:footnote w:id="2">
    <w:p w:rsidR="00B235F1" w:rsidRDefault="00B235F1">
      <w:pPr>
        <w:pStyle w:val="Textpoznpodarou"/>
      </w:pPr>
      <w:r>
        <w:rPr>
          <w:rStyle w:val="Znakapoznpodarou"/>
        </w:rPr>
        <w:footnoteRef/>
      </w:r>
      <w:r>
        <w:t xml:space="preserve"> V době vypracování zprávy nebyla publikována data za 1. pololetí 2017.</w:t>
      </w:r>
    </w:p>
  </w:footnote>
  <w:footnote w:id="3">
    <w:p w:rsidR="00B235F1" w:rsidRDefault="00B235F1">
      <w:pPr>
        <w:pStyle w:val="Textpoznpodarou"/>
      </w:pPr>
      <w:r>
        <w:rPr>
          <w:rStyle w:val="Znakapoznpodarou"/>
        </w:rPr>
        <w:footnoteRef/>
      </w:r>
      <w:r>
        <w:t xml:space="preserve"> Označení sekcí CZ-NACE viz </w:t>
      </w:r>
      <w:r>
        <w:fldChar w:fldCharType="begin"/>
      </w:r>
      <w:r>
        <w:instrText xml:space="preserve"> REF _Ref489885818 \h </w:instrText>
      </w:r>
      <w:r>
        <w:fldChar w:fldCharType="separate"/>
      </w:r>
      <w:r>
        <w:t xml:space="preserve">Tabulka </w:t>
      </w:r>
      <w:r>
        <w:rPr>
          <w:noProof/>
        </w:rPr>
        <w:t>4</w:t>
      </w:r>
      <w:r>
        <w:fldChar w:fldCharType="end"/>
      </w:r>
      <w:r>
        <w:t xml:space="preserve"> na str. </w:t>
      </w:r>
      <w:r>
        <w:fldChar w:fldCharType="begin"/>
      </w:r>
      <w:r>
        <w:instrText xml:space="preserve"> PAGEREF _Ref490058028 \h </w:instrText>
      </w:r>
      <w:r>
        <w:fldChar w:fldCharType="separate"/>
      </w:r>
      <w:r>
        <w:rPr>
          <w:noProof/>
        </w:rPr>
        <w:t>11</w:t>
      </w:r>
      <w:r>
        <w:fldChar w:fldCharType="end"/>
      </w:r>
      <w:r>
        <w:t>.</w:t>
      </w:r>
    </w:p>
  </w:footnote>
  <w:footnote w:id="4">
    <w:p w:rsidR="00B235F1" w:rsidRDefault="00B235F1">
      <w:pPr>
        <w:pStyle w:val="Textpoznpodarou"/>
      </w:pPr>
      <w:r>
        <w:rPr>
          <w:rStyle w:val="Znakapoznpodarou"/>
        </w:rPr>
        <w:footnoteRef/>
      </w:r>
      <w:r>
        <w:t xml:space="preserve"> Jedná se ale o mzdovou sféru, tj. o relativně nízký vzorek – 6,4 tis. osob.</w:t>
      </w:r>
    </w:p>
  </w:footnote>
  <w:footnote w:id="5">
    <w:p w:rsidR="00B235F1" w:rsidRDefault="00B235F1">
      <w:pPr>
        <w:pStyle w:val="Textpoznpodarou"/>
      </w:pPr>
      <w:r>
        <w:rPr>
          <w:rStyle w:val="Znakapoznpodarou"/>
        </w:rPr>
        <w:footnoteRef/>
      </w:r>
      <w:r>
        <w:t xml:space="preserve"> Dle dat ČSÚ v 1Q 2017 sice mzdy vzrostly nominálně o 5,3 % (ČSÚ využívá jinou statistiku než ISPV, viz následující poznámka), reálně však pouze o 2,8 %.</w:t>
      </w:r>
    </w:p>
  </w:footnote>
  <w:footnote w:id="6">
    <w:p w:rsidR="00B235F1" w:rsidRDefault="00B235F1">
      <w:pPr>
        <w:pStyle w:val="Textpoznpodarou"/>
      </w:pPr>
      <w:r>
        <w:rPr>
          <w:rStyle w:val="Znakapoznpodarou"/>
        </w:rPr>
        <w:footnoteRef/>
      </w:r>
      <w:r>
        <w:t xml:space="preserve"> zdroj dat: ČSÚ, Struktura mezd zaměstnanců-2016, </w:t>
      </w:r>
      <w:hyperlink r:id="rId1" w:history="1">
        <w:r w:rsidRPr="00A54721">
          <w:rPr>
            <w:rStyle w:val="Hypertextovodkaz"/>
          </w:rPr>
          <w:t>https://www.czso.cz/csu/czso/struktura-mezd-zamestnancu-2016</w:t>
        </w:r>
      </w:hyperlink>
      <w:r>
        <w:t xml:space="preserve">. </w:t>
      </w:r>
    </w:p>
  </w:footnote>
  <w:footnote w:id="7">
    <w:p w:rsidR="00B235F1" w:rsidRDefault="00B235F1">
      <w:pPr>
        <w:pStyle w:val="Textpoznpodarou"/>
      </w:pPr>
      <w:r>
        <w:rPr>
          <w:rStyle w:val="Znakapoznpodarou"/>
        </w:rPr>
        <w:footnoteRef/>
      </w:r>
      <w:r>
        <w:t xml:space="preserve"> Dosažitelní – viz poznámka č. </w:t>
      </w:r>
      <w:r>
        <w:fldChar w:fldCharType="begin"/>
      </w:r>
      <w:r>
        <w:instrText xml:space="preserve"> NOTEREF _Ref492628305 \h </w:instrText>
      </w:r>
      <w:r>
        <w:fldChar w:fldCharType="separate"/>
      </w:r>
      <w:r>
        <w:t>9</w:t>
      </w:r>
      <w:r>
        <w:fldChar w:fldCharType="end"/>
      </w:r>
      <w:r>
        <w:t xml:space="preserve"> na straně </w:t>
      </w:r>
      <w:r>
        <w:fldChar w:fldCharType="begin"/>
      </w:r>
      <w:r>
        <w:instrText xml:space="preserve"> PAGEREF _Ref492628323 \h </w:instrText>
      </w:r>
      <w:r>
        <w:fldChar w:fldCharType="separate"/>
      </w:r>
      <w:r>
        <w:rPr>
          <w:noProof/>
        </w:rPr>
        <w:t>20</w:t>
      </w:r>
      <w:r>
        <w:fldChar w:fldCharType="end"/>
      </w:r>
      <w:r>
        <w:t xml:space="preserve">. </w:t>
      </w:r>
    </w:p>
  </w:footnote>
  <w:footnote w:id="8">
    <w:p w:rsidR="00B235F1" w:rsidRDefault="00B235F1">
      <w:pPr>
        <w:pStyle w:val="Textpoznpodarou"/>
      </w:pPr>
      <w:r>
        <w:rPr>
          <w:rStyle w:val="Znakapoznpodarou"/>
        </w:rPr>
        <w:footnoteRef/>
      </w:r>
      <w:r>
        <w:t xml:space="preserve"> Zákon č. 206/2017 Sb., kterým se mění zákon č. 435/2004 Sb., o zaměstnanosti, ve znění pozdějších předpisů, a další související zákony. Blíže viz část B) Plnění opatření, plnění opatření č. 1.2.</w:t>
      </w:r>
    </w:p>
  </w:footnote>
  <w:footnote w:id="9">
    <w:p w:rsidR="00B235F1" w:rsidRDefault="00B235F1">
      <w:pPr>
        <w:pStyle w:val="Textpoznpodarou"/>
      </w:pPr>
      <w:bookmarkStart w:id="81" w:name="_Ref492628323"/>
      <w:r>
        <w:rPr>
          <w:rStyle w:val="Znakapoznpodarou"/>
        </w:rPr>
        <w:footnoteRef/>
      </w:r>
      <w:r>
        <w:t xml:space="preserve"> </w:t>
      </w:r>
      <w:r w:rsidRPr="003F478C">
        <w:t>Jedná se o uchazeče o zaměstnání, kteří nemají objektivní překážku pro přijetí zaměstnání a mohou bezprostředně nastoupit do vhodného zaměstnání.  Za dosažitelného se nepovažuje uchazeč</w:t>
      </w:r>
      <w:r>
        <w:t xml:space="preserve"> o </w:t>
      </w:r>
      <w:r w:rsidRPr="003F478C">
        <w:t>zaměstnání po dobu, po kterou je uznán dočasně neschopným práce, je na mateřské nebo rodičovské dovolené, vykonává krátkodobé zaměstnání podle §25 odst. 6 zákona o zaměstnanosti, je zařazen do rekvalifikačního kurzu a dále uchazeč o zaměstnání po dobu 6 měsíců ode dne vzetí do vazby</w:t>
      </w:r>
      <w:r>
        <w:t>.</w:t>
      </w:r>
      <w:bookmarkEnd w:id="81"/>
    </w:p>
  </w:footnote>
  <w:footnote w:id="10">
    <w:p w:rsidR="00B235F1" w:rsidRDefault="00B235F1" w:rsidP="008B716F">
      <w:pPr>
        <w:pStyle w:val="Textpoznpodarou"/>
      </w:pPr>
      <w:r>
        <w:rPr>
          <w:rStyle w:val="Znakapoznpodarou"/>
        </w:rPr>
        <w:footnoteRef/>
      </w:r>
      <w:r>
        <w:t xml:space="preserve"> Počty vztahující se k cizincům v postavení zaměstnanců jsou kvalifikovanými odhady.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F1" w:rsidRPr="00AB7C96" w:rsidRDefault="00B235F1" w:rsidP="00AB7C96">
    <w:pPr>
      <w:pStyle w:val="Zhlav"/>
      <w:jc w:val="right"/>
      <w:rPr>
        <w:b/>
      </w:rPr>
    </w:pPr>
    <w:r w:rsidRPr="00AB7C96">
      <w:rPr>
        <w:b/>
      </w:rPr>
      <w:t>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F1" w:rsidRDefault="00B235F1" w:rsidP="00AB7C96">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5D76"/>
    <w:multiLevelType w:val="hybridMultilevel"/>
    <w:tmpl w:val="96AEF50E"/>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2A6347"/>
    <w:multiLevelType w:val="hybridMultilevel"/>
    <w:tmpl w:val="C9F42016"/>
    <w:lvl w:ilvl="0" w:tplc="F8709F2A">
      <w:start w:val="2"/>
      <w:numFmt w:val="bullet"/>
      <w:lvlText w:val="-"/>
      <w:lvlJc w:val="left"/>
      <w:pPr>
        <w:ind w:left="360" w:hanging="360"/>
      </w:pPr>
      <w:rPr>
        <w:rFonts w:ascii="Arial" w:eastAsiaTheme="minorHAnsi"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5671C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A83D56"/>
    <w:multiLevelType w:val="hybridMultilevel"/>
    <w:tmpl w:val="87E26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4C3B83"/>
    <w:multiLevelType w:val="hybridMultilevel"/>
    <w:tmpl w:val="0A48B868"/>
    <w:lvl w:ilvl="0" w:tplc="7CA6927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0D12D0"/>
    <w:multiLevelType w:val="hybridMultilevel"/>
    <w:tmpl w:val="E800D24A"/>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224639"/>
    <w:multiLevelType w:val="hybridMultilevel"/>
    <w:tmpl w:val="6BF63586"/>
    <w:lvl w:ilvl="0" w:tplc="233ADC9A">
      <w:start w:val="2"/>
      <w:numFmt w:val="decimal"/>
      <w:lvlText w:val="%1.c"/>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6F4E5327"/>
    <w:multiLevelType w:val="hybridMultilevel"/>
    <w:tmpl w:val="99444698"/>
    <w:lvl w:ilvl="0" w:tplc="A814ACDC">
      <w:start w:val="1"/>
      <w:numFmt w:val="upperLetter"/>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3D44AAC"/>
    <w:multiLevelType w:val="hybridMultilevel"/>
    <w:tmpl w:val="EE385A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A70D7F"/>
    <w:multiLevelType w:val="multilevel"/>
    <w:tmpl w:val="78303A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80B08A3"/>
    <w:multiLevelType w:val="multilevel"/>
    <w:tmpl w:val="B76C4EDA"/>
    <w:lvl w:ilvl="0">
      <w:start w:val="1"/>
      <w:numFmt w:val="ordinal"/>
      <w:pStyle w:val="Nadpis2"/>
      <w:lvlText w:val="%1"/>
      <w:lvlJc w:val="left"/>
      <w:pPr>
        <w:ind w:left="360" w:hanging="360"/>
      </w:pPr>
      <w:rPr>
        <w:rFonts w:hint="default"/>
      </w:rPr>
    </w:lvl>
    <w:lvl w:ilvl="1">
      <w:start w:val="1"/>
      <w:numFmt w:val="ordinal"/>
      <w:pStyle w:val="Nadpis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BCF1416"/>
    <w:multiLevelType w:val="hybridMultilevel"/>
    <w:tmpl w:val="98EAF1CA"/>
    <w:lvl w:ilvl="0" w:tplc="F8709F2A">
      <w:start w:val="2"/>
      <w:numFmt w:val="bullet"/>
      <w:lvlText w:val="-"/>
      <w:lvlJc w:val="left"/>
      <w:pPr>
        <w:ind w:left="720" w:hanging="360"/>
      </w:pPr>
      <w:rPr>
        <w:rFonts w:ascii="Arial" w:eastAsiaTheme="minorHAns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9"/>
  </w:num>
  <w:num w:numId="5">
    <w:abstractNumId w:val="8"/>
  </w:num>
  <w:num w:numId="6">
    <w:abstractNumId w:val="10"/>
  </w:num>
  <w:num w:numId="7">
    <w:abstractNumId w:val="10"/>
  </w:num>
  <w:num w:numId="8">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2"/>
  </w:num>
  <w:num w:numId="13">
    <w:abstractNumId w:val="5"/>
  </w:num>
  <w:num w:numId="14">
    <w:abstractNumId w:val="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13"/>
    <w:rsid w:val="000011C8"/>
    <w:rsid w:val="00001791"/>
    <w:rsid w:val="0000643C"/>
    <w:rsid w:val="000067AD"/>
    <w:rsid w:val="00007C95"/>
    <w:rsid w:val="00011F37"/>
    <w:rsid w:val="00017052"/>
    <w:rsid w:val="000176E9"/>
    <w:rsid w:val="00023AEE"/>
    <w:rsid w:val="00031F57"/>
    <w:rsid w:val="00032F7A"/>
    <w:rsid w:val="00033FEC"/>
    <w:rsid w:val="000551FD"/>
    <w:rsid w:val="00057D4A"/>
    <w:rsid w:val="00064A77"/>
    <w:rsid w:val="000718F9"/>
    <w:rsid w:val="00071A20"/>
    <w:rsid w:val="00072A49"/>
    <w:rsid w:val="00074114"/>
    <w:rsid w:val="00080469"/>
    <w:rsid w:val="000838B5"/>
    <w:rsid w:val="000901EA"/>
    <w:rsid w:val="000909E0"/>
    <w:rsid w:val="00094E17"/>
    <w:rsid w:val="0009627B"/>
    <w:rsid w:val="0009773F"/>
    <w:rsid w:val="000A0CD4"/>
    <w:rsid w:val="000A241E"/>
    <w:rsid w:val="000A2CB2"/>
    <w:rsid w:val="000B097A"/>
    <w:rsid w:val="000B2593"/>
    <w:rsid w:val="000B37B2"/>
    <w:rsid w:val="000B4300"/>
    <w:rsid w:val="000C3CA7"/>
    <w:rsid w:val="000D449A"/>
    <w:rsid w:val="000D7385"/>
    <w:rsid w:val="000D73F8"/>
    <w:rsid w:val="000D749F"/>
    <w:rsid w:val="000E0C7B"/>
    <w:rsid w:val="000E399D"/>
    <w:rsid w:val="000E641D"/>
    <w:rsid w:val="000F2E4E"/>
    <w:rsid w:val="000F473F"/>
    <w:rsid w:val="000F62D5"/>
    <w:rsid w:val="00107A5E"/>
    <w:rsid w:val="00110B70"/>
    <w:rsid w:val="001126A7"/>
    <w:rsid w:val="001167E7"/>
    <w:rsid w:val="001324AF"/>
    <w:rsid w:val="00132DCB"/>
    <w:rsid w:val="00134C4A"/>
    <w:rsid w:val="001376A1"/>
    <w:rsid w:val="00137DAF"/>
    <w:rsid w:val="00142437"/>
    <w:rsid w:val="001428B8"/>
    <w:rsid w:val="0014530E"/>
    <w:rsid w:val="00152377"/>
    <w:rsid w:val="00153127"/>
    <w:rsid w:val="00154D38"/>
    <w:rsid w:val="00164959"/>
    <w:rsid w:val="0016559B"/>
    <w:rsid w:val="0017309F"/>
    <w:rsid w:val="001805AE"/>
    <w:rsid w:val="00182148"/>
    <w:rsid w:val="00184D13"/>
    <w:rsid w:val="001875F7"/>
    <w:rsid w:val="001879FC"/>
    <w:rsid w:val="00193EA4"/>
    <w:rsid w:val="001A257F"/>
    <w:rsid w:val="001A4515"/>
    <w:rsid w:val="001A4D4E"/>
    <w:rsid w:val="001A60FA"/>
    <w:rsid w:val="001B60FA"/>
    <w:rsid w:val="001B6EAC"/>
    <w:rsid w:val="001B7AAD"/>
    <w:rsid w:val="001C2CB3"/>
    <w:rsid w:val="001C77E3"/>
    <w:rsid w:val="001C7F7C"/>
    <w:rsid w:val="001E1966"/>
    <w:rsid w:val="001E5DBA"/>
    <w:rsid w:val="001F7A7A"/>
    <w:rsid w:val="002034AF"/>
    <w:rsid w:val="00203E7D"/>
    <w:rsid w:val="00205704"/>
    <w:rsid w:val="0021164D"/>
    <w:rsid w:val="002277E2"/>
    <w:rsid w:val="00245CB0"/>
    <w:rsid w:val="00245E3E"/>
    <w:rsid w:val="002503C3"/>
    <w:rsid w:val="002630F2"/>
    <w:rsid w:val="00266571"/>
    <w:rsid w:val="00273A07"/>
    <w:rsid w:val="00277811"/>
    <w:rsid w:val="0028515D"/>
    <w:rsid w:val="00286F14"/>
    <w:rsid w:val="0029115F"/>
    <w:rsid w:val="002920E4"/>
    <w:rsid w:val="00293487"/>
    <w:rsid w:val="0029672F"/>
    <w:rsid w:val="002B6A5F"/>
    <w:rsid w:val="002C520E"/>
    <w:rsid w:val="002D3AE4"/>
    <w:rsid w:val="002E06B8"/>
    <w:rsid w:val="002E7DE6"/>
    <w:rsid w:val="0030078A"/>
    <w:rsid w:val="00300ECD"/>
    <w:rsid w:val="003015EB"/>
    <w:rsid w:val="00301F26"/>
    <w:rsid w:val="0030663A"/>
    <w:rsid w:val="00310E33"/>
    <w:rsid w:val="0031717A"/>
    <w:rsid w:val="0032573A"/>
    <w:rsid w:val="003406F0"/>
    <w:rsid w:val="00344370"/>
    <w:rsid w:val="00352436"/>
    <w:rsid w:val="00354749"/>
    <w:rsid w:val="0036078A"/>
    <w:rsid w:val="00363831"/>
    <w:rsid w:val="00363F47"/>
    <w:rsid w:val="00375AC9"/>
    <w:rsid w:val="00375D0A"/>
    <w:rsid w:val="00397DA4"/>
    <w:rsid w:val="003A1096"/>
    <w:rsid w:val="003A1411"/>
    <w:rsid w:val="003A1CC9"/>
    <w:rsid w:val="003A2B2C"/>
    <w:rsid w:val="003A3999"/>
    <w:rsid w:val="003B2562"/>
    <w:rsid w:val="003B31A4"/>
    <w:rsid w:val="003C2BFA"/>
    <w:rsid w:val="003D0021"/>
    <w:rsid w:val="003D561C"/>
    <w:rsid w:val="003D6C89"/>
    <w:rsid w:val="003E48B4"/>
    <w:rsid w:val="003F478C"/>
    <w:rsid w:val="003F58F1"/>
    <w:rsid w:val="00410665"/>
    <w:rsid w:val="00412306"/>
    <w:rsid w:val="004143DA"/>
    <w:rsid w:val="004151A9"/>
    <w:rsid w:val="00420C22"/>
    <w:rsid w:val="00426516"/>
    <w:rsid w:val="004403D7"/>
    <w:rsid w:val="00444292"/>
    <w:rsid w:val="00447DE6"/>
    <w:rsid w:val="00451611"/>
    <w:rsid w:val="00451647"/>
    <w:rsid w:val="00451C97"/>
    <w:rsid w:val="004540BE"/>
    <w:rsid w:val="00461306"/>
    <w:rsid w:val="0046284D"/>
    <w:rsid w:val="00473DD2"/>
    <w:rsid w:val="00474129"/>
    <w:rsid w:val="004765F0"/>
    <w:rsid w:val="004765F1"/>
    <w:rsid w:val="00480702"/>
    <w:rsid w:val="00484D3B"/>
    <w:rsid w:val="00490681"/>
    <w:rsid w:val="00495EFE"/>
    <w:rsid w:val="004A5D48"/>
    <w:rsid w:val="004A6B55"/>
    <w:rsid w:val="004B235C"/>
    <w:rsid w:val="004B5C8E"/>
    <w:rsid w:val="004C0803"/>
    <w:rsid w:val="004C3100"/>
    <w:rsid w:val="004C7FBB"/>
    <w:rsid w:val="004D24EE"/>
    <w:rsid w:val="004E01C9"/>
    <w:rsid w:val="004F7612"/>
    <w:rsid w:val="00501FFF"/>
    <w:rsid w:val="00504CDB"/>
    <w:rsid w:val="00505F4E"/>
    <w:rsid w:val="00506E2B"/>
    <w:rsid w:val="005120ED"/>
    <w:rsid w:val="00513E71"/>
    <w:rsid w:val="00522CC1"/>
    <w:rsid w:val="00525F9E"/>
    <w:rsid w:val="00526EEC"/>
    <w:rsid w:val="00534DB8"/>
    <w:rsid w:val="0053604C"/>
    <w:rsid w:val="005453C2"/>
    <w:rsid w:val="0055747C"/>
    <w:rsid w:val="00560364"/>
    <w:rsid w:val="00575F2F"/>
    <w:rsid w:val="005825B5"/>
    <w:rsid w:val="00590427"/>
    <w:rsid w:val="005A12E0"/>
    <w:rsid w:val="005B27E3"/>
    <w:rsid w:val="005B5083"/>
    <w:rsid w:val="005C27F3"/>
    <w:rsid w:val="005D4574"/>
    <w:rsid w:val="005E13A7"/>
    <w:rsid w:val="005E4A7D"/>
    <w:rsid w:val="005E7C7C"/>
    <w:rsid w:val="005F0059"/>
    <w:rsid w:val="005F2724"/>
    <w:rsid w:val="0060345C"/>
    <w:rsid w:val="00614258"/>
    <w:rsid w:val="00623753"/>
    <w:rsid w:val="0062539E"/>
    <w:rsid w:val="006258E9"/>
    <w:rsid w:val="00627BF9"/>
    <w:rsid w:val="006339D3"/>
    <w:rsid w:val="0064576D"/>
    <w:rsid w:val="006518DF"/>
    <w:rsid w:val="0065511E"/>
    <w:rsid w:val="00670437"/>
    <w:rsid w:val="00674862"/>
    <w:rsid w:val="006832D4"/>
    <w:rsid w:val="00695D11"/>
    <w:rsid w:val="006961A0"/>
    <w:rsid w:val="006A294D"/>
    <w:rsid w:val="006A7C69"/>
    <w:rsid w:val="006B50B2"/>
    <w:rsid w:val="006C0D51"/>
    <w:rsid w:val="006C3A6D"/>
    <w:rsid w:val="006C69D7"/>
    <w:rsid w:val="006D5295"/>
    <w:rsid w:val="006D5E41"/>
    <w:rsid w:val="006E5B81"/>
    <w:rsid w:val="006F3F6B"/>
    <w:rsid w:val="006F4362"/>
    <w:rsid w:val="007006B5"/>
    <w:rsid w:val="007102CA"/>
    <w:rsid w:val="00711FCE"/>
    <w:rsid w:val="0071237A"/>
    <w:rsid w:val="007128B9"/>
    <w:rsid w:val="00713BAA"/>
    <w:rsid w:val="007153CF"/>
    <w:rsid w:val="00721E0D"/>
    <w:rsid w:val="00741467"/>
    <w:rsid w:val="00741B62"/>
    <w:rsid w:val="00754536"/>
    <w:rsid w:val="007636D8"/>
    <w:rsid w:val="007753C2"/>
    <w:rsid w:val="00781543"/>
    <w:rsid w:val="00784C47"/>
    <w:rsid w:val="0078711A"/>
    <w:rsid w:val="00794837"/>
    <w:rsid w:val="007B1CD8"/>
    <w:rsid w:val="007B3437"/>
    <w:rsid w:val="007B3CC0"/>
    <w:rsid w:val="007C41BF"/>
    <w:rsid w:val="007C5B21"/>
    <w:rsid w:val="007D4AF2"/>
    <w:rsid w:val="007F2863"/>
    <w:rsid w:val="007F2CB4"/>
    <w:rsid w:val="008101BA"/>
    <w:rsid w:val="00823FAE"/>
    <w:rsid w:val="008331D8"/>
    <w:rsid w:val="00837CDC"/>
    <w:rsid w:val="008523B5"/>
    <w:rsid w:val="00854CDF"/>
    <w:rsid w:val="0086489F"/>
    <w:rsid w:val="00881A0C"/>
    <w:rsid w:val="00881B08"/>
    <w:rsid w:val="008828D3"/>
    <w:rsid w:val="00887F01"/>
    <w:rsid w:val="008957A5"/>
    <w:rsid w:val="008A501E"/>
    <w:rsid w:val="008B0509"/>
    <w:rsid w:val="008B6EAE"/>
    <w:rsid w:val="008B716F"/>
    <w:rsid w:val="008C0148"/>
    <w:rsid w:val="008C4B0C"/>
    <w:rsid w:val="008D026F"/>
    <w:rsid w:val="008D088A"/>
    <w:rsid w:val="008D1BB0"/>
    <w:rsid w:val="008D5084"/>
    <w:rsid w:val="008E3E49"/>
    <w:rsid w:val="00901930"/>
    <w:rsid w:val="00912C16"/>
    <w:rsid w:val="0091421A"/>
    <w:rsid w:val="009153E9"/>
    <w:rsid w:val="00920BB4"/>
    <w:rsid w:val="00920E91"/>
    <w:rsid w:val="00931EB7"/>
    <w:rsid w:val="00943210"/>
    <w:rsid w:val="00943A27"/>
    <w:rsid w:val="00943FE9"/>
    <w:rsid w:val="0095656B"/>
    <w:rsid w:val="009628AC"/>
    <w:rsid w:val="0096797E"/>
    <w:rsid w:val="00975FB2"/>
    <w:rsid w:val="00983B04"/>
    <w:rsid w:val="00987D30"/>
    <w:rsid w:val="0099030C"/>
    <w:rsid w:val="009949BB"/>
    <w:rsid w:val="009A3B1E"/>
    <w:rsid w:val="009A4989"/>
    <w:rsid w:val="009A4A77"/>
    <w:rsid w:val="009B4C97"/>
    <w:rsid w:val="009B7658"/>
    <w:rsid w:val="009C082E"/>
    <w:rsid w:val="009C5170"/>
    <w:rsid w:val="009C6EFB"/>
    <w:rsid w:val="009E0DC4"/>
    <w:rsid w:val="009E44F5"/>
    <w:rsid w:val="009E45E4"/>
    <w:rsid w:val="009F1FBB"/>
    <w:rsid w:val="009F7EA5"/>
    <w:rsid w:val="00A0153B"/>
    <w:rsid w:val="00A031FB"/>
    <w:rsid w:val="00A04A84"/>
    <w:rsid w:val="00A101FF"/>
    <w:rsid w:val="00A14AD7"/>
    <w:rsid w:val="00A15FB7"/>
    <w:rsid w:val="00A20664"/>
    <w:rsid w:val="00A25BDE"/>
    <w:rsid w:val="00A37EA8"/>
    <w:rsid w:val="00A404B5"/>
    <w:rsid w:val="00A431C2"/>
    <w:rsid w:val="00A437DE"/>
    <w:rsid w:val="00A44DFD"/>
    <w:rsid w:val="00A477CF"/>
    <w:rsid w:val="00A629BC"/>
    <w:rsid w:val="00A70D05"/>
    <w:rsid w:val="00A7437E"/>
    <w:rsid w:val="00A748B6"/>
    <w:rsid w:val="00A93F0C"/>
    <w:rsid w:val="00A94071"/>
    <w:rsid w:val="00AA258A"/>
    <w:rsid w:val="00AA6B8B"/>
    <w:rsid w:val="00AB0A51"/>
    <w:rsid w:val="00AB7240"/>
    <w:rsid w:val="00AB7468"/>
    <w:rsid w:val="00AB7C96"/>
    <w:rsid w:val="00AC08BA"/>
    <w:rsid w:val="00AD59F6"/>
    <w:rsid w:val="00AE0E7A"/>
    <w:rsid w:val="00AE6880"/>
    <w:rsid w:val="00B03E76"/>
    <w:rsid w:val="00B05308"/>
    <w:rsid w:val="00B07FDA"/>
    <w:rsid w:val="00B10F70"/>
    <w:rsid w:val="00B235F1"/>
    <w:rsid w:val="00B30DB7"/>
    <w:rsid w:val="00B3237D"/>
    <w:rsid w:val="00B338AA"/>
    <w:rsid w:val="00B346DC"/>
    <w:rsid w:val="00B67352"/>
    <w:rsid w:val="00B74B49"/>
    <w:rsid w:val="00B76143"/>
    <w:rsid w:val="00B77594"/>
    <w:rsid w:val="00BD33F5"/>
    <w:rsid w:val="00BE4141"/>
    <w:rsid w:val="00BE641A"/>
    <w:rsid w:val="00BF42AF"/>
    <w:rsid w:val="00BF5B98"/>
    <w:rsid w:val="00C05C41"/>
    <w:rsid w:val="00C178C2"/>
    <w:rsid w:val="00C224AA"/>
    <w:rsid w:val="00C303A0"/>
    <w:rsid w:val="00C37A04"/>
    <w:rsid w:val="00C442AF"/>
    <w:rsid w:val="00C44BFF"/>
    <w:rsid w:val="00C46831"/>
    <w:rsid w:val="00C52A0B"/>
    <w:rsid w:val="00C635D3"/>
    <w:rsid w:val="00C64F55"/>
    <w:rsid w:val="00C669A7"/>
    <w:rsid w:val="00C7064E"/>
    <w:rsid w:val="00C85206"/>
    <w:rsid w:val="00C8716D"/>
    <w:rsid w:val="00C920DA"/>
    <w:rsid w:val="00C9595B"/>
    <w:rsid w:val="00C95F4D"/>
    <w:rsid w:val="00CA549F"/>
    <w:rsid w:val="00CB271C"/>
    <w:rsid w:val="00CC1E2A"/>
    <w:rsid w:val="00CD4E07"/>
    <w:rsid w:val="00CE00DC"/>
    <w:rsid w:val="00D03B61"/>
    <w:rsid w:val="00D05A1E"/>
    <w:rsid w:val="00D12997"/>
    <w:rsid w:val="00D152B6"/>
    <w:rsid w:val="00D152C4"/>
    <w:rsid w:val="00D1791F"/>
    <w:rsid w:val="00D17BC6"/>
    <w:rsid w:val="00D2004C"/>
    <w:rsid w:val="00D229A2"/>
    <w:rsid w:val="00D234CB"/>
    <w:rsid w:val="00D2661E"/>
    <w:rsid w:val="00D2667F"/>
    <w:rsid w:val="00D27F17"/>
    <w:rsid w:val="00D304CD"/>
    <w:rsid w:val="00D3288D"/>
    <w:rsid w:val="00D4152A"/>
    <w:rsid w:val="00D42853"/>
    <w:rsid w:val="00D4495D"/>
    <w:rsid w:val="00D47A69"/>
    <w:rsid w:val="00D5054B"/>
    <w:rsid w:val="00D53991"/>
    <w:rsid w:val="00D540F0"/>
    <w:rsid w:val="00D562F4"/>
    <w:rsid w:val="00D76537"/>
    <w:rsid w:val="00D806DD"/>
    <w:rsid w:val="00D81F51"/>
    <w:rsid w:val="00D83299"/>
    <w:rsid w:val="00D96BC5"/>
    <w:rsid w:val="00D97B43"/>
    <w:rsid w:val="00DA2444"/>
    <w:rsid w:val="00DA350A"/>
    <w:rsid w:val="00DA4EE1"/>
    <w:rsid w:val="00DA58DC"/>
    <w:rsid w:val="00DA7EE2"/>
    <w:rsid w:val="00DB0BED"/>
    <w:rsid w:val="00DB1631"/>
    <w:rsid w:val="00DC39EE"/>
    <w:rsid w:val="00DC42C9"/>
    <w:rsid w:val="00DC7345"/>
    <w:rsid w:val="00DD51F7"/>
    <w:rsid w:val="00E0243E"/>
    <w:rsid w:val="00E0460D"/>
    <w:rsid w:val="00E05200"/>
    <w:rsid w:val="00E11457"/>
    <w:rsid w:val="00E17241"/>
    <w:rsid w:val="00E17CFD"/>
    <w:rsid w:val="00E20DEF"/>
    <w:rsid w:val="00E24D5B"/>
    <w:rsid w:val="00E263FE"/>
    <w:rsid w:val="00E30CCE"/>
    <w:rsid w:val="00E47A50"/>
    <w:rsid w:val="00E56EA6"/>
    <w:rsid w:val="00E91B10"/>
    <w:rsid w:val="00E94F2A"/>
    <w:rsid w:val="00EA0889"/>
    <w:rsid w:val="00EB2B6B"/>
    <w:rsid w:val="00EC08A9"/>
    <w:rsid w:val="00EC3D25"/>
    <w:rsid w:val="00ED1D84"/>
    <w:rsid w:val="00ED4CD4"/>
    <w:rsid w:val="00EE055B"/>
    <w:rsid w:val="00EF10D5"/>
    <w:rsid w:val="00EF1712"/>
    <w:rsid w:val="00EF2D05"/>
    <w:rsid w:val="00EF66B9"/>
    <w:rsid w:val="00F00F0F"/>
    <w:rsid w:val="00F03D56"/>
    <w:rsid w:val="00F047F0"/>
    <w:rsid w:val="00F07193"/>
    <w:rsid w:val="00F07A18"/>
    <w:rsid w:val="00F07B99"/>
    <w:rsid w:val="00F12274"/>
    <w:rsid w:val="00F13191"/>
    <w:rsid w:val="00F14D34"/>
    <w:rsid w:val="00F2073F"/>
    <w:rsid w:val="00F21D72"/>
    <w:rsid w:val="00F26E8F"/>
    <w:rsid w:val="00F317DD"/>
    <w:rsid w:val="00F31E71"/>
    <w:rsid w:val="00F324D9"/>
    <w:rsid w:val="00F332CA"/>
    <w:rsid w:val="00F43C8D"/>
    <w:rsid w:val="00F45AA0"/>
    <w:rsid w:val="00F468BD"/>
    <w:rsid w:val="00F638C8"/>
    <w:rsid w:val="00F678F5"/>
    <w:rsid w:val="00F7108B"/>
    <w:rsid w:val="00F74BAF"/>
    <w:rsid w:val="00F81779"/>
    <w:rsid w:val="00F820D7"/>
    <w:rsid w:val="00F84522"/>
    <w:rsid w:val="00F861DB"/>
    <w:rsid w:val="00F871D5"/>
    <w:rsid w:val="00F9415B"/>
    <w:rsid w:val="00F9736F"/>
    <w:rsid w:val="00FA7AD6"/>
    <w:rsid w:val="00FB4D81"/>
    <w:rsid w:val="00FB743A"/>
    <w:rsid w:val="00FC0F0D"/>
    <w:rsid w:val="00FD05DF"/>
    <w:rsid w:val="00FD6F92"/>
    <w:rsid w:val="00FD773D"/>
    <w:rsid w:val="00FE5B58"/>
    <w:rsid w:val="00FE60DE"/>
    <w:rsid w:val="00FE7C01"/>
    <w:rsid w:val="00FF29C6"/>
    <w:rsid w:val="00FF4B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13"/>
    <w:pPr>
      <w:spacing w:after="0"/>
      <w:jc w:val="both"/>
    </w:pPr>
    <w:rPr>
      <w:rFonts w:ascii="Arial" w:hAnsi="Arial"/>
      <w:sz w:val="24"/>
    </w:rPr>
  </w:style>
  <w:style w:type="paragraph" w:styleId="Nadpis1">
    <w:name w:val="heading 1"/>
    <w:basedOn w:val="Normln"/>
    <w:next w:val="Normln"/>
    <w:link w:val="Nadpis1Char"/>
    <w:uiPriority w:val="9"/>
    <w:qFormat/>
    <w:rsid w:val="007F2863"/>
    <w:pPr>
      <w:keepNext/>
      <w:keepLines/>
      <w:numPr>
        <w:numId w:val="3"/>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E6880"/>
    <w:pPr>
      <w:keepNext/>
      <w:keepLines/>
      <w:numPr>
        <w:numId w:val="10"/>
      </w:numPr>
      <w:spacing w:before="200" w:after="120"/>
      <w:jc w:val="left"/>
      <w:outlineLvl w:val="1"/>
    </w:pPr>
    <w:rPr>
      <w:rFonts w:eastAsiaTheme="majorEastAsia" w:cstheme="majorBidi"/>
      <w:b/>
      <w:bCs/>
      <w:szCs w:val="26"/>
      <w:u w:val="single"/>
    </w:rPr>
  </w:style>
  <w:style w:type="paragraph" w:styleId="Nadpis3">
    <w:name w:val="heading 3"/>
    <w:basedOn w:val="Normln"/>
    <w:next w:val="Normln"/>
    <w:link w:val="Nadpis3Char"/>
    <w:uiPriority w:val="9"/>
    <w:unhideWhenUsed/>
    <w:qFormat/>
    <w:rsid w:val="00286F14"/>
    <w:pPr>
      <w:keepNext/>
      <w:keepLines/>
      <w:numPr>
        <w:ilvl w:val="1"/>
        <w:numId w:val="10"/>
      </w:numPr>
      <w:spacing w:before="200" w:after="200" w:line="240" w:lineRule="auto"/>
      <w:outlineLvl w:val="2"/>
    </w:pPr>
    <w:rPr>
      <w:rFonts w:eastAsiaTheme="majorEastAsia" w:cstheme="majorBidi"/>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4D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4D13"/>
    <w:rPr>
      <w:rFonts w:ascii="Tahoma" w:hAnsi="Tahoma" w:cs="Tahoma"/>
      <w:sz w:val="16"/>
      <w:szCs w:val="16"/>
    </w:rPr>
  </w:style>
  <w:style w:type="paragraph" w:styleId="Odstavecseseznamem">
    <w:name w:val="List Paragraph"/>
    <w:basedOn w:val="Normln"/>
    <w:uiPriority w:val="34"/>
    <w:qFormat/>
    <w:rsid w:val="00184D13"/>
    <w:pPr>
      <w:ind w:left="720"/>
      <w:contextualSpacing/>
    </w:pPr>
  </w:style>
  <w:style w:type="table" w:styleId="Mkatabulky">
    <w:name w:val="Table Grid"/>
    <w:basedOn w:val="Normlntabulka"/>
    <w:uiPriority w:val="59"/>
    <w:rsid w:val="0017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32DCB"/>
    <w:pPr>
      <w:spacing w:after="200" w:line="240" w:lineRule="auto"/>
    </w:pPr>
    <w:rPr>
      <w:b/>
      <w:bCs/>
      <w:color w:val="4F81BD" w:themeColor="accent1"/>
      <w:sz w:val="18"/>
      <w:szCs w:val="18"/>
    </w:rPr>
  </w:style>
  <w:style w:type="paragraph" w:styleId="Zhlav">
    <w:name w:val="header"/>
    <w:basedOn w:val="Normln"/>
    <w:link w:val="ZhlavChar"/>
    <w:uiPriority w:val="99"/>
    <w:unhideWhenUsed/>
    <w:rsid w:val="00A93F0C"/>
    <w:pPr>
      <w:tabs>
        <w:tab w:val="center" w:pos="4536"/>
        <w:tab w:val="right" w:pos="9072"/>
      </w:tabs>
      <w:spacing w:line="240" w:lineRule="auto"/>
    </w:pPr>
  </w:style>
  <w:style w:type="character" w:customStyle="1" w:styleId="ZhlavChar">
    <w:name w:val="Záhlaví Char"/>
    <w:basedOn w:val="Standardnpsmoodstavce"/>
    <w:link w:val="Zhlav"/>
    <w:uiPriority w:val="99"/>
    <w:rsid w:val="00A93F0C"/>
    <w:rPr>
      <w:rFonts w:ascii="Arial" w:hAnsi="Arial"/>
      <w:sz w:val="24"/>
    </w:rPr>
  </w:style>
  <w:style w:type="paragraph" w:styleId="Zpat">
    <w:name w:val="footer"/>
    <w:basedOn w:val="Normln"/>
    <w:link w:val="ZpatChar"/>
    <w:uiPriority w:val="99"/>
    <w:unhideWhenUsed/>
    <w:rsid w:val="00A93F0C"/>
    <w:pPr>
      <w:tabs>
        <w:tab w:val="center" w:pos="4536"/>
        <w:tab w:val="right" w:pos="9072"/>
      </w:tabs>
      <w:spacing w:line="240" w:lineRule="auto"/>
    </w:pPr>
  </w:style>
  <w:style w:type="character" w:customStyle="1" w:styleId="ZpatChar">
    <w:name w:val="Zápatí Char"/>
    <w:basedOn w:val="Standardnpsmoodstavce"/>
    <w:link w:val="Zpat"/>
    <w:uiPriority w:val="99"/>
    <w:rsid w:val="00A93F0C"/>
    <w:rPr>
      <w:rFonts w:ascii="Arial" w:hAnsi="Arial"/>
      <w:sz w:val="24"/>
    </w:rPr>
  </w:style>
  <w:style w:type="paragraph" w:styleId="Textpoznpodarou">
    <w:name w:val="footnote text"/>
    <w:basedOn w:val="Normln"/>
    <w:link w:val="TextpoznpodarouChar"/>
    <w:uiPriority w:val="99"/>
    <w:semiHidden/>
    <w:unhideWhenUsed/>
    <w:rsid w:val="00D97B4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97B43"/>
    <w:rPr>
      <w:rFonts w:ascii="Arial" w:hAnsi="Arial"/>
      <w:sz w:val="20"/>
      <w:szCs w:val="20"/>
    </w:rPr>
  </w:style>
  <w:style w:type="character" w:styleId="Znakapoznpodarou">
    <w:name w:val="footnote reference"/>
    <w:basedOn w:val="Standardnpsmoodstavce"/>
    <w:uiPriority w:val="99"/>
    <w:semiHidden/>
    <w:unhideWhenUsed/>
    <w:rsid w:val="00D97B43"/>
    <w:rPr>
      <w:vertAlign w:val="superscript"/>
    </w:rPr>
  </w:style>
  <w:style w:type="character" w:styleId="Hypertextovodkaz">
    <w:name w:val="Hyperlink"/>
    <w:basedOn w:val="Standardnpsmoodstavce"/>
    <w:uiPriority w:val="99"/>
    <w:unhideWhenUsed/>
    <w:rsid w:val="006832D4"/>
    <w:rPr>
      <w:color w:val="0000FF" w:themeColor="hyperlink"/>
      <w:u w:val="single"/>
    </w:rPr>
  </w:style>
  <w:style w:type="character" w:customStyle="1" w:styleId="Nadpis1Char">
    <w:name w:val="Nadpis 1 Char"/>
    <w:basedOn w:val="Standardnpsmoodstavce"/>
    <w:link w:val="Nadpis1"/>
    <w:uiPriority w:val="9"/>
    <w:rsid w:val="007F2863"/>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AE6880"/>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286F14"/>
    <w:rPr>
      <w:rFonts w:ascii="Arial" w:eastAsiaTheme="majorEastAsia" w:hAnsi="Arial" w:cstheme="majorBidi"/>
      <w:bCs/>
      <w:i/>
      <w:sz w:val="24"/>
    </w:rPr>
  </w:style>
  <w:style w:type="paragraph" w:styleId="Nadpisobsahu">
    <w:name w:val="TOC Heading"/>
    <w:basedOn w:val="Nadpis1"/>
    <w:next w:val="Normln"/>
    <w:uiPriority w:val="39"/>
    <w:semiHidden/>
    <w:unhideWhenUsed/>
    <w:qFormat/>
    <w:rsid w:val="00534DB8"/>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0F62D5"/>
    <w:pPr>
      <w:tabs>
        <w:tab w:val="left" w:pos="993"/>
        <w:tab w:val="right" w:leader="dot" w:pos="9062"/>
      </w:tabs>
      <w:spacing w:after="100"/>
    </w:pPr>
    <w:rPr>
      <w:b/>
      <w:noProof/>
      <w:lang w:eastAsia="cs-CZ"/>
    </w:rPr>
  </w:style>
  <w:style w:type="paragraph" w:styleId="Obsah2">
    <w:name w:val="toc 2"/>
    <w:basedOn w:val="Normln"/>
    <w:next w:val="Normln"/>
    <w:autoRedefine/>
    <w:uiPriority w:val="39"/>
    <w:unhideWhenUsed/>
    <w:qFormat/>
    <w:rsid w:val="000F62D5"/>
    <w:pPr>
      <w:tabs>
        <w:tab w:val="right" w:leader="dot" w:pos="9062"/>
      </w:tabs>
      <w:spacing w:after="100"/>
      <w:ind w:left="567" w:hanging="567"/>
    </w:pPr>
  </w:style>
  <w:style w:type="paragraph" w:styleId="Obsah3">
    <w:name w:val="toc 3"/>
    <w:basedOn w:val="Normln"/>
    <w:next w:val="Normln"/>
    <w:autoRedefine/>
    <w:uiPriority w:val="39"/>
    <w:unhideWhenUsed/>
    <w:qFormat/>
    <w:rsid w:val="00534DB8"/>
    <w:pPr>
      <w:spacing w:after="100"/>
      <w:ind w:left="480"/>
    </w:pPr>
  </w:style>
  <w:style w:type="paragraph" w:styleId="Seznamobrzk">
    <w:name w:val="table of figures"/>
    <w:basedOn w:val="Normln"/>
    <w:next w:val="Normln"/>
    <w:uiPriority w:val="99"/>
    <w:unhideWhenUsed/>
    <w:rsid w:val="00072A49"/>
    <w:pPr>
      <w:tabs>
        <w:tab w:val="right" w:leader="dot" w:pos="9062"/>
      </w:tabs>
    </w:pPr>
    <w:rPr>
      <w:noProof/>
      <w:sz w:val="16"/>
      <w:szCs w:val="16"/>
    </w:rPr>
  </w:style>
  <w:style w:type="paragraph" w:styleId="Bezmezer">
    <w:name w:val="No Spacing"/>
    <w:link w:val="BezmezerChar"/>
    <w:uiPriority w:val="1"/>
    <w:qFormat/>
    <w:rsid w:val="00534DB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34DB8"/>
    <w:rPr>
      <w:rFonts w:eastAsiaTheme="minorEastAsia"/>
      <w:lang w:eastAsia="cs-CZ"/>
    </w:rPr>
  </w:style>
  <w:style w:type="character" w:styleId="Odkaznakoment">
    <w:name w:val="annotation reference"/>
    <w:basedOn w:val="Standardnpsmoodstavce"/>
    <w:uiPriority w:val="99"/>
    <w:semiHidden/>
    <w:unhideWhenUsed/>
    <w:rsid w:val="00DA4EE1"/>
    <w:rPr>
      <w:sz w:val="16"/>
      <w:szCs w:val="16"/>
    </w:rPr>
  </w:style>
  <w:style w:type="paragraph" w:styleId="Textkomente">
    <w:name w:val="annotation text"/>
    <w:basedOn w:val="Normln"/>
    <w:link w:val="TextkomenteChar"/>
    <w:uiPriority w:val="99"/>
    <w:semiHidden/>
    <w:unhideWhenUsed/>
    <w:rsid w:val="00DA4EE1"/>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E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A4EE1"/>
    <w:rPr>
      <w:b/>
      <w:bCs/>
    </w:rPr>
  </w:style>
  <w:style w:type="character" w:customStyle="1" w:styleId="PedmtkomenteChar">
    <w:name w:val="Předmět komentáře Char"/>
    <w:basedOn w:val="TextkomenteChar"/>
    <w:link w:val="Pedmtkomente"/>
    <w:uiPriority w:val="99"/>
    <w:semiHidden/>
    <w:rsid w:val="00DA4EE1"/>
    <w:rPr>
      <w:rFonts w:ascii="Arial" w:hAnsi="Arial"/>
      <w:b/>
      <w:bCs/>
      <w:sz w:val="20"/>
      <w:szCs w:val="20"/>
    </w:rPr>
  </w:style>
  <w:style w:type="paragraph" w:styleId="Revize">
    <w:name w:val="Revision"/>
    <w:hidden/>
    <w:uiPriority w:val="99"/>
    <w:semiHidden/>
    <w:rsid w:val="00DA4EE1"/>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84D13"/>
    <w:pPr>
      <w:spacing w:after="0"/>
      <w:jc w:val="both"/>
    </w:pPr>
    <w:rPr>
      <w:rFonts w:ascii="Arial" w:hAnsi="Arial"/>
      <w:sz w:val="24"/>
    </w:rPr>
  </w:style>
  <w:style w:type="paragraph" w:styleId="Nadpis1">
    <w:name w:val="heading 1"/>
    <w:basedOn w:val="Normln"/>
    <w:next w:val="Normln"/>
    <w:link w:val="Nadpis1Char"/>
    <w:uiPriority w:val="9"/>
    <w:qFormat/>
    <w:rsid w:val="007F2863"/>
    <w:pPr>
      <w:keepNext/>
      <w:keepLines/>
      <w:numPr>
        <w:numId w:val="3"/>
      </w:numPr>
      <w:spacing w:before="480"/>
      <w:jc w:val="center"/>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AE6880"/>
    <w:pPr>
      <w:keepNext/>
      <w:keepLines/>
      <w:numPr>
        <w:numId w:val="10"/>
      </w:numPr>
      <w:spacing w:before="200" w:after="120"/>
      <w:jc w:val="left"/>
      <w:outlineLvl w:val="1"/>
    </w:pPr>
    <w:rPr>
      <w:rFonts w:eastAsiaTheme="majorEastAsia" w:cstheme="majorBidi"/>
      <w:b/>
      <w:bCs/>
      <w:szCs w:val="26"/>
      <w:u w:val="single"/>
    </w:rPr>
  </w:style>
  <w:style w:type="paragraph" w:styleId="Nadpis3">
    <w:name w:val="heading 3"/>
    <w:basedOn w:val="Normln"/>
    <w:next w:val="Normln"/>
    <w:link w:val="Nadpis3Char"/>
    <w:uiPriority w:val="9"/>
    <w:unhideWhenUsed/>
    <w:qFormat/>
    <w:rsid w:val="00286F14"/>
    <w:pPr>
      <w:keepNext/>
      <w:keepLines/>
      <w:numPr>
        <w:ilvl w:val="1"/>
        <w:numId w:val="10"/>
      </w:numPr>
      <w:spacing w:before="200" w:after="200" w:line="240" w:lineRule="auto"/>
      <w:outlineLvl w:val="2"/>
    </w:pPr>
    <w:rPr>
      <w:rFonts w:eastAsiaTheme="majorEastAsia" w:cstheme="majorBidi"/>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4D1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4D13"/>
    <w:rPr>
      <w:rFonts w:ascii="Tahoma" w:hAnsi="Tahoma" w:cs="Tahoma"/>
      <w:sz w:val="16"/>
      <w:szCs w:val="16"/>
    </w:rPr>
  </w:style>
  <w:style w:type="paragraph" w:styleId="Odstavecseseznamem">
    <w:name w:val="List Paragraph"/>
    <w:basedOn w:val="Normln"/>
    <w:uiPriority w:val="34"/>
    <w:qFormat/>
    <w:rsid w:val="00184D13"/>
    <w:pPr>
      <w:ind w:left="720"/>
      <w:contextualSpacing/>
    </w:pPr>
  </w:style>
  <w:style w:type="table" w:styleId="Mkatabulky">
    <w:name w:val="Table Grid"/>
    <w:basedOn w:val="Normlntabulka"/>
    <w:uiPriority w:val="59"/>
    <w:rsid w:val="0017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132DCB"/>
    <w:pPr>
      <w:spacing w:after="200" w:line="240" w:lineRule="auto"/>
    </w:pPr>
    <w:rPr>
      <w:b/>
      <w:bCs/>
      <w:color w:val="4F81BD" w:themeColor="accent1"/>
      <w:sz w:val="18"/>
      <w:szCs w:val="18"/>
    </w:rPr>
  </w:style>
  <w:style w:type="paragraph" w:styleId="Zhlav">
    <w:name w:val="header"/>
    <w:basedOn w:val="Normln"/>
    <w:link w:val="ZhlavChar"/>
    <w:uiPriority w:val="99"/>
    <w:unhideWhenUsed/>
    <w:rsid w:val="00A93F0C"/>
    <w:pPr>
      <w:tabs>
        <w:tab w:val="center" w:pos="4536"/>
        <w:tab w:val="right" w:pos="9072"/>
      </w:tabs>
      <w:spacing w:line="240" w:lineRule="auto"/>
    </w:pPr>
  </w:style>
  <w:style w:type="character" w:customStyle="1" w:styleId="ZhlavChar">
    <w:name w:val="Záhlaví Char"/>
    <w:basedOn w:val="Standardnpsmoodstavce"/>
    <w:link w:val="Zhlav"/>
    <w:uiPriority w:val="99"/>
    <w:rsid w:val="00A93F0C"/>
    <w:rPr>
      <w:rFonts w:ascii="Arial" w:hAnsi="Arial"/>
      <w:sz w:val="24"/>
    </w:rPr>
  </w:style>
  <w:style w:type="paragraph" w:styleId="Zpat">
    <w:name w:val="footer"/>
    <w:basedOn w:val="Normln"/>
    <w:link w:val="ZpatChar"/>
    <w:uiPriority w:val="99"/>
    <w:unhideWhenUsed/>
    <w:rsid w:val="00A93F0C"/>
    <w:pPr>
      <w:tabs>
        <w:tab w:val="center" w:pos="4536"/>
        <w:tab w:val="right" w:pos="9072"/>
      </w:tabs>
      <w:spacing w:line="240" w:lineRule="auto"/>
    </w:pPr>
  </w:style>
  <w:style w:type="character" w:customStyle="1" w:styleId="ZpatChar">
    <w:name w:val="Zápatí Char"/>
    <w:basedOn w:val="Standardnpsmoodstavce"/>
    <w:link w:val="Zpat"/>
    <w:uiPriority w:val="99"/>
    <w:rsid w:val="00A93F0C"/>
    <w:rPr>
      <w:rFonts w:ascii="Arial" w:hAnsi="Arial"/>
      <w:sz w:val="24"/>
    </w:rPr>
  </w:style>
  <w:style w:type="paragraph" w:styleId="Textpoznpodarou">
    <w:name w:val="footnote text"/>
    <w:basedOn w:val="Normln"/>
    <w:link w:val="TextpoznpodarouChar"/>
    <w:uiPriority w:val="99"/>
    <w:semiHidden/>
    <w:unhideWhenUsed/>
    <w:rsid w:val="00D97B4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97B43"/>
    <w:rPr>
      <w:rFonts w:ascii="Arial" w:hAnsi="Arial"/>
      <w:sz w:val="20"/>
      <w:szCs w:val="20"/>
    </w:rPr>
  </w:style>
  <w:style w:type="character" w:styleId="Znakapoznpodarou">
    <w:name w:val="footnote reference"/>
    <w:basedOn w:val="Standardnpsmoodstavce"/>
    <w:uiPriority w:val="99"/>
    <w:semiHidden/>
    <w:unhideWhenUsed/>
    <w:rsid w:val="00D97B43"/>
    <w:rPr>
      <w:vertAlign w:val="superscript"/>
    </w:rPr>
  </w:style>
  <w:style w:type="character" w:styleId="Hypertextovodkaz">
    <w:name w:val="Hyperlink"/>
    <w:basedOn w:val="Standardnpsmoodstavce"/>
    <w:uiPriority w:val="99"/>
    <w:unhideWhenUsed/>
    <w:rsid w:val="006832D4"/>
    <w:rPr>
      <w:color w:val="0000FF" w:themeColor="hyperlink"/>
      <w:u w:val="single"/>
    </w:rPr>
  </w:style>
  <w:style w:type="character" w:customStyle="1" w:styleId="Nadpis1Char">
    <w:name w:val="Nadpis 1 Char"/>
    <w:basedOn w:val="Standardnpsmoodstavce"/>
    <w:link w:val="Nadpis1"/>
    <w:uiPriority w:val="9"/>
    <w:rsid w:val="007F2863"/>
    <w:rPr>
      <w:rFonts w:ascii="Arial" w:eastAsiaTheme="majorEastAsia" w:hAnsi="Arial" w:cstheme="majorBidi"/>
      <w:b/>
      <w:bCs/>
      <w:sz w:val="28"/>
      <w:szCs w:val="28"/>
    </w:rPr>
  </w:style>
  <w:style w:type="character" w:customStyle="1" w:styleId="Nadpis2Char">
    <w:name w:val="Nadpis 2 Char"/>
    <w:basedOn w:val="Standardnpsmoodstavce"/>
    <w:link w:val="Nadpis2"/>
    <w:uiPriority w:val="9"/>
    <w:rsid w:val="00AE6880"/>
    <w:rPr>
      <w:rFonts w:ascii="Arial" w:eastAsiaTheme="majorEastAsia" w:hAnsi="Arial" w:cstheme="majorBidi"/>
      <w:b/>
      <w:bCs/>
      <w:sz w:val="24"/>
      <w:szCs w:val="26"/>
      <w:u w:val="single"/>
    </w:rPr>
  </w:style>
  <w:style w:type="character" w:customStyle="1" w:styleId="Nadpis3Char">
    <w:name w:val="Nadpis 3 Char"/>
    <w:basedOn w:val="Standardnpsmoodstavce"/>
    <w:link w:val="Nadpis3"/>
    <w:uiPriority w:val="9"/>
    <w:rsid w:val="00286F14"/>
    <w:rPr>
      <w:rFonts w:ascii="Arial" w:eastAsiaTheme="majorEastAsia" w:hAnsi="Arial" w:cstheme="majorBidi"/>
      <w:bCs/>
      <w:i/>
      <w:sz w:val="24"/>
    </w:rPr>
  </w:style>
  <w:style w:type="paragraph" w:styleId="Nadpisobsahu">
    <w:name w:val="TOC Heading"/>
    <w:basedOn w:val="Nadpis1"/>
    <w:next w:val="Normln"/>
    <w:uiPriority w:val="39"/>
    <w:semiHidden/>
    <w:unhideWhenUsed/>
    <w:qFormat/>
    <w:rsid w:val="00534DB8"/>
    <w:pPr>
      <w:numPr>
        <w:numId w:val="0"/>
      </w:numPr>
      <w:jc w:val="left"/>
      <w:outlineLvl w:val="9"/>
    </w:pPr>
    <w:rPr>
      <w:rFonts w:asciiTheme="majorHAnsi" w:hAnsiTheme="majorHAnsi"/>
      <w:color w:val="365F91" w:themeColor="accent1" w:themeShade="BF"/>
      <w:lang w:eastAsia="cs-CZ"/>
    </w:rPr>
  </w:style>
  <w:style w:type="paragraph" w:styleId="Obsah1">
    <w:name w:val="toc 1"/>
    <w:basedOn w:val="Normln"/>
    <w:next w:val="Normln"/>
    <w:autoRedefine/>
    <w:uiPriority w:val="39"/>
    <w:unhideWhenUsed/>
    <w:qFormat/>
    <w:rsid w:val="000F62D5"/>
    <w:pPr>
      <w:tabs>
        <w:tab w:val="left" w:pos="993"/>
        <w:tab w:val="right" w:leader="dot" w:pos="9062"/>
      </w:tabs>
      <w:spacing w:after="100"/>
    </w:pPr>
    <w:rPr>
      <w:b/>
      <w:noProof/>
      <w:lang w:eastAsia="cs-CZ"/>
    </w:rPr>
  </w:style>
  <w:style w:type="paragraph" w:styleId="Obsah2">
    <w:name w:val="toc 2"/>
    <w:basedOn w:val="Normln"/>
    <w:next w:val="Normln"/>
    <w:autoRedefine/>
    <w:uiPriority w:val="39"/>
    <w:unhideWhenUsed/>
    <w:qFormat/>
    <w:rsid w:val="000F62D5"/>
    <w:pPr>
      <w:tabs>
        <w:tab w:val="right" w:leader="dot" w:pos="9062"/>
      </w:tabs>
      <w:spacing w:after="100"/>
      <w:ind w:left="567" w:hanging="567"/>
    </w:pPr>
  </w:style>
  <w:style w:type="paragraph" w:styleId="Obsah3">
    <w:name w:val="toc 3"/>
    <w:basedOn w:val="Normln"/>
    <w:next w:val="Normln"/>
    <w:autoRedefine/>
    <w:uiPriority w:val="39"/>
    <w:unhideWhenUsed/>
    <w:qFormat/>
    <w:rsid w:val="00534DB8"/>
    <w:pPr>
      <w:spacing w:after="100"/>
      <w:ind w:left="480"/>
    </w:pPr>
  </w:style>
  <w:style w:type="paragraph" w:styleId="Seznamobrzk">
    <w:name w:val="table of figures"/>
    <w:basedOn w:val="Normln"/>
    <w:next w:val="Normln"/>
    <w:uiPriority w:val="99"/>
    <w:unhideWhenUsed/>
    <w:rsid w:val="00072A49"/>
    <w:pPr>
      <w:tabs>
        <w:tab w:val="right" w:leader="dot" w:pos="9062"/>
      </w:tabs>
    </w:pPr>
    <w:rPr>
      <w:noProof/>
      <w:sz w:val="16"/>
      <w:szCs w:val="16"/>
    </w:rPr>
  </w:style>
  <w:style w:type="paragraph" w:styleId="Bezmezer">
    <w:name w:val="No Spacing"/>
    <w:link w:val="BezmezerChar"/>
    <w:uiPriority w:val="1"/>
    <w:qFormat/>
    <w:rsid w:val="00534DB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534DB8"/>
    <w:rPr>
      <w:rFonts w:eastAsiaTheme="minorEastAsia"/>
      <w:lang w:eastAsia="cs-CZ"/>
    </w:rPr>
  </w:style>
  <w:style w:type="character" w:styleId="Odkaznakoment">
    <w:name w:val="annotation reference"/>
    <w:basedOn w:val="Standardnpsmoodstavce"/>
    <w:uiPriority w:val="99"/>
    <w:semiHidden/>
    <w:unhideWhenUsed/>
    <w:rsid w:val="00DA4EE1"/>
    <w:rPr>
      <w:sz w:val="16"/>
      <w:szCs w:val="16"/>
    </w:rPr>
  </w:style>
  <w:style w:type="paragraph" w:styleId="Textkomente">
    <w:name w:val="annotation text"/>
    <w:basedOn w:val="Normln"/>
    <w:link w:val="TextkomenteChar"/>
    <w:uiPriority w:val="99"/>
    <w:semiHidden/>
    <w:unhideWhenUsed/>
    <w:rsid w:val="00DA4EE1"/>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E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DA4EE1"/>
    <w:rPr>
      <w:b/>
      <w:bCs/>
    </w:rPr>
  </w:style>
  <w:style w:type="character" w:customStyle="1" w:styleId="PedmtkomenteChar">
    <w:name w:val="Předmět komentáře Char"/>
    <w:basedOn w:val="TextkomenteChar"/>
    <w:link w:val="Pedmtkomente"/>
    <w:uiPriority w:val="99"/>
    <w:semiHidden/>
    <w:rsid w:val="00DA4EE1"/>
    <w:rPr>
      <w:rFonts w:ascii="Arial" w:hAnsi="Arial"/>
      <w:b/>
      <w:bCs/>
      <w:sz w:val="20"/>
      <w:szCs w:val="20"/>
    </w:rPr>
  </w:style>
  <w:style w:type="paragraph" w:styleId="Revize">
    <w:name w:val="Revision"/>
    <w:hidden/>
    <w:uiPriority w:val="99"/>
    <w:semiHidden/>
    <w:rsid w:val="00DA4EE1"/>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2599">
      <w:bodyDiv w:val="1"/>
      <w:marLeft w:val="0"/>
      <w:marRight w:val="0"/>
      <w:marTop w:val="0"/>
      <w:marBottom w:val="0"/>
      <w:divBdr>
        <w:top w:val="none" w:sz="0" w:space="0" w:color="auto"/>
        <w:left w:val="none" w:sz="0" w:space="0" w:color="auto"/>
        <w:bottom w:val="none" w:sz="0" w:space="0" w:color="auto"/>
        <w:right w:val="none" w:sz="0" w:space="0" w:color="auto"/>
      </w:divBdr>
    </w:div>
    <w:div w:id="215092717">
      <w:bodyDiv w:val="1"/>
      <w:marLeft w:val="0"/>
      <w:marRight w:val="0"/>
      <w:marTop w:val="0"/>
      <w:marBottom w:val="0"/>
      <w:divBdr>
        <w:top w:val="none" w:sz="0" w:space="0" w:color="auto"/>
        <w:left w:val="none" w:sz="0" w:space="0" w:color="auto"/>
        <w:bottom w:val="none" w:sz="0" w:space="0" w:color="auto"/>
        <w:right w:val="none" w:sz="0" w:space="0" w:color="auto"/>
      </w:divBdr>
    </w:div>
    <w:div w:id="227421353">
      <w:bodyDiv w:val="1"/>
      <w:marLeft w:val="0"/>
      <w:marRight w:val="0"/>
      <w:marTop w:val="0"/>
      <w:marBottom w:val="0"/>
      <w:divBdr>
        <w:top w:val="none" w:sz="0" w:space="0" w:color="auto"/>
        <w:left w:val="none" w:sz="0" w:space="0" w:color="auto"/>
        <w:bottom w:val="none" w:sz="0" w:space="0" w:color="auto"/>
        <w:right w:val="none" w:sz="0" w:space="0" w:color="auto"/>
      </w:divBdr>
    </w:div>
    <w:div w:id="433330878">
      <w:bodyDiv w:val="1"/>
      <w:marLeft w:val="0"/>
      <w:marRight w:val="0"/>
      <w:marTop w:val="0"/>
      <w:marBottom w:val="0"/>
      <w:divBdr>
        <w:top w:val="none" w:sz="0" w:space="0" w:color="auto"/>
        <w:left w:val="none" w:sz="0" w:space="0" w:color="auto"/>
        <w:bottom w:val="none" w:sz="0" w:space="0" w:color="auto"/>
        <w:right w:val="none" w:sz="0" w:space="0" w:color="auto"/>
      </w:divBdr>
    </w:div>
    <w:div w:id="479423182">
      <w:bodyDiv w:val="1"/>
      <w:marLeft w:val="0"/>
      <w:marRight w:val="0"/>
      <w:marTop w:val="0"/>
      <w:marBottom w:val="0"/>
      <w:divBdr>
        <w:top w:val="none" w:sz="0" w:space="0" w:color="auto"/>
        <w:left w:val="none" w:sz="0" w:space="0" w:color="auto"/>
        <w:bottom w:val="none" w:sz="0" w:space="0" w:color="auto"/>
        <w:right w:val="none" w:sz="0" w:space="0" w:color="auto"/>
      </w:divBdr>
    </w:div>
    <w:div w:id="484862628">
      <w:bodyDiv w:val="1"/>
      <w:marLeft w:val="0"/>
      <w:marRight w:val="0"/>
      <w:marTop w:val="0"/>
      <w:marBottom w:val="0"/>
      <w:divBdr>
        <w:top w:val="none" w:sz="0" w:space="0" w:color="auto"/>
        <w:left w:val="none" w:sz="0" w:space="0" w:color="auto"/>
        <w:bottom w:val="none" w:sz="0" w:space="0" w:color="auto"/>
        <w:right w:val="none" w:sz="0" w:space="0" w:color="auto"/>
      </w:divBdr>
    </w:div>
    <w:div w:id="503472910">
      <w:bodyDiv w:val="1"/>
      <w:marLeft w:val="0"/>
      <w:marRight w:val="0"/>
      <w:marTop w:val="0"/>
      <w:marBottom w:val="0"/>
      <w:divBdr>
        <w:top w:val="none" w:sz="0" w:space="0" w:color="auto"/>
        <w:left w:val="none" w:sz="0" w:space="0" w:color="auto"/>
        <w:bottom w:val="none" w:sz="0" w:space="0" w:color="auto"/>
        <w:right w:val="none" w:sz="0" w:space="0" w:color="auto"/>
      </w:divBdr>
    </w:div>
    <w:div w:id="510032051">
      <w:bodyDiv w:val="1"/>
      <w:marLeft w:val="0"/>
      <w:marRight w:val="0"/>
      <w:marTop w:val="0"/>
      <w:marBottom w:val="0"/>
      <w:divBdr>
        <w:top w:val="none" w:sz="0" w:space="0" w:color="auto"/>
        <w:left w:val="none" w:sz="0" w:space="0" w:color="auto"/>
        <w:bottom w:val="none" w:sz="0" w:space="0" w:color="auto"/>
        <w:right w:val="none" w:sz="0" w:space="0" w:color="auto"/>
      </w:divBdr>
    </w:div>
    <w:div w:id="546987528">
      <w:bodyDiv w:val="1"/>
      <w:marLeft w:val="0"/>
      <w:marRight w:val="0"/>
      <w:marTop w:val="0"/>
      <w:marBottom w:val="0"/>
      <w:divBdr>
        <w:top w:val="none" w:sz="0" w:space="0" w:color="auto"/>
        <w:left w:val="none" w:sz="0" w:space="0" w:color="auto"/>
        <w:bottom w:val="none" w:sz="0" w:space="0" w:color="auto"/>
        <w:right w:val="none" w:sz="0" w:space="0" w:color="auto"/>
      </w:divBdr>
    </w:div>
    <w:div w:id="699746738">
      <w:bodyDiv w:val="1"/>
      <w:marLeft w:val="0"/>
      <w:marRight w:val="0"/>
      <w:marTop w:val="0"/>
      <w:marBottom w:val="0"/>
      <w:divBdr>
        <w:top w:val="none" w:sz="0" w:space="0" w:color="auto"/>
        <w:left w:val="none" w:sz="0" w:space="0" w:color="auto"/>
        <w:bottom w:val="none" w:sz="0" w:space="0" w:color="auto"/>
        <w:right w:val="none" w:sz="0" w:space="0" w:color="auto"/>
      </w:divBdr>
    </w:div>
    <w:div w:id="752893633">
      <w:bodyDiv w:val="1"/>
      <w:marLeft w:val="0"/>
      <w:marRight w:val="0"/>
      <w:marTop w:val="0"/>
      <w:marBottom w:val="0"/>
      <w:divBdr>
        <w:top w:val="none" w:sz="0" w:space="0" w:color="auto"/>
        <w:left w:val="none" w:sz="0" w:space="0" w:color="auto"/>
        <w:bottom w:val="none" w:sz="0" w:space="0" w:color="auto"/>
        <w:right w:val="none" w:sz="0" w:space="0" w:color="auto"/>
      </w:divBdr>
    </w:div>
    <w:div w:id="782654540">
      <w:bodyDiv w:val="1"/>
      <w:marLeft w:val="0"/>
      <w:marRight w:val="0"/>
      <w:marTop w:val="0"/>
      <w:marBottom w:val="0"/>
      <w:divBdr>
        <w:top w:val="none" w:sz="0" w:space="0" w:color="auto"/>
        <w:left w:val="none" w:sz="0" w:space="0" w:color="auto"/>
        <w:bottom w:val="none" w:sz="0" w:space="0" w:color="auto"/>
        <w:right w:val="none" w:sz="0" w:space="0" w:color="auto"/>
      </w:divBdr>
    </w:div>
    <w:div w:id="860582451">
      <w:bodyDiv w:val="1"/>
      <w:marLeft w:val="0"/>
      <w:marRight w:val="0"/>
      <w:marTop w:val="0"/>
      <w:marBottom w:val="0"/>
      <w:divBdr>
        <w:top w:val="none" w:sz="0" w:space="0" w:color="auto"/>
        <w:left w:val="none" w:sz="0" w:space="0" w:color="auto"/>
        <w:bottom w:val="none" w:sz="0" w:space="0" w:color="auto"/>
        <w:right w:val="none" w:sz="0" w:space="0" w:color="auto"/>
      </w:divBdr>
    </w:div>
    <w:div w:id="889658272">
      <w:bodyDiv w:val="1"/>
      <w:marLeft w:val="0"/>
      <w:marRight w:val="0"/>
      <w:marTop w:val="0"/>
      <w:marBottom w:val="0"/>
      <w:divBdr>
        <w:top w:val="none" w:sz="0" w:space="0" w:color="auto"/>
        <w:left w:val="none" w:sz="0" w:space="0" w:color="auto"/>
        <w:bottom w:val="none" w:sz="0" w:space="0" w:color="auto"/>
        <w:right w:val="none" w:sz="0" w:space="0" w:color="auto"/>
      </w:divBdr>
    </w:div>
    <w:div w:id="921522895">
      <w:bodyDiv w:val="1"/>
      <w:marLeft w:val="0"/>
      <w:marRight w:val="0"/>
      <w:marTop w:val="0"/>
      <w:marBottom w:val="0"/>
      <w:divBdr>
        <w:top w:val="none" w:sz="0" w:space="0" w:color="auto"/>
        <w:left w:val="none" w:sz="0" w:space="0" w:color="auto"/>
        <w:bottom w:val="none" w:sz="0" w:space="0" w:color="auto"/>
        <w:right w:val="none" w:sz="0" w:space="0" w:color="auto"/>
      </w:divBdr>
    </w:div>
    <w:div w:id="929972913">
      <w:bodyDiv w:val="1"/>
      <w:marLeft w:val="0"/>
      <w:marRight w:val="0"/>
      <w:marTop w:val="0"/>
      <w:marBottom w:val="0"/>
      <w:divBdr>
        <w:top w:val="none" w:sz="0" w:space="0" w:color="auto"/>
        <w:left w:val="none" w:sz="0" w:space="0" w:color="auto"/>
        <w:bottom w:val="none" w:sz="0" w:space="0" w:color="auto"/>
        <w:right w:val="none" w:sz="0" w:space="0" w:color="auto"/>
      </w:divBdr>
    </w:div>
    <w:div w:id="952706544">
      <w:bodyDiv w:val="1"/>
      <w:marLeft w:val="0"/>
      <w:marRight w:val="0"/>
      <w:marTop w:val="0"/>
      <w:marBottom w:val="0"/>
      <w:divBdr>
        <w:top w:val="none" w:sz="0" w:space="0" w:color="auto"/>
        <w:left w:val="none" w:sz="0" w:space="0" w:color="auto"/>
        <w:bottom w:val="none" w:sz="0" w:space="0" w:color="auto"/>
        <w:right w:val="none" w:sz="0" w:space="0" w:color="auto"/>
      </w:divBdr>
    </w:div>
    <w:div w:id="1024672719">
      <w:bodyDiv w:val="1"/>
      <w:marLeft w:val="0"/>
      <w:marRight w:val="0"/>
      <w:marTop w:val="0"/>
      <w:marBottom w:val="0"/>
      <w:divBdr>
        <w:top w:val="none" w:sz="0" w:space="0" w:color="auto"/>
        <w:left w:val="none" w:sz="0" w:space="0" w:color="auto"/>
        <w:bottom w:val="none" w:sz="0" w:space="0" w:color="auto"/>
        <w:right w:val="none" w:sz="0" w:space="0" w:color="auto"/>
      </w:divBdr>
    </w:div>
    <w:div w:id="1070232976">
      <w:bodyDiv w:val="1"/>
      <w:marLeft w:val="0"/>
      <w:marRight w:val="0"/>
      <w:marTop w:val="0"/>
      <w:marBottom w:val="0"/>
      <w:divBdr>
        <w:top w:val="none" w:sz="0" w:space="0" w:color="auto"/>
        <w:left w:val="none" w:sz="0" w:space="0" w:color="auto"/>
        <w:bottom w:val="none" w:sz="0" w:space="0" w:color="auto"/>
        <w:right w:val="none" w:sz="0" w:space="0" w:color="auto"/>
      </w:divBdr>
    </w:div>
    <w:div w:id="1141192886">
      <w:bodyDiv w:val="1"/>
      <w:marLeft w:val="0"/>
      <w:marRight w:val="0"/>
      <w:marTop w:val="0"/>
      <w:marBottom w:val="0"/>
      <w:divBdr>
        <w:top w:val="none" w:sz="0" w:space="0" w:color="auto"/>
        <w:left w:val="none" w:sz="0" w:space="0" w:color="auto"/>
        <w:bottom w:val="none" w:sz="0" w:space="0" w:color="auto"/>
        <w:right w:val="none" w:sz="0" w:space="0" w:color="auto"/>
      </w:divBdr>
    </w:div>
    <w:div w:id="1180197670">
      <w:bodyDiv w:val="1"/>
      <w:marLeft w:val="0"/>
      <w:marRight w:val="0"/>
      <w:marTop w:val="0"/>
      <w:marBottom w:val="0"/>
      <w:divBdr>
        <w:top w:val="none" w:sz="0" w:space="0" w:color="auto"/>
        <w:left w:val="none" w:sz="0" w:space="0" w:color="auto"/>
        <w:bottom w:val="none" w:sz="0" w:space="0" w:color="auto"/>
        <w:right w:val="none" w:sz="0" w:space="0" w:color="auto"/>
      </w:divBdr>
    </w:div>
    <w:div w:id="1182671993">
      <w:bodyDiv w:val="1"/>
      <w:marLeft w:val="0"/>
      <w:marRight w:val="0"/>
      <w:marTop w:val="0"/>
      <w:marBottom w:val="0"/>
      <w:divBdr>
        <w:top w:val="none" w:sz="0" w:space="0" w:color="auto"/>
        <w:left w:val="none" w:sz="0" w:space="0" w:color="auto"/>
        <w:bottom w:val="none" w:sz="0" w:space="0" w:color="auto"/>
        <w:right w:val="none" w:sz="0" w:space="0" w:color="auto"/>
      </w:divBdr>
    </w:div>
    <w:div w:id="1190297322">
      <w:bodyDiv w:val="1"/>
      <w:marLeft w:val="0"/>
      <w:marRight w:val="0"/>
      <w:marTop w:val="0"/>
      <w:marBottom w:val="0"/>
      <w:divBdr>
        <w:top w:val="none" w:sz="0" w:space="0" w:color="auto"/>
        <w:left w:val="none" w:sz="0" w:space="0" w:color="auto"/>
        <w:bottom w:val="none" w:sz="0" w:space="0" w:color="auto"/>
        <w:right w:val="none" w:sz="0" w:space="0" w:color="auto"/>
      </w:divBdr>
    </w:div>
    <w:div w:id="1209032252">
      <w:bodyDiv w:val="1"/>
      <w:marLeft w:val="0"/>
      <w:marRight w:val="0"/>
      <w:marTop w:val="0"/>
      <w:marBottom w:val="0"/>
      <w:divBdr>
        <w:top w:val="none" w:sz="0" w:space="0" w:color="auto"/>
        <w:left w:val="none" w:sz="0" w:space="0" w:color="auto"/>
        <w:bottom w:val="none" w:sz="0" w:space="0" w:color="auto"/>
        <w:right w:val="none" w:sz="0" w:space="0" w:color="auto"/>
      </w:divBdr>
    </w:div>
    <w:div w:id="1225143738">
      <w:bodyDiv w:val="1"/>
      <w:marLeft w:val="0"/>
      <w:marRight w:val="0"/>
      <w:marTop w:val="0"/>
      <w:marBottom w:val="0"/>
      <w:divBdr>
        <w:top w:val="none" w:sz="0" w:space="0" w:color="auto"/>
        <w:left w:val="none" w:sz="0" w:space="0" w:color="auto"/>
        <w:bottom w:val="none" w:sz="0" w:space="0" w:color="auto"/>
        <w:right w:val="none" w:sz="0" w:space="0" w:color="auto"/>
      </w:divBdr>
    </w:div>
    <w:div w:id="1246649391">
      <w:bodyDiv w:val="1"/>
      <w:marLeft w:val="0"/>
      <w:marRight w:val="0"/>
      <w:marTop w:val="0"/>
      <w:marBottom w:val="0"/>
      <w:divBdr>
        <w:top w:val="none" w:sz="0" w:space="0" w:color="auto"/>
        <w:left w:val="none" w:sz="0" w:space="0" w:color="auto"/>
        <w:bottom w:val="none" w:sz="0" w:space="0" w:color="auto"/>
        <w:right w:val="none" w:sz="0" w:space="0" w:color="auto"/>
      </w:divBdr>
    </w:div>
    <w:div w:id="1282999041">
      <w:bodyDiv w:val="1"/>
      <w:marLeft w:val="0"/>
      <w:marRight w:val="0"/>
      <w:marTop w:val="0"/>
      <w:marBottom w:val="0"/>
      <w:divBdr>
        <w:top w:val="none" w:sz="0" w:space="0" w:color="auto"/>
        <w:left w:val="none" w:sz="0" w:space="0" w:color="auto"/>
        <w:bottom w:val="none" w:sz="0" w:space="0" w:color="auto"/>
        <w:right w:val="none" w:sz="0" w:space="0" w:color="auto"/>
      </w:divBdr>
      <w:divsChild>
        <w:div w:id="1458529993">
          <w:marLeft w:val="0"/>
          <w:marRight w:val="0"/>
          <w:marTop w:val="0"/>
          <w:marBottom w:val="0"/>
          <w:divBdr>
            <w:top w:val="none" w:sz="0" w:space="0" w:color="auto"/>
            <w:left w:val="none" w:sz="0" w:space="0" w:color="auto"/>
            <w:bottom w:val="none" w:sz="0" w:space="0" w:color="auto"/>
            <w:right w:val="none" w:sz="0" w:space="0" w:color="auto"/>
          </w:divBdr>
          <w:divsChild>
            <w:div w:id="15618806">
              <w:marLeft w:val="0"/>
              <w:marRight w:val="0"/>
              <w:marTop w:val="0"/>
              <w:marBottom w:val="0"/>
              <w:divBdr>
                <w:top w:val="none" w:sz="0" w:space="0" w:color="auto"/>
                <w:left w:val="none" w:sz="0" w:space="0" w:color="auto"/>
                <w:bottom w:val="none" w:sz="0" w:space="0" w:color="auto"/>
                <w:right w:val="none" w:sz="0" w:space="0" w:color="auto"/>
              </w:divBdr>
              <w:divsChild>
                <w:div w:id="1689022745">
                  <w:marLeft w:val="0"/>
                  <w:marRight w:val="0"/>
                  <w:marTop w:val="0"/>
                  <w:marBottom w:val="0"/>
                  <w:divBdr>
                    <w:top w:val="none" w:sz="0" w:space="0" w:color="auto"/>
                    <w:left w:val="none" w:sz="0" w:space="0" w:color="auto"/>
                    <w:bottom w:val="none" w:sz="0" w:space="0" w:color="auto"/>
                    <w:right w:val="none" w:sz="0" w:space="0" w:color="auto"/>
                  </w:divBdr>
                  <w:divsChild>
                    <w:div w:id="392847896">
                      <w:marLeft w:val="0"/>
                      <w:marRight w:val="0"/>
                      <w:marTop w:val="0"/>
                      <w:marBottom w:val="0"/>
                      <w:divBdr>
                        <w:top w:val="none" w:sz="0" w:space="0" w:color="auto"/>
                        <w:left w:val="none" w:sz="0" w:space="0" w:color="auto"/>
                        <w:bottom w:val="none" w:sz="0" w:space="0" w:color="auto"/>
                        <w:right w:val="none" w:sz="0" w:space="0" w:color="auto"/>
                      </w:divBdr>
                      <w:divsChild>
                        <w:div w:id="1757897402">
                          <w:marLeft w:val="0"/>
                          <w:marRight w:val="0"/>
                          <w:marTop w:val="0"/>
                          <w:marBottom w:val="0"/>
                          <w:divBdr>
                            <w:top w:val="none" w:sz="0" w:space="0" w:color="auto"/>
                            <w:left w:val="none" w:sz="0" w:space="0" w:color="auto"/>
                            <w:bottom w:val="none" w:sz="0" w:space="0" w:color="auto"/>
                            <w:right w:val="none" w:sz="0" w:space="0" w:color="auto"/>
                          </w:divBdr>
                          <w:divsChild>
                            <w:div w:id="52892049">
                              <w:marLeft w:val="0"/>
                              <w:marRight w:val="0"/>
                              <w:marTop w:val="0"/>
                              <w:marBottom w:val="0"/>
                              <w:divBdr>
                                <w:top w:val="none" w:sz="0" w:space="0" w:color="auto"/>
                                <w:left w:val="none" w:sz="0" w:space="0" w:color="auto"/>
                                <w:bottom w:val="none" w:sz="0" w:space="0" w:color="auto"/>
                                <w:right w:val="none" w:sz="0" w:space="0" w:color="auto"/>
                              </w:divBdr>
                              <w:divsChild>
                                <w:div w:id="666901890">
                                  <w:marLeft w:val="0"/>
                                  <w:marRight w:val="0"/>
                                  <w:marTop w:val="0"/>
                                  <w:marBottom w:val="0"/>
                                  <w:divBdr>
                                    <w:top w:val="none" w:sz="0" w:space="0" w:color="auto"/>
                                    <w:left w:val="none" w:sz="0" w:space="0" w:color="auto"/>
                                    <w:bottom w:val="none" w:sz="0" w:space="0" w:color="auto"/>
                                    <w:right w:val="none" w:sz="0" w:space="0" w:color="auto"/>
                                  </w:divBdr>
                                  <w:divsChild>
                                    <w:div w:id="558253449">
                                      <w:marLeft w:val="0"/>
                                      <w:marRight w:val="0"/>
                                      <w:marTop w:val="0"/>
                                      <w:marBottom w:val="0"/>
                                      <w:divBdr>
                                        <w:top w:val="none" w:sz="0" w:space="0" w:color="auto"/>
                                        <w:left w:val="none" w:sz="0" w:space="0" w:color="auto"/>
                                        <w:bottom w:val="none" w:sz="0" w:space="0" w:color="auto"/>
                                        <w:right w:val="none" w:sz="0" w:space="0" w:color="auto"/>
                                      </w:divBdr>
                                      <w:divsChild>
                                        <w:div w:id="1684552425">
                                          <w:marLeft w:val="0"/>
                                          <w:marRight w:val="0"/>
                                          <w:marTop w:val="0"/>
                                          <w:marBottom w:val="0"/>
                                          <w:divBdr>
                                            <w:top w:val="none" w:sz="0" w:space="0" w:color="auto"/>
                                            <w:left w:val="none" w:sz="0" w:space="0" w:color="auto"/>
                                            <w:bottom w:val="none" w:sz="0" w:space="0" w:color="auto"/>
                                            <w:right w:val="none" w:sz="0" w:space="0" w:color="auto"/>
                                          </w:divBdr>
                                          <w:divsChild>
                                            <w:div w:id="1018385707">
                                              <w:marLeft w:val="0"/>
                                              <w:marRight w:val="0"/>
                                              <w:marTop w:val="0"/>
                                              <w:marBottom w:val="0"/>
                                              <w:divBdr>
                                                <w:top w:val="none" w:sz="0" w:space="0" w:color="auto"/>
                                                <w:left w:val="none" w:sz="0" w:space="0" w:color="auto"/>
                                                <w:bottom w:val="none" w:sz="0" w:space="0" w:color="auto"/>
                                                <w:right w:val="none" w:sz="0" w:space="0" w:color="auto"/>
                                              </w:divBdr>
                                              <w:divsChild>
                                                <w:div w:id="837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487464">
      <w:bodyDiv w:val="1"/>
      <w:marLeft w:val="0"/>
      <w:marRight w:val="0"/>
      <w:marTop w:val="0"/>
      <w:marBottom w:val="0"/>
      <w:divBdr>
        <w:top w:val="none" w:sz="0" w:space="0" w:color="auto"/>
        <w:left w:val="none" w:sz="0" w:space="0" w:color="auto"/>
        <w:bottom w:val="none" w:sz="0" w:space="0" w:color="auto"/>
        <w:right w:val="none" w:sz="0" w:space="0" w:color="auto"/>
      </w:divBdr>
    </w:div>
    <w:div w:id="1408183816">
      <w:bodyDiv w:val="1"/>
      <w:marLeft w:val="0"/>
      <w:marRight w:val="0"/>
      <w:marTop w:val="0"/>
      <w:marBottom w:val="0"/>
      <w:divBdr>
        <w:top w:val="none" w:sz="0" w:space="0" w:color="auto"/>
        <w:left w:val="none" w:sz="0" w:space="0" w:color="auto"/>
        <w:bottom w:val="none" w:sz="0" w:space="0" w:color="auto"/>
        <w:right w:val="none" w:sz="0" w:space="0" w:color="auto"/>
      </w:divBdr>
    </w:div>
    <w:div w:id="1512255638">
      <w:bodyDiv w:val="1"/>
      <w:marLeft w:val="0"/>
      <w:marRight w:val="0"/>
      <w:marTop w:val="0"/>
      <w:marBottom w:val="0"/>
      <w:divBdr>
        <w:top w:val="none" w:sz="0" w:space="0" w:color="auto"/>
        <w:left w:val="none" w:sz="0" w:space="0" w:color="auto"/>
        <w:bottom w:val="none" w:sz="0" w:space="0" w:color="auto"/>
        <w:right w:val="none" w:sz="0" w:space="0" w:color="auto"/>
      </w:divBdr>
    </w:div>
    <w:div w:id="1537308623">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777286470">
      <w:bodyDiv w:val="1"/>
      <w:marLeft w:val="0"/>
      <w:marRight w:val="0"/>
      <w:marTop w:val="0"/>
      <w:marBottom w:val="0"/>
      <w:divBdr>
        <w:top w:val="none" w:sz="0" w:space="0" w:color="auto"/>
        <w:left w:val="none" w:sz="0" w:space="0" w:color="auto"/>
        <w:bottom w:val="none" w:sz="0" w:space="0" w:color="auto"/>
        <w:right w:val="none" w:sz="0" w:space="0" w:color="auto"/>
      </w:divBdr>
    </w:div>
    <w:div w:id="1802570298">
      <w:bodyDiv w:val="1"/>
      <w:marLeft w:val="0"/>
      <w:marRight w:val="0"/>
      <w:marTop w:val="0"/>
      <w:marBottom w:val="0"/>
      <w:divBdr>
        <w:top w:val="none" w:sz="0" w:space="0" w:color="auto"/>
        <w:left w:val="none" w:sz="0" w:space="0" w:color="auto"/>
        <w:bottom w:val="none" w:sz="0" w:space="0" w:color="auto"/>
        <w:right w:val="none" w:sz="0" w:space="0" w:color="auto"/>
      </w:divBdr>
    </w:div>
    <w:div w:id="1855028071">
      <w:bodyDiv w:val="1"/>
      <w:marLeft w:val="0"/>
      <w:marRight w:val="0"/>
      <w:marTop w:val="0"/>
      <w:marBottom w:val="0"/>
      <w:divBdr>
        <w:top w:val="none" w:sz="0" w:space="0" w:color="auto"/>
        <w:left w:val="none" w:sz="0" w:space="0" w:color="auto"/>
        <w:bottom w:val="none" w:sz="0" w:space="0" w:color="auto"/>
        <w:right w:val="none" w:sz="0" w:space="0" w:color="auto"/>
      </w:divBdr>
    </w:div>
    <w:div w:id="1879051612">
      <w:bodyDiv w:val="1"/>
      <w:marLeft w:val="0"/>
      <w:marRight w:val="0"/>
      <w:marTop w:val="0"/>
      <w:marBottom w:val="0"/>
      <w:divBdr>
        <w:top w:val="none" w:sz="0" w:space="0" w:color="auto"/>
        <w:left w:val="none" w:sz="0" w:space="0" w:color="auto"/>
        <w:bottom w:val="none" w:sz="0" w:space="0" w:color="auto"/>
        <w:right w:val="none" w:sz="0" w:space="0" w:color="auto"/>
      </w:divBdr>
    </w:div>
    <w:div w:id="1881164608">
      <w:bodyDiv w:val="1"/>
      <w:marLeft w:val="0"/>
      <w:marRight w:val="0"/>
      <w:marTop w:val="0"/>
      <w:marBottom w:val="0"/>
      <w:divBdr>
        <w:top w:val="none" w:sz="0" w:space="0" w:color="auto"/>
        <w:left w:val="none" w:sz="0" w:space="0" w:color="auto"/>
        <w:bottom w:val="none" w:sz="0" w:space="0" w:color="auto"/>
        <w:right w:val="none" w:sz="0" w:space="0" w:color="auto"/>
      </w:divBdr>
    </w:div>
    <w:div w:id="1953247908">
      <w:bodyDiv w:val="1"/>
      <w:marLeft w:val="0"/>
      <w:marRight w:val="0"/>
      <w:marTop w:val="0"/>
      <w:marBottom w:val="0"/>
      <w:divBdr>
        <w:top w:val="none" w:sz="0" w:space="0" w:color="auto"/>
        <w:left w:val="none" w:sz="0" w:space="0" w:color="auto"/>
        <w:bottom w:val="none" w:sz="0" w:space="0" w:color="auto"/>
        <w:right w:val="none" w:sz="0" w:space="0" w:color="auto"/>
      </w:divBdr>
    </w:div>
    <w:div w:id="21050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chart" Target="charts/chart7.xml"/><Relationship Id="rId39" Type="http://schemas.openxmlformats.org/officeDocument/2006/relationships/chart" Target="charts/chart20.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5.xml"/><Relationship Id="rId42" Type="http://schemas.openxmlformats.org/officeDocument/2006/relationships/chart" Target="charts/chart23.xml"/><Relationship Id="rId47"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chart" Target="charts/chart19.xml"/><Relationship Id="rId46"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hyperlink" Target="file:///V:\o401\Dudek%20Pavel\=Strategie=\=MPSV=\Anal&#253;za%20nab&#237;dky%20a%20popt&#225;vky%20na%20TP%20(2016)\=Zpr&#225;vy=\2pol2017\VP&#344;\vypo&#345;&#225;d&#225;n&#237;\3_II_ANTP_Zpr&#225;va_1p2017po%20VP&#344;.docx" TargetMode="External"/><Relationship Id="rId20" Type="http://schemas.openxmlformats.org/officeDocument/2006/relationships/chart" Target="charts/chart3.xml"/><Relationship Id="rId29" Type="http://schemas.openxmlformats.org/officeDocument/2006/relationships/chart" Target="charts/chart10.xml"/><Relationship Id="rId41"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chart" Target="charts/chart13.xml"/><Relationship Id="rId37" Type="http://schemas.openxmlformats.org/officeDocument/2006/relationships/chart" Target="charts/chart18.xml"/><Relationship Id="rId40" Type="http://schemas.openxmlformats.org/officeDocument/2006/relationships/chart" Target="charts/chart21.xml"/><Relationship Id="rId45"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hyperlink" Target="file:///V:\o401\Dudek%20Pavel\=Strategie=\=MPSV=\Anal&#253;za%20nab&#237;dky%20a%20popt&#225;vky%20na%20TP%20(2016)\=Zpr&#225;vy=\2pol2017\VP&#344;\vypo&#345;&#225;d&#225;n&#237;\3_II_ANTP_Zpr&#225;va_1p2017po%20VP&#344;.docx" TargetMode="External"/><Relationship Id="rId23" Type="http://schemas.openxmlformats.org/officeDocument/2006/relationships/image" Target="media/image2.png"/><Relationship Id="rId28" Type="http://schemas.openxmlformats.org/officeDocument/2006/relationships/chart" Target="charts/chart9.xml"/><Relationship Id="rId36" Type="http://schemas.openxmlformats.org/officeDocument/2006/relationships/chart" Target="charts/chart1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chart" Target="charts/chart12.xm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V:\o401\Dudek%20Pavel\=Strategie=\=MPSV=\Anal&#253;za%20nab&#237;dky%20a%20popt&#225;vky%20na%20TP%20(2016)\=Zpr&#225;vy=\2pol2017\VP&#344;\vypo&#345;&#225;d&#225;n&#237;\3_II_ANTP_Zpr&#225;va_1p2017po%20VP&#344;.docx" TargetMode="External"/><Relationship Id="rId22" Type="http://schemas.openxmlformats.org/officeDocument/2006/relationships/chart" Target="charts/chart5.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chart" Target="charts/chart16.xm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struktura-mezd-zamestnancu-201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Se&#353;it1"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struktura%20UoZ.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cizinc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cizinc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s-mpa-cls3-spo1.mpsvnet.mpsv.cz\spoldisk\SD_o410\o401\Dudek%20Pavel\=Strategie=\=MPSV=\Anal&#253;za%20nab&#237;dky%20a%20popt&#225;vky%20na%20TP%20(2016)\=Zpr&#225;vy=\data%20sledov&#225;n&#237;\Nab&#237;dka%20a%20popt&#225;vk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685994203756123E-2"/>
          <c:y val="0.13008579712090679"/>
          <c:w val="0.90569487684662819"/>
          <c:h val="0.67085491118744767"/>
        </c:manualLayout>
      </c:layout>
      <c:barChart>
        <c:barDir val="col"/>
        <c:grouping val="stacked"/>
        <c:varyColors val="0"/>
        <c:ser>
          <c:idx val="0"/>
          <c:order val="0"/>
          <c:tx>
            <c:strRef>
              <c:f>'Neobsazenost podle profesí'!$AL$76</c:f>
              <c:strCache>
                <c:ptCount val="1"/>
                <c:pt idx="0">
                  <c:v>nad 12</c:v>
                </c:pt>
              </c:strCache>
            </c:strRef>
          </c:tx>
          <c:spPr>
            <a:solidFill>
              <a:schemeClr val="accent2">
                <a:lumMod val="75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profesí'!$AL$77:$AL$86</c:f>
              <c:numCache>
                <c:formatCode>General</c:formatCode>
                <c:ptCount val="10"/>
                <c:pt idx="0">
                  <c:v>293</c:v>
                </c:pt>
                <c:pt idx="1">
                  <c:v>367</c:v>
                </c:pt>
                <c:pt idx="2" formatCode="#,##0">
                  <c:v>3682</c:v>
                </c:pt>
                <c:pt idx="3" formatCode="#,##0">
                  <c:v>2522</c:v>
                </c:pt>
                <c:pt idx="4" formatCode="#,##0">
                  <c:v>1039</c:v>
                </c:pt>
                <c:pt idx="5" formatCode="#,##0">
                  <c:v>4597</c:v>
                </c:pt>
                <c:pt idx="6">
                  <c:v>203</c:v>
                </c:pt>
                <c:pt idx="7" formatCode="#,##0">
                  <c:v>8306</c:v>
                </c:pt>
                <c:pt idx="8" formatCode="#,##0">
                  <c:v>8518</c:v>
                </c:pt>
                <c:pt idx="9" formatCode="#,##0">
                  <c:v>6935</c:v>
                </c:pt>
              </c:numCache>
            </c:numRef>
          </c:val>
        </c:ser>
        <c:ser>
          <c:idx val="1"/>
          <c:order val="1"/>
          <c:tx>
            <c:strRef>
              <c:f>'Neobsazenost podle profesí'!$AK$76</c:f>
              <c:strCache>
                <c:ptCount val="1"/>
                <c:pt idx="0">
                  <c:v>6-12M</c:v>
                </c:pt>
              </c:strCache>
            </c:strRef>
          </c:tx>
          <c:spPr>
            <a:solidFill>
              <a:schemeClr val="accent2">
                <a:lumMod val="60000"/>
                <a:lumOff val="40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profesí'!$AK$77:$AK$86</c:f>
              <c:numCache>
                <c:formatCode>General</c:formatCode>
                <c:ptCount val="10"/>
                <c:pt idx="0">
                  <c:v>17</c:v>
                </c:pt>
                <c:pt idx="1">
                  <c:v>230</c:v>
                </c:pt>
                <c:pt idx="2" formatCode="#,##0">
                  <c:v>1977</c:v>
                </c:pt>
                <c:pt idx="3" formatCode="#,##0">
                  <c:v>1820</c:v>
                </c:pt>
                <c:pt idx="4">
                  <c:v>806</c:v>
                </c:pt>
                <c:pt idx="5" formatCode="#,##0">
                  <c:v>3595</c:v>
                </c:pt>
                <c:pt idx="6">
                  <c:v>353</c:v>
                </c:pt>
                <c:pt idx="7" formatCode="#,##0">
                  <c:v>7078</c:v>
                </c:pt>
                <c:pt idx="8" formatCode="#,##0">
                  <c:v>7397</c:v>
                </c:pt>
                <c:pt idx="9" formatCode="#,##0">
                  <c:v>3662</c:v>
                </c:pt>
              </c:numCache>
            </c:numRef>
          </c:val>
        </c:ser>
        <c:ser>
          <c:idx val="2"/>
          <c:order val="2"/>
          <c:tx>
            <c:strRef>
              <c:f>'Neobsazenost podle profesí'!$AJ$76</c:f>
              <c:strCache>
                <c:ptCount val="1"/>
                <c:pt idx="0">
                  <c:v>3-6M</c:v>
                </c:pt>
              </c:strCache>
            </c:strRef>
          </c:tx>
          <c:spPr>
            <a:solidFill>
              <a:schemeClr val="tx2">
                <a:lumMod val="40000"/>
                <a:lumOff val="60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profesí'!$AJ$77:$AJ$86</c:f>
              <c:numCache>
                <c:formatCode>General</c:formatCode>
                <c:ptCount val="10"/>
                <c:pt idx="0">
                  <c:v>1</c:v>
                </c:pt>
                <c:pt idx="1">
                  <c:v>265</c:v>
                </c:pt>
                <c:pt idx="2" formatCode="#,##0">
                  <c:v>2492</c:v>
                </c:pt>
                <c:pt idx="3" formatCode="#,##0">
                  <c:v>2316</c:v>
                </c:pt>
                <c:pt idx="4" formatCode="#,##0">
                  <c:v>1067</c:v>
                </c:pt>
                <c:pt idx="5" formatCode="#,##0">
                  <c:v>4852</c:v>
                </c:pt>
                <c:pt idx="6">
                  <c:v>216</c:v>
                </c:pt>
                <c:pt idx="7" formatCode="#,##0">
                  <c:v>7183</c:v>
                </c:pt>
                <c:pt idx="8" formatCode="#,##0">
                  <c:v>7538</c:v>
                </c:pt>
                <c:pt idx="9" formatCode="#,##0">
                  <c:v>5693</c:v>
                </c:pt>
              </c:numCache>
            </c:numRef>
          </c:val>
        </c:ser>
        <c:ser>
          <c:idx val="3"/>
          <c:order val="3"/>
          <c:tx>
            <c:strRef>
              <c:f>'Neobsazenost podle profesí'!$AI$76</c:f>
              <c:strCache>
                <c:ptCount val="1"/>
                <c:pt idx="0">
                  <c:v>0-3M</c:v>
                </c:pt>
              </c:strCache>
            </c:strRef>
          </c:tx>
          <c:spPr>
            <a:solidFill>
              <a:schemeClr val="accent3">
                <a:lumMod val="40000"/>
                <a:lumOff val="60000"/>
              </a:schemeClr>
            </a:solidFill>
          </c:spPr>
          <c:invertIfNegative val="0"/>
          <c:cat>
            <c:strRef>
              <c:f>'Neobsazenost podle profesí'!$B$77:$B$86</c:f>
              <c:strCache>
                <c:ptCount val="10"/>
                <c:pt idx="0">
                  <c:v>Zaměstnanci v ozbrojených silách</c:v>
                </c:pt>
                <c:pt idx="1">
                  <c:v>Zákonodárci a řídící pracovníci</c:v>
                </c:pt>
                <c:pt idx="2">
                  <c:v>Specialisté</c:v>
                </c:pt>
                <c:pt idx="3">
                  <c:v>Techničtí a odborní pracovníci</c:v>
                </c:pt>
                <c:pt idx="4">
                  <c:v>Úředníci</c:v>
                </c:pt>
                <c:pt idx="5">
                  <c:v>Pracovníci ve službách a prodeji</c:v>
                </c:pt>
                <c:pt idx="6">
                  <c:v>Kvalifikovaní pracovníci v zem., les., ryb.</c:v>
                </c:pt>
                <c:pt idx="7">
                  <c:v>Řemeslníci a opraváři</c:v>
                </c:pt>
                <c:pt idx="8">
                  <c:v>Obsluha strojů a zařízení, montéři</c:v>
                </c:pt>
                <c:pt idx="9">
                  <c:v>Pomocní a nekvalifik. pracovníci</c:v>
                </c:pt>
              </c:strCache>
            </c:strRef>
          </c:cat>
          <c:val>
            <c:numRef>
              <c:f>'Neobsazenost podle profesí'!$AI$77:$AI$86</c:f>
              <c:numCache>
                <c:formatCode>General</c:formatCode>
                <c:ptCount val="10"/>
                <c:pt idx="0">
                  <c:v>20</c:v>
                </c:pt>
                <c:pt idx="1">
                  <c:v>753</c:v>
                </c:pt>
                <c:pt idx="2" formatCode="#,##0">
                  <c:v>5473</c:v>
                </c:pt>
                <c:pt idx="3" formatCode="#,##0">
                  <c:v>5575</c:v>
                </c:pt>
                <c:pt idx="4" formatCode="#,##0">
                  <c:v>3024</c:v>
                </c:pt>
                <c:pt idx="5" formatCode="#,##0">
                  <c:v>12105</c:v>
                </c:pt>
                <c:pt idx="6">
                  <c:v>726</c:v>
                </c:pt>
                <c:pt idx="7" formatCode="#,##0">
                  <c:v>15088</c:v>
                </c:pt>
                <c:pt idx="8" formatCode="#,##0">
                  <c:v>17658</c:v>
                </c:pt>
                <c:pt idx="9" formatCode="#,##0">
                  <c:v>28057</c:v>
                </c:pt>
              </c:numCache>
            </c:numRef>
          </c:val>
        </c:ser>
        <c:dLbls>
          <c:showLegendKey val="0"/>
          <c:showVal val="0"/>
          <c:showCatName val="0"/>
          <c:showSerName val="0"/>
          <c:showPercent val="0"/>
          <c:showBubbleSize val="0"/>
        </c:dLbls>
        <c:gapWidth val="150"/>
        <c:overlap val="100"/>
        <c:axId val="81577472"/>
        <c:axId val="81579008"/>
      </c:barChart>
      <c:catAx>
        <c:axId val="81577472"/>
        <c:scaling>
          <c:orientation val="minMax"/>
        </c:scaling>
        <c:delete val="0"/>
        <c:axPos val="b"/>
        <c:numFmt formatCode="General" sourceLinked="1"/>
        <c:majorTickMark val="out"/>
        <c:minorTickMark val="none"/>
        <c:tickLblPos val="nextTo"/>
        <c:txPr>
          <a:bodyPr rot="0" vert="horz"/>
          <a:lstStyle/>
          <a:p>
            <a:pPr>
              <a:defRPr sz="800">
                <a:latin typeface="+mn-lt"/>
                <a:cs typeface="Arial" panose="020B0604020202020204" pitchFamily="34" charset="0"/>
              </a:defRPr>
            </a:pPr>
            <a:endParaRPr lang="cs-CZ"/>
          </a:p>
        </c:txPr>
        <c:crossAx val="81579008"/>
        <c:crosses val="autoZero"/>
        <c:auto val="1"/>
        <c:lblAlgn val="ctr"/>
        <c:lblOffset val="100"/>
        <c:noMultiLvlLbl val="0"/>
      </c:catAx>
      <c:valAx>
        <c:axId val="81579008"/>
        <c:scaling>
          <c:orientation val="minMax"/>
        </c:scaling>
        <c:delete val="0"/>
        <c:axPos val="l"/>
        <c:majorGridlines/>
        <c:numFmt formatCode="General" sourceLinked="1"/>
        <c:majorTickMark val="out"/>
        <c:minorTickMark val="in"/>
        <c:tickLblPos val="nextTo"/>
        <c:txPr>
          <a:bodyPr rot="-5400000" vert="horz"/>
          <a:lstStyle/>
          <a:p>
            <a:pPr>
              <a:defRPr sz="800"/>
            </a:pPr>
            <a:endParaRPr lang="cs-CZ"/>
          </a:p>
        </c:txPr>
        <c:crossAx val="81577472"/>
        <c:crosses val="autoZero"/>
        <c:crossBetween val="between"/>
        <c:dispUnits>
          <c:builtInUnit val="thousands"/>
          <c:dispUnitsLbl/>
        </c:dispUnits>
      </c:valAx>
    </c:plotArea>
    <c:legend>
      <c:legendPos val="t"/>
      <c:layout>
        <c:manualLayout>
          <c:xMode val="edge"/>
          <c:yMode val="edge"/>
          <c:x val="0.41699423913215117"/>
          <c:y val="3.7185771544763067E-2"/>
          <c:w val="0.5499982641058756"/>
          <c:h val="5.8394778636715231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360321035765829E-2"/>
          <c:y val="3.5414795475119776E-2"/>
          <c:w val="0.84121355295394795"/>
          <c:h val="0.76459095069763683"/>
        </c:manualLayout>
      </c:layout>
      <c:barChart>
        <c:barDir val="col"/>
        <c:grouping val="clustered"/>
        <c:varyColors val="0"/>
        <c:ser>
          <c:idx val="0"/>
          <c:order val="0"/>
          <c:tx>
            <c:strRef>
              <c:f>'Průměrné výdělky CZ-NACE'!$O$27</c:f>
              <c:strCache>
                <c:ptCount val="1"/>
                <c:pt idx="0">
                  <c:v>2015 (rok)</c:v>
                </c:pt>
              </c:strCache>
            </c:strRef>
          </c:tx>
          <c:spPr>
            <a:solidFill>
              <a:schemeClr val="tx2">
                <a:lumMod val="40000"/>
                <a:lumOff val="60000"/>
              </a:schemeClr>
            </a:solidFill>
          </c:spPr>
          <c:invertIfNegative val="0"/>
          <c:dPt>
            <c:idx val="19"/>
            <c:invertIfNegative val="0"/>
            <c:bubble3D val="0"/>
            <c:spPr>
              <a:solidFill>
                <a:schemeClr val="tx2">
                  <a:lumMod val="60000"/>
                  <a:lumOff val="40000"/>
                </a:schemeClr>
              </a:solidFill>
            </c:spPr>
          </c:dPt>
          <c:cat>
            <c:strRef>
              <c:f>'Průměrné výdělky CZ-NACE'!$N$4:$N$23</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cat>
          <c:val>
            <c:numRef>
              <c:f>'Průměrné výdělky CZ-NACE'!$O$28:$O$47</c:f>
              <c:numCache>
                <c:formatCode>General</c:formatCode>
                <c:ptCount val="20"/>
                <c:pt idx="0">
                  <c:v>22628</c:v>
                </c:pt>
                <c:pt idx="1">
                  <c:v>33311</c:v>
                </c:pt>
                <c:pt idx="2">
                  <c:v>28126</c:v>
                </c:pt>
                <c:pt idx="3">
                  <c:v>41859</c:v>
                </c:pt>
                <c:pt idx="4">
                  <c:v>26277</c:v>
                </c:pt>
                <c:pt idx="5">
                  <c:v>25286</c:v>
                </c:pt>
                <c:pt idx="6">
                  <c:v>25864</c:v>
                </c:pt>
                <c:pt idx="7">
                  <c:v>25770</c:v>
                </c:pt>
                <c:pt idx="8">
                  <c:v>15186</c:v>
                </c:pt>
                <c:pt idx="9">
                  <c:v>49538</c:v>
                </c:pt>
                <c:pt idx="10">
                  <c:v>50518</c:v>
                </c:pt>
                <c:pt idx="11">
                  <c:v>24226</c:v>
                </c:pt>
                <c:pt idx="12">
                  <c:v>34202</c:v>
                </c:pt>
                <c:pt idx="13">
                  <c:v>18679</c:v>
                </c:pt>
                <c:pt idx="14">
                  <c:v>39606</c:v>
                </c:pt>
                <c:pt idx="15">
                  <c:v>33728</c:v>
                </c:pt>
                <c:pt idx="16">
                  <c:v>25930</c:v>
                </c:pt>
                <c:pt idx="17">
                  <c:v>22288</c:v>
                </c:pt>
                <c:pt idx="18">
                  <c:v>22025</c:v>
                </c:pt>
                <c:pt idx="19">
                  <c:v>27825</c:v>
                </c:pt>
              </c:numCache>
            </c:numRef>
          </c:val>
        </c:ser>
        <c:ser>
          <c:idx val="2"/>
          <c:order val="1"/>
          <c:tx>
            <c:strRef>
              <c:f>'Průměrné výdělky CZ-NACE'!$P$27</c:f>
              <c:strCache>
                <c:ptCount val="1"/>
                <c:pt idx="0">
                  <c:v>2016 (rok)</c:v>
                </c:pt>
              </c:strCache>
            </c:strRef>
          </c:tx>
          <c:spPr>
            <a:solidFill>
              <a:schemeClr val="accent2">
                <a:lumMod val="40000"/>
                <a:lumOff val="60000"/>
              </a:schemeClr>
            </a:solidFill>
          </c:spPr>
          <c:invertIfNegative val="0"/>
          <c:dPt>
            <c:idx val="19"/>
            <c:invertIfNegative val="0"/>
            <c:bubble3D val="0"/>
            <c:spPr>
              <a:solidFill>
                <a:srgbClr val="FF7C80"/>
              </a:solidFill>
            </c:spPr>
          </c:dPt>
          <c:cat>
            <c:strRef>
              <c:f>'Průměrné výdělky CZ-NACE'!$N$4:$N$23</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cat>
          <c:val>
            <c:numRef>
              <c:f>'Průměrné výdělky CZ-NACE'!$P$28:$P$47</c:f>
              <c:numCache>
                <c:formatCode>General</c:formatCode>
                <c:ptCount val="20"/>
                <c:pt idx="0">
                  <c:v>23594</c:v>
                </c:pt>
                <c:pt idx="1">
                  <c:v>33460</c:v>
                </c:pt>
                <c:pt idx="2">
                  <c:v>29382</c:v>
                </c:pt>
                <c:pt idx="3">
                  <c:v>42675</c:v>
                </c:pt>
                <c:pt idx="4">
                  <c:v>27328</c:v>
                </c:pt>
                <c:pt idx="5">
                  <c:v>26199</c:v>
                </c:pt>
                <c:pt idx="6">
                  <c:v>26889</c:v>
                </c:pt>
                <c:pt idx="7">
                  <c:v>26881</c:v>
                </c:pt>
                <c:pt idx="8">
                  <c:v>16306</c:v>
                </c:pt>
                <c:pt idx="9">
                  <c:v>51539</c:v>
                </c:pt>
                <c:pt idx="10">
                  <c:v>52158</c:v>
                </c:pt>
                <c:pt idx="11">
                  <c:v>24864</c:v>
                </c:pt>
                <c:pt idx="12">
                  <c:v>35028</c:v>
                </c:pt>
                <c:pt idx="13">
                  <c:v>19731</c:v>
                </c:pt>
                <c:pt idx="14">
                  <c:v>40776</c:v>
                </c:pt>
                <c:pt idx="15">
                  <c:v>34386</c:v>
                </c:pt>
                <c:pt idx="16">
                  <c:v>27196</c:v>
                </c:pt>
                <c:pt idx="17">
                  <c:v>23821</c:v>
                </c:pt>
                <c:pt idx="18">
                  <c:v>22753</c:v>
                </c:pt>
                <c:pt idx="19">
                  <c:v>28969</c:v>
                </c:pt>
              </c:numCache>
            </c:numRef>
          </c:val>
        </c:ser>
        <c:dLbls>
          <c:showLegendKey val="0"/>
          <c:showVal val="0"/>
          <c:showCatName val="0"/>
          <c:showSerName val="0"/>
          <c:showPercent val="0"/>
          <c:showBubbleSize val="0"/>
        </c:dLbls>
        <c:gapWidth val="150"/>
        <c:axId val="167622912"/>
        <c:axId val="167625088"/>
      </c:barChart>
      <c:lineChart>
        <c:grouping val="standard"/>
        <c:varyColors val="0"/>
        <c:ser>
          <c:idx val="1"/>
          <c:order val="3"/>
          <c:tx>
            <c:strRef>
              <c:f>'Průměrné výdělky CZ-NACE'!$R$27</c:f>
              <c:strCache>
                <c:ptCount val="1"/>
                <c:pt idx="0">
                  <c:v>min 2016</c:v>
                </c:pt>
              </c:strCache>
            </c:strRef>
          </c:tx>
          <c:spPr>
            <a:ln w="15875">
              <a:solidFill>
                <a:srgbClr val="FF0000"/>
              </a:solidFill>
            </a:ln>
          </c:spPr>
          <c:marker>
            <c:symbol val="none"/>
          </c:marker>
          <c:cat>
            <c:strRef>
              <c:f>'Průměrné výdělky CZ-NACE'!$N$28:$N$47</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cat>
          <c:val>
            <c:numRef>
              <c:f>'Průměrné výdělky CZ-NACE'!$R$28:$R$47</c:f>
              <c:numCache>
                <c:formatCode>General</c:formatCode>
                <c:ptCount val="20"/>
                <c:pt idx="0">
                  <c:v>9900</c:v>
                </c:pt>
                <c:pt idx="1">
                  <c:v>9900</c:v>
                </c:pt>
                <c:pt idx="2">
                  <c:v>9900</c:v>
                </c:pt>
                <c:pt idx="3">
                  <c:v>9900</c:v>
                </c:pt>
                <c:pt idx="4">
                  <c:v>9900</c:v>
                </c:pt>
                <c:pt idx="5">
                  <c:v>9900</c:v>
                </c:pt>
                <c:pt idx="6">
                  <c:v>9900</c:v>
                </c:pt>
                <c:pt idx="7">
                  <c:v>9900</c:v>
                </c:pt>
                <c:pt idx="8">
                  <c:v>9900</c:v>
                </c:pt>
                <c:pt idx="9">
                  <c:v>9900</c:v>
                </c:pt>
                <c:pt idx="10">
                  <c:v>9900</c:v>
                </c:pt>
                <c:pt idx="11">
                  <c:v>9900</c:v>
                </c:pt>
                <c:pt idx="12">
                  <c:v>9900</c:v>
                </c:pt>
                <c:pt idx="13">
                  <c:v>9900</c:v>
                </c:pt>
                <c:pt idx="14">
                  <c:v>9900</c:v>
                </c:pt>
                <c:pt idx="15">
                  <c:v>9900</c:v>
                </c:pt>
                <c:pt idx="16">
                  <c:v>9900</c:v>
                </c:pt>
                <c:pt idx="17">
                  <c:v>9900</c:v>
                </c:pt>
                <c:pt idx="18">
                  <c:v>9900</c:v>
                </c:pt>
                <c:pt idx="19">
                  <c:v>9900</c:v>
                </c:pt>
              </c:numCache>
            </c:numRef>
          </c:val>
          <c:smooth val="0"/>
        </c:ser>
        <c:ser>
          <c:idx val="4"/>
          <c:order val="4"/>
          <c:tx>
            <c:strRef>
              <c:f>'Průměrné výdělky CZ-NACE'!$S$27</c:f>
              <c:strCache>
                <c:ptCount val="1"/>
                <c:pt idx="0">
                  <c:v>min. 2017</c:v>
                </c:pt>
              </c:strCache>
            </c:strRef>
          </c:tx>
          <c:spPr>
            <a:ln w="15875">
              <a:solidFill>
                <a:srgbClr val="FF0000"/>
              </a:solidFill>
              <a:prstDash val="dash"/>
            </a:ln>
          </c:spPr>
          <c:marker>
            <c:symbol val="none"/>
          </c:marker>
          <c:cat>
            <c:strRef>
              <c:f>'Průměrné výdělky CZ-NACE'!$N$28:$N$47</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cat>
          <c:val>
            <c:numRef>
              <c:f>'Průměrné výdělky CZ-NACE'!$S$28:$S$47</c:f>
              <c:numCache>
                <c:formatCode>General</c:formatCode>
                <c:ptCount val="20"/>
                <c:pt idx="0">
                  <c:v>11000</c:v>
                </c:pt>
                <c:pt idx="1">
                  <c:v>11000</c:v>
                </c:pt>
                <c:pt idx="2">
                  <c:v>11000</c:v>
                </c:pt>
                <c:pt idx="3">
                  <c:v>11000</c:v>
                </c:pt>
                <c:pt idx="4">
                  <c:v>11000</c:v>
                </c:pt>
                <c:pt idx="5">
                  <c:v>11000</c:v>
                </c:pt>
                <c:pt idx="6">
                  <c:v>11000</c:v>
                </c:pt>
                <c:pt idx="7">
                  <c:v>11000</c:v>
                </c:pt>
                <c:pt idx="8">
                  <c:v>11000</c:v>
                </c:pt>
                <c:pt idx="9">
                  <c:v>11000</c:v>
                </c:pt>
                <c:pt idx="10">
                  <c:v>11000</c:v>
                </c:pt>
                <c:pt idx="11">
                  <c:v>11000</c:v>
                </c:pt>
                <c:pt idx="12">
                  <c:v>11000</c:v>
                </c:pt>
                <c:pt idx="13">
                  <c:v>11000</c:v>
                </c:pt>
                <c:pt idx="14">
                  <c:v>11000</c:v>
                </c:pt>
                <c:pt idx="15">
                  <c:v>11000</c:v>
                </c:pt>
                <c:pt idx="16">
                  <c:v>11000</c:v>
                </c:pt>
                <c:pt idx="17">
                  <c:v>11000</c:v>
                </c:pt>
                <c:pt idx="18">
                  <c:v>11000</c:v>
                </c:pt>
                <c:pt idx="19">
                  <c:v>11000</c:v>
                </c:pt>
              </c:numCache>
            </c:numRef>
          </c:val>
          <c:smooth val="0"/>
        </c:ser>
        <c:ser>
          <c:idx val="6"/>
          <c:order val="6"/>
          <c:tx>
            <c:strRef>
              <c:f>'Průměrné výdělky CZ-NACE'!$T$27</c:f>
              <c:strCache>
                <c:ptCount val="1"/>
                <c:pt idx="0">
                  <c:v>min 2015</c:v>
                </c:pt>
              </c:strCache>
            </c:strRef>
          </c:tx>
          <c:spPr>
            <a:ln w="15875">
              <a:solidFill>
                <a:srgbClr val="FF0000"/>
              </a:solidFill>
              <a:prstDash val="lgDashDotDot"/>
            </a:ln>
          </c:spPr>
          <c:marker>
            <c:symbol val="none"/>
          </c:marker>
          <c:val>
            <c:numRef>
              <c:f>'Průměrné výdělky CZ-NACE'!$T$28:$T$47</c:f>
              <c:numCache>
                <c:formatCode>General</c:formatCode>
                <c:ptCount val="20"/>
                <c:pt idx="0">
                  <c:v>9200</c:v>
                </c:pt>
                <c:pt idx="1">
                  <c:v>9200</c:v>
                </c:pt>
                <c:pt idx="2">
                  <c:v>9200</c:v>
                </c:pt>
                <c:pt idx="3">
                  <c:v>9200</c:v>
                </c:pt>
                <c:pt idx="4">
                  <c:v>9200</c:v>
                </c:pt>
                <c:pt idx="5">
                  <c:v>9200</c:v>
                </c:pt>
                <c:pt idx="6">
                  <c:v>9200</c:v>
                </c:pt>
                <c:pt idx="7">
                  <c:v>9200</c:v>
                </c:pt>
                <c:pt idx="8">
                  <c:v>9200</c:v>
                </c:pt>
                <c:pt idx="9">
                  <c:v>9200</c:v>
                </c:pt>
                <c:pt idx="10">
                  <c:v>9200</c:v>
                </c:pt>
                <c:pt idx="11">
                  <c:v>9200</c:v>
                </c:pt>
                <c:pt idx="12">
                  <c:v>9200</c:v>
                </c:pt>
                <c:pt idx="13">
                  <c:v>9200</c:v>
                </c:pt>
                <c:pt idx="14">
                  <c:v>9200</c:v>
                </c:pt>
                <c:pt idx="15">
                  <c:v>9200</c:v>
                </c:pt>
                <c:pt idx="16">
                  <c:v>9200</c:v>
                </c:pt>
                <c:pt idx="17">
                  <c:v>9200</c:v>
                </c:pt>
                <c:pt idx="18">
                  <c:v>9200</c:v>
                </c:pt>
                <c:pt idx="19">
                  <c:v>9200</c:v>
                </c:pt>
              </c:numCache>
            </c:numRef>
          </c:val>
          <c:smooth val="0"/>
        </c:ser>
        <c:dLbls>
          <c:showLegendKey val="0"/>
          <c:showVal val="0"/>
          <c:showCatName val="0"/>
          <c:showSerName val="0"/>
          <c:showPercent val="0"/>
          <c:showBubbleSize val="0"/>
        </c:dLbls>
        <c:marker val="1"/>
        <c:smooth val="0"/>
        <c:axId val="167622912"/>
        <c:axId val="167625088"/>
      </c:lineChart>
      <c:scatterChart>
        <c:scatterStyle val="lineMarker"/>
        <c:varyColors val="0"/>
        <c:ser>
          <c:idx val="3"/>
          <c:order val="2"/>
          <c:tx>
            <c:strRef>
              <c:f>'Průměrné výdělky CZ-NACE'!$Q$27</c:f>
              <c:strCache>
                <c:ptCount val="1"/>
                <c:pt idx="0">
                  <c:v>roční růst (pravá osa)</c:v>
                </c:pt>
              </c:strCache>
            </c:strRef>
          </c:tx>
          <c:spPr>
            <a:ln w="28575">
              <a:noFill/>
            </a:ln>
          </c:spPr>
          <c:marker>
            <c:symbol val="triangle"/>
            <c:size val="8"/>
            <c:spPr>
              <a:solidFill>
                <a:srgbClr val="92D050"/>
              </a:solidFill>
              <a:ln>
                <a:solidFill>
                  <a:schemeClr val="tx1"/>
                </a:solidFill>
              </a:ln>
            </c:spPr>
          </c:marker>
          <c:dPt>
            <c:idx val="19"/>
            <c:marker>
              <c:spPr>
                <a:solidFill>
                  <a:srgbClr val="008000"/>
                </a:solidFill>
                <a:ln>
                  <a:solidFill>
                    <a:schemeClr val="tx1"/>
                  </a:solidFill>
                </a:ln>
              </c:spPr>
            </c:marker>
            <c:bubble3D val="0"/>
          </c:dPt>
          <c:xVal>
            <c:strRef>
              <c:f>'Průměrné výdělky CZ-NACE'!$N$28:$N$47</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xVal>
          <c:yVal>
            <c:numRef>
              <c:f>'Průměrné výdělky CZ-NACE'!$Q$28:$Q$47</c:f>
              <c:numCache>
                <c:formatCode>0.00%</c:formatCode>
                <c:ptCount val="20"/>
                <c:pt idx="0">
                  <c:v>4.2690471981615685E-2</c:v>
                </c:pt>
                <c:pt idx="1">
                  <c:v>4.4729969079282395E-3</c:v>
                </c:pt>
                <c:pt idx="2">
                  <c:v>4.4656190002133167E-2</c:v>
                </c:pt>
                <c:pt idx="3">
                  <c:v>1.949401562388009E-2</c:v>
                </c:pt>
                <c:pt idx="4">
                  <c:v>3.9996955512425325E-2</c:v>
                </c:pt>
                <c:pt idx="5">
                  <c:v>3.6106936644783705E-2</c:v>
                </c:pt>
                <c:pt idx="6">
                  <c:v>3.9630374265388291E-2</c:v>
                </c:pt>
                <c:pt idx="7">
                  <c:v>4.3112145906092358E-2</c:v>
                </c:pt>
                <c:pt idx="8">
                  <c:v>7.3752140129066168E-2</c:v>
                </c:pt>
                <c:pt idx="9">
                  <c:v>4.0393233477330481E-2</c:v>
                </c:pt>
                <c:pt idx="10">
                  <c:v>3.2463676313393197E-2</c:v>
                </c:pt>
                <c:pt idx="11">
                  <c:v>2.6335342194336642E-2</c:v>
                </c:pt>
                <c:pt idx="12">
                  <c:v>2.4150634465820664E-2</c:v>
                </c:pt>
                <c:pt idx="13">
                  <c:v>5.6319931473847618E-2</c:v>
                </c:pt>
                <c:pt idx="14">
                  <c:v>2.9540978639600146E-2</c:v>
                </c:pt>
                <c:pt idx="15">
                  <c:v>1.9509013282732468E-2</c:v>
                </c:pt>
                <c:pt idx="16">
                  <c:v>4.8823756266872298E-2</c:v>
                </c:pt>
                <c:pt idx="17">
                  <c:v>6.878140703517599E-2</c:v>
                </c:pt>
                <c:pt idx="18">
                  <c:v>3.305334846765029E-2</c:v>
                </c:pt>
                <c:pt idx="19">
                  <c:v>4.1114106019766394E-2</c:v>
                </c:pt>
              </c:numCache>
            </c:numRef>
          </c:yVal>
          <c:smooth val="0"/>
        </c:ser>
        <c:ser>
          <c:idx val="5"/>
          <c:order val="5"/>
          <c:tx>
            <c:strRef>
              <c:f>'Průměrné výdělky CZ-NACE'!$U$27</c:f>
              <c:strCache>
                <c:ptCount val="1"/>
                <c:pt idx="0">
                  <c:v>růst min mzdy 17/16 (pravá osa)</c:v>
                </c:pt>
              </c:strCache>
            </c:strRef>
          </c:tx>
          <c:spPr>
            <a:ln w="28575">
              <a:noFill/>
            </a:ln>
          </c:spPr>
          <c:marker>
            <c:symbol val="triangle"/>
            <c:size val="7"/>
            <c:spPr>
              <a:solidFill>
                <a:srgbClr val="FF0000"/>
              </a:solidFill>
              <a:ln>
                <a:solidFill>
                  <a:schemeClr val="tx1"/>
                </a:solidFill>
              </a:ln>
            </c:spPr>
          </c:marker>
          <c:xVal>
            <c:strRef>
              <c:f>'Průměrné výdělky CZ-NACE'!$N$28:$N$47</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xVal>
          <c:yVal>
            <c:numRef>
              <c:f>'Průměrné výdělky CZ-NACE'!$U$28:$U$47</c:f>
              <c:numCache>
                <c:formatCode>General</c:formatCode>
                <c:ptCount val="20"/>
                <c:pt idx="19" formatCode="0.00%">
                  <c:v>0.1111111111111111</c:v>
                </c:pt>
              </c:numCache>
            </c:numRef>
          </c:yVal>
          <c:smooth val="0"/>
        </c:ser>
        <c:ser>
          <c:idx val="7"/>
          <c:order val="7"/>
          <c:tx>
            <c:strRef>
              <c:f>'Průměrné výdělky CZ-NACE'!$V$27</c:f>
              <c:strCache>
                <c:ptCount val="1"/>
                <c:pt idx="0">
                  <c:v>růst min mzdy 16/15 (pravá osa)</c:v>
                </c:pt>
              </c:strCache>
            </c:strRef>
          </c:tx>
          <c:spPr>
            <a:ln w="28575">
              <a:noFill/>
            </a:ln>
          </c:spPr>
          <c:marker>
            <c:symbol val="triangle"/>
            <c:size val="8"/>
            <c:spPr>
              <a:pattFill prst="pct25">
                <a:fgClr>
                  <a:srgbClr val="FF0000"/>
                </a:fgClr>
                <a:bgClr>
                  <a:schemeClr val="bg1"/>
                </a:bgClr>
              </a:pattFill>
              <a:ln>
                <a:solidFill>
                  <a:srgbClr val="FF0000"/>
                </a:solidFill>
              </a:ln>
            </c:spPr>
          </c:marker>
          <c:xVal>
            <c:strRef>
              <c:f>'Průměrné výdělky CZ-NACE'!$N$28:$N$47</c:f>
              <c:strCache>
                <c:ptCount val="20"/>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Q</c:v>
                </c:pt>
                <c:pt idx="17">
                  <c:v>R</c:v>
                </c:pt>
                <c:pt idx="18">
                  <c:v>S</c:v>
                </c:pt>
                <c:pt idx="19">
                  <c:v>ČR</c:v>
                </c:pt>
              </c:strCache>
            </c:strRef>
          </c:xVal>
          <c:yVal>
            <c:numRef>
              <c:f>'Průměrné výdělky CZ-NACE'!$V$28:$V$47</c:f>
              <c:numCache>
                <c:formatCode>General</c:formatCode>
                <c:ptCount val="20"/>
                <c:pt idx="19" formatCode="0.00%">
                  <c:v>7.6086956521739135E-2</c:v>
                </c:pt>
              </c:numCache>
            </c:numRef>
          </c:yVal>
          <c:smooth val="0"/>
        </c:ser>
        <c:dLbls>
          <c:showLegendKey val="0"/>
          <c:showVal val="0"/>
          <c:showCatName val="0"/>
          <c:showSerName val="0"/>
          <c:showPercent val="0"/>
          <c:showBubbleSize val="0"/>
        </c:dLbls>
        <c:axId val="167628160"/>
        <c:axId val="167626624"/>
      </c:scatterChart>
      <c:catAx>
        <c:axId val="167622912"/>
        <c:scaling>
          <c:orientation val="minMax"/>
        </c:scaling>
        <c:delete val="0"/>
        <c:axPos val="b"/>
        <c:majorTickMark val="out"/>
        <c:minorTickMark val="none"/>
        <c:tickLblPos val="nextTo"/>
        <c:txPr>
          <a:bodyPr/>
          <a:lstStyle/>
          <a:p>
            <a:pPr>
              <a:defRPr sz="800"/>
            </a:pPr>
            <a:endParaRPr lang="cs-CZ"/>
          </a:p>
        </c:txPr>
        <c:crossAx val="167625088"/>
        <c:crosses val="autoZero"/>
        <c:auto val="1"/>
        <c:lblAlgn val="ctr"/>
        <c:lblOffset val="100"/>
        <c:noMultiLvlLbl val="0"/>
      </c:catAx>
      <c:valAx>
        <c:axId val="167625088"/>
        <c:scaling>
          <c:orientation val="minMax"/>
          <c:max val="55000"/>
          <c:min val="0"/>
        </c:scaling>
        <c:delete val="0"/>
        <c:axPos val="l"/>
        <c:majorGridlines/>
        <c:numFmt formatCode="General" sourceLinked="1"/>
        <c:majorTickMark val="out"/>
        <c:minorTickMark val="none"/>
        <c:tickLblPos val="nextTo"/>
        <c:txPr>
          <a:bodyPr/>
          <a:lstStyle/>
          <a:p>
            <a:pPr>
              <a:defRPr sz="800"/>
            </a:pPr>
            <a:endParaRPr lang="cs-CZ"/>
          </a:p>
        </c:txPr>
        <c:crossAx val="167622912"/>
        <c:crosses val="autoZero"/>
        <c:crossBetween val="between"/>
      </c:valAx>
      <c:valAx>
        <c:axId val="167626624"/>
        <c:scaling>
          <c:orientation val="minMax"/>
          <c:max val="0.27500000000000002"/>
          <c:min val="0"/>
        </c:scaling>
        <c:delete val="0"/>
        <c:axPos val="r"/>
        <c:majorGridlines/>
        <c:minorGridlines/>
        <c:numFmt formatCode="0.00%" sourceLinked="1"/>
        <c:majorTickMark val="out"/>
        <c:minorTickMark val="out"/>
        <c:tickLblPos val="nextTo"/>
        <c:txPr>
          <a:bodyPr/>
          <a:lstStyle/>
          <a:p>
            <a:pPr>
              <a:defRPr sz="800"/>
            </a:pPr>
            <a:endParaRPr lang="cs-CZ"/>
          </a:p>
        </c:txPr>
        <c:crossAx val="167628160"/>
        <c:crosses val="max"/>
        <c:crossBetween val="midCat"/>
      </c:valAx>
      <c:valAx>
        <c:axId val="167628160"/>
        <c:scaling>
          <c:orientation val="minMax"/>
        </c:scaling>
        <c:delete val="1"/>
        <c:axPos val="b"/>
        <c:majorTickMark val="out"/>
        <c:minorTickMark val="none"/>
        <c:tickLblPos val="nextTo"/>
        <c:crossAx val="167626624"/>
        <c:crosses val="autoZero"/>
        <c:crossBetween val="midCat"/>
      </c:valAx>
    </c:plotArea>
    <c:legend>
      <c:legendPos val="b"/>
      <c:layout>
        <c:manualLayout>
          <c:xMode val="edge"/>
          <c:yMode val="edge"/>
          <c:x val="2.6683165456240644E-2"/>
          <c:y val="0.84845940569562184"/>
          <c:w val="0.9422686709615844"/>
          <c:h val="0.13170542988484821"/>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49148086006793E-2"/>
          <c:y val="5.0925925925925923E-2"/>
          <c:w val="0.66391229890364956"/>
          <c:h val="0.85026975794692328"/>
        </c:manualLayout>
      </c:layout>
      <c:barChart>
        <c:barDir val="col"/>
        <c:grouping val="clustered"/>
        <c:varyColors val="0"/>
        <c:ser>
          <c:idx val="0"/>
          <c:order val="0"/>
          <c:tx>
            <c:strRef>
              <c:f>'Průměrné výdělky'!$AL$8</c:f>
              <c:strCache>
                <c:ptCount val="1"/>
                <c:pt idx="0">
                  <c:v>Průměr do 1 roku</c:v>
                </c:pt>
              </c:strCache>
            </c:strRef>
          </c:tx>
          <c:spPr>
            <a:solidFill>
              <a:schemeClr val="tx2">
                <a:lumMod val="40000"/>
                <a:lumOff val="60000"/>
              </a:schemeClr>
            </a:solidFill>
          </c:spPr>
          <c:invertIfNegative val="0"/>
          <c:cat>
            <c:numRef>
              <c:f>'Průměrné výdělky'!$AM$7:$AO$7</c:f>
              <c:numCache>
                <c:formatCode>General</c:formatCode>
                <c:ptCount val="3"/>
                <c:pt idx="0">
                  <c:v>2014</c:v>
                </c:pt>
                <c:pt idx="1">
                  <c:v>2015</c:v>
                </c:pt>
                <c:pt idx="2">
                  <c:v>2016</c:v>
                </c:pt>
              </c:numCache>
            </c:numRef>
          </c:cat>
          <c:val>
            <c:numRef>
              <c:f>'Průměrné výdělky'!$AM$8:$AO$8</c:f>
              <c:numCache>
                <c:formatCode>#,##0</c:formatCode>
                <c:ptCount val="3"/>
                <c:pt idx="0">
                  <c:v>20776</c:v>
                </c:pt>
                <c:pt idx="1">
                  <c:v>22112</c:v>
                </c:pt>
                <c:pt idx="2">
                  <c:v>23035</c:v>
                </c:pt>
              </c:numCache>
            </c:numRef>
          </c:val>
        </c:ser>
        <c:ser>
          <c:idx val="1"/>
          <c:order val="1"/>
          <c:tx>
            <c:strRef>
              <c:f>'Průměrné výdělky'!$AL$9</c:f>
              <c:strCache>
                <c:ptCount val="1"/>
                <c:pt idx="0">
                  <c:v>Medián do 1 roku</c:v>
                </c:pt>
              </c:strCache>
            </c:strRef>
          </c:tx>
          <c:spPr>
            <a:solidFill>
              <a:schemeClr val="accent2">
                <a:lumMod val="40000"/>
                <a:lumOff val="60000"/>
              </a:schemeClr>
            </a:solidFill>
          </c:spPr>
          <c:invertIfNegative val="0"/>
          <c:cat>
            <c:numRef>
              <c:f>'Průměrné výdělky'!$AM$7:$AO$7</c:f>
              <c:numCache>
                <c:formatCode>General</c:formatCode>
                <c:ptCount val="3"/>
                <c:pt idx="0">
                  <c:v>2014</c:v>
                </c:pt>
                <c:pt idx="1">
                  <c:v>2015</c:v>
                </c:pt>
                <c:pt idx="2">
                  <c:v>2016</c:v>
                </c:pt>
              </c:numCache>
            </c:numRef>
          </c:cat>
          <c:val>
            <c:numRef>
              <c:f>'Průměrné výdělky'!$AM$9:$AO$9</c:f>
              <c:numCache>
                <c:formatCode>#,##0</c:formatCode>
                <c:ptCount val="3"/>
                <c:pt idx="0">
                  <c:v>17917</c:v>
                </c:pt>
                <c:pt idx="1">
                  <c:v>18949</c:v>
                </c:pt>
                <c:pt idx="2">
                  <c:v>20294</c:v>
                </c:pt>
              </c:numCache>
            </c:numRef>
          </c:val>
        </c:ser>
        <c:ser>
          <c:idx val="4"/>
          <c:order val="4"/>
          <c:tx>
            <c:strRef>
              <c:f>'Průměrné výdělky'!$AL$12</c:f>
              <c:strCache>
                <c:ptCount val="1"/>
                <c:pt idx="0">
                  <c:v>Průměr celkem</c:v>
                </c:pt>
              </c:strCache>
            </c:strRef>
          </c:tx>
          <c:spPr>
            <a:pattFill prst="ltDnDiag">
              <a:fgClr>
                <a:schemeClr val="tx2">
                  <a:lumMod val="40000"/>
                  <a:lumOff val="60000"/>
                </a:schemeClr>
              </a:fgClr>
              <a:bgClr>
                <a:schemeClr val="bg1"/>
              </a:bgClr>
            </a:pattFill>
          </c:spPr>
          <c:invertIfNegative val="0"/>
          <c:cat>
            <c:numRef>
              <c:f>'Průměrné výdělky'!$AM$7:$AO$7</c:f>
              <c:numCache>
                <c:formatCode>General</c:formatCode>
                <c:ptCount val="3"/>
                <c:pt idx="0">
                  <c:v>2014</c:v>
                </c:pt>
                <c:pt idx="1">
                  <c:v>2015</c:v>
                </c:pt>
                <c:pt idx="2">
                  <c:v>2016</c:v>
                </c:pt>
              </c:numCache>
            </c:numRef>
          </c:cat>
          <c:val>
            <c:numRef>
              <c:f>'Průměrné výdělky'!$AM$12:$AO$12</c:f>
              <c:numCache>
                <c:formatCode>#,##0</c:formatCode>
                <c:ptCount val="3"/>
                <c:pt idx="0">
                  <c:v>26802</c:v>
                </c:pt>
                <c:pt idx="1">
                  <c:v>27811</c:v>
                </c:pt>
                <c:pt idx="2">
                  <c:v>29061</c:v>
                </c:pt>
              </c:numCache>
            </c:numRef>
          </c:val>
        </c:ser>
        <c:ser>
          <c:idx val="5"/>
          <c:order val="5"/>
          <c:tx>
            <c:strRef>
              <c:f>'Průměrné výdělky'!$AL$13</c:f>
              <c:strCache>
                <c:ptCount val="1"/>
                <c:pt idx="0">
                  <c:v>Medián celkem</c:v>
                </c:pt>
              </c:strCache>
            </c:strRef>
          </c:tx>
          <c:spPr>
            <a:pattFill prst="ltUpDiag">
              <a:fgClr>
                <a:schemeClr val="accent2">
                  <a:lumMod val="60000"/>
                  <a:lumOff val="40000"/>
                </a:schemeClr>
              </a:fgClr>
              <a:bgClr>
                <a:schemeClr val="bg1"/>
              </a:bgClr>
            </a:pattFill>
          </c:spPr>
          <c:invertIfNegative val="0"/>
          <c:cat>
            <c:numRef>
              <c:f>'Průměrné výdělky'!$AM$7:$AO$7</c:f>
              <c:numCache>
                <c:formatCode>General</c:formatCode>
                <c:ptCount val="3"/>
                <c:pt idx="0">
                  <c:v>2014</c:v>
                </c:pt>
                <c:pt idx="1">
                  <c:v>2015</c:v>
                </c:pt>
                <c:pt idx="2">
                  <c:v>2016</c:v>
                </c:pt>
              </c:numCache>
            </c:numRef>
          </c:cat>
          <c:val>
            <c:numRef>
              <c:f>'Průměrné výdělky'!$AM$13:$AO$13</c:f>
              <c:numCache>
                <c:formatCode>#,##0</c:formatCode>
                <c:ptCount val="3"/>
                <c:pt idx="0">
                  <c:v>22844</c:v>
                </c:pt>
                <c:pt idx="1">
                  <c:v>23726</c:v>
                </c:pt>
                <c:pt idx="2">
                  <c:v>24934</c:v>
                </c:pt>
              </c:numCache>
            </c:numRef>
          </c:val>
        </c:ser>
        <c:dLbls>
          <c:showLegendKey val="0"/>
          <c:showVal val="0"/>
          <c:showCatName val="0"/>
          <c:showSerName val="0"/>
          <c:showPercent val="0"/>
          <c:showBubbleSize val="0"/>
        </c:dLbls>
        <c:gapWidth val="150"/>
        <c:axId val="167744256"/>
        <c:axId val="167745792"/>
      </c:barChart>
      <c:lineChart>
        <c:grouping val="standard"/>
        <c:varyColors val="0"/>
        <c:ser>
          <c:idx val="2"/>
          <c:order val="2"/>
          <c:tx>
            <c:strRef>
              <c:f>'Průměrné výdělky'!$AL$10</c:f>
              <c:strCache>
                <c:ptCount val="1"/>
                <c:pt idx="0">
                  <c:v>Podíl k mediánu</c:v>
                </c:pt>
              </c:strCache>
            </c:strRef>
          </c:tx>
          <c:spPr>
            <a:ln>
              <a:solidFill>
                <a:schemeClr val="accent2">
                  <a:lumMod val="60000"/>
                  <a:lumOff val="40000"/>
                </a:schemeClr>
              </a:solidFill>
            </a:ln>
          </c:spPr>
          <c:marker>
            <c:symbol val="none"/>
          </c:marker>
          <c:cat>
            <c:numRef>
              <c:f>'Průměrné výdělky'!$AM$7:$AO$7</c:f>
              <c:numCache>
                <c:formatCode>General</c:formatCode>
                <c:ptCount val="3"/>
                <c:pt idx="0">
                  <c:v>2014</c:v>
                </c:pt>
                <c:pt idx="1">
                  <c:v>2015</c:v>
                </c:pt>
                <c:pt idx="2">
                  <c:v>2016</c:v>
                </c:pt>
              </c:numCache>
            </c:numRef>
          </c:cat>
          <c:val>
            <c:numRef>
              <c:f>'Průměrné výdělky'!$AM$10:$AO$10</c:f>
              <c:numCache>
                <c:formatCode>0.00%</c:formatCode>
                <c:ptCount val="3"/>
                <c:pt idx="0">
                  <c:v>0.78431973384696196</c:v>
                </c:pt>
                <c:pt idx="1">
                  <c:v>0.79865969822136051</c:v>
                </c:pt>
                <c:pt idx="2">
                  <c:v>0.81390871901820805</c:v>
                </c:pt>
              </c:numCache>
            </c:numRef>
          </c:val>
          <c:smooth val="0"/>
        </c:ser>
        <c:ser>
          <c:idx val="3"/>
          <c:order val="3"/>
          <c:tx>
            <c:strRef>
              <c:f>'Průměrné výdělky'!$AL$11</c:f>
              <c:strCache>
                <c:ptCount val="1"/>
                <c:pt idx="0">
                  <c:v>Podíl k průměru</c:v>
                </c:pt>
              </c:strCache>
            </c:strRef>
          </c:tx>
          <c:spPr>
            <a:ln>
              <a:solidFill>
                <a:schemeClr val="tx2">
                  <a:lumMod val="60000"/>
                  <a:lumOff val="40000"/>
                </a:schemeClr>
              </a:solidFill>
            </a:ln>
          </c:spPr>
          <c:marker>
            <c:symbol val="none"/>
          </c:marker>
          <c:cat>
            <c:numRef>
              <c:f>'Průměrné výdělky'!$AM$7:$AO$7</c:f>
              <c:numCache>
                <c:formatCode>General</c:formatCode>
                <c:ptCount val="3"/>
                <c:pt idx="0">
                  <c:v>2014</c:v>
                </c:pt>
                <c:pt idx="1">
                  <c:v>2015</c:v>
                </c:pt>
                <c:pt idx="2">
                  <c:v>2016</c:v>
                </c:pt>
              </c:numCache>
            </c:numRef>
          </c:cat>
          <c:val>
            <c:numRef>
              <c:f>'Průměrné výdělky'!$AM$11:$AO$11</c:f>
              <c:numCache>
                <c:formatCode>0.00%</c:formatCode>
                <c:ptCount val="3"/>
                <c:pt idx="0">
                  <c:v>0.77516603238564286</c:v>
                </c:pt>
                <c:pt idx="1">
                  <c:v>0.79508108302470248</c:v>
                </c:pt>
                <c:pt idx="2">
                  <c:v>0.79264306114724203</c:v>
                </c:pt>
              </c:numCache>
            </c:numRef>
          </c:val>
          <c:smooth val="0"/>
        </c:ser>
        <c:dLbls>
          <c:showLegendKey val="0"/>
          <c:showVal val="0"/>
          <c:showCatName val="0"/>
          <c:showSerName val="0"/>
          <c:showPercent val="0"/>
          <c:showBubbleSize val="0"/>
        </c:dLbls>
        <c:marker val="1"/>
        <c:smooth val="0"/>
        <c:axId val="167753216"/>
        <c:axId val="167751680"/>
      </c:lineChart>
      <c:catAx>
        <c:axId val="167744256"/>
        <c:scaling>
          <c:orientation val="minMax"/>
        </c:scaling>
        <c:delete val="0"/>
        <c:axPos val="b"/>
        <c:numFmt formatCode="General" sourceLinked="1"/>
        <c:majorTickMark val="out"/>
        <c:minorTickMark val="none"/>
        <c:tickLblPos val="nextTo"/>
        <c:txPr>
          <a:bodyPr/>
          <a:lstStyle/>
          <a:p>
            <a:pPr>
              <a:defRPr sz="800"/>
            </a:pPr>
            <a:endParaRPr lang="cs-CZ"/>
          </a:p>
        </c:txPr>
        <c:crossAx val="167745792"/>
        <c:crosses val="autoZero"/>
        <c:auto val="1"/>
        <c:lblAlgn val="ctr"/>
        <c:lblOffset val="100"/>
        <c:noMultiLvlLbl val="0"/>
      </c:catAx>
      <c:valAx>
        <c:axId val="167745792"/>
        <c:scaling>
          <c:orientation val="minMax"/>
        </c:scaling>
        <c:delete val="0"/>
        <c:axPos val="l"/>
        <c:majorGridlines/>
        <c:numFmt formatCode="#,##0" sourceLinked="1"/>
        <c:majorTickMark val="out"/>
        <c:minorTickMark val="none"/>
        <c:tickLblPos val="nextTo"/>
        <c:txPr>
          <a:bodyPr/>
          <a:lstStyle/>
          <a:p>
            <a:pPr>
              <a:defRPr sz="800"/>
            </a:pPr>
            <a:endParaRPr lang="cs-CZ"/>
          </a:p>
        </c:txPr>
        <c:crossAx val="167744256"/>
        <c:crosses val="autoZero"/>
        <c:crossBetween val="between"/>
      </c:valAx>
      <c:valAx>
        <c:axId val="167751680"/>
        <c:scaling>
          <c:orientation val="minMax"/>
        </c:scaling>
        <c:delete val="0"/>
        <c:axPos val="r"/>
        <c:numFmt formatCode="0.00%" sourceLinked="1"/>
        <c:majorTickMark val="out"/>
        <c:minorTickMark val="none"/>
        <c:tickLblPos val="nextTo"/>
        <c:txPr>
          <a:bodyPr/>
          <a:lstStyle/>
          <a:p>
            <a:pPr>
              <a:defRPr sz="800"/>
            </a:pPr>
            <a:endParaRPr lang="cs-CZ"/>
          </a:p>
        </c:txPr>
        <c:crossAx val="167753216"/>
        <c:crosses val="max"/>
        <c:crossBetween val="between"/>
      </c:valAx>
      <c:catAx>
        <c:axId val="167753216"/>
        <c:scaling>
          <c:orientation val="minMax"/>
        </c:scaling>
        <c:delete val="1"/>
        <c:axPos val="b"/>
        <c:numFmt formatCode="General" sourceLinked="1"/>
        <c:majorTickMark val="out"/>
        <c:minorTickMark val="none"/>
        <c:tickLblPos val="nextTo"/>
        <c:crossAx val="167751680"/>
        <c:crosses val="autoZero"/>
        <c:auto val="1"/>
        <c:lblAlgn val="ctr"/>
        <c:lblOffset val="100"/>
        <c:noMultiLvlLbl val="0"/>
      </c:catAx>
    </c:plotArea>
    <c:legend>
      <c:legendPos val="r"/>
      <c:layout>
        <c:manualLayout>
          <c:xMode val="edge"/>
          <c:yMode val="edge"/>
          <c:x val="0.82005231094977882"/>
          <c:y val="6.4805701370661994E-2"/>
          <c:w val="0.16673338973124227"/>
          <c:h val="0.86575896762904636"/>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'Průměrné výdělky CZ-NACE'!$O$61</c:f>
              <c:strCache>
                <c:ptCount val="1"/>
                <c:pt idx="0">
                  <c:v>2015 (rok)</c:v>
                </c:pt>
              </c:strCache>
            </c:strRef>
          </c:tx>
          <c:spPr>
            <a:solidFill>
              <a:schemeClr val="accent4">
                <a:lumMod val="40000"/>
                <a:lumOff val="60000"/>
              </a:schemeClr>
            </a:solidFill>
          </c:spPr>
          <c:invertIfNegative val="0"/>
          <c:dPt>
            <c:idx val="4"/>
            <c:invertIfNegative val="0"/>
            <c:bubble3D val="0"/>
            <c:spPr>
              <a:solidFill>
                <a:schemeClr val="accent4">
                  <a:lumMod val="60000"/>
                  <a:lumOff val="40000"/>
                </a:schemeClr>
              </a:solidFill>
            </c:spPr>
          </c:dPt>
          <c:dPt>
            <c:idx val="19"/>
            <c:invertIfNegative val="0"/>
            <c:bubble3D val="0"/>
          </c:dPt>
          <c:cat>
            <c:strRef>
              <c:f>'Průměrné výdělky CZ-NACE'!$N$62:$N$66</c:f>
              <c:strCache>
                <c:ptCount val="5"/>
                <c:pt idx="0">
                  <c:v>O</c:v>
                </c:pt>
                <c:pt idx="1">
                  <c:v>P</c:v>
                </c:pt>
                <c:pt idx="2">
                  <c:v>Q</c:v>
                </c:pt>
                <c:pt idx="3">
                  <c:v>R</c:v>
                </c:pt>
                <c:pt idx="4">
                  <c:v>ČR</c:v>
                </c:pt>
              </c:strCache>
            </c:strRef>
          </c:cat>
          <c:val>
            <c:numRef>
              <c:f>'Průměrné výdělky CZ-NACE'!$O$62:$O$66</c:f>
              <c:numCache>
                <c:formatCode>#,##0</c:formatCode>
                <c:ptCount val="5"/>
                <c:pt idx="0">
                  <c:v>29741</c:v>
                </c:pt>
                <c:pt idx="1">
                  <c:v>25108</c:v>
                </c:pt>
                <c:pt idx="2">
                  <c:v>29311</c:v>
                </c:pt>
                <c:pt idx="3">
                  <c:v>23458</c:v>
                </c:pt>
                <c:pt idx="4">
                  <c:v>27959</c:v>
                </c:pt>
              </c:numCache>
            </c:numRef>
          </c:val>
        </c:ser>
        <c:ser>
          <c:idx val="2"/>
          <c:order val="1"/>
          <c:tx>
            <c:strRef>
              <c:f>'Průměrné výdělky CZ-NACE'!$P$61</c:f>
              <c:strCache>
                <c:ptCount val="1"/>
                <c:pt idx="0">
                  <c:v>2016 (rok)</c:v>
                </c:pt>
              </c:strCache>
            </c:strRef>
          </c:tx>
          <c:spPr>
            <a:solidFill>
              <a:schemeClr val="accent6">
                <a:lumMod val="40000"/>
                <a:lumOff val="60000"/>
              </a:schemeClr>
            </a:solidFill>
          </c:spPr>
          <c:invertIfNegative val="0"/>
          <c:dPt>
            <c:idx val="4"/>
            <c:invertIfNegative val="0"/>
            <c:bubble3D val="0"/>
            <c:spPr>
              <a:solidFill>
                <a:schemeClr val="accent6">
                  <a:lumMod val="60000"/>
                  <a:lumOff val="40000"/>
                </a:schemeClr>
              </a:solidFill>
            </c:spPr>
          </c:dPt>
          <c:dPt>
            <c:idx val="19"/>
            <c:invertIfNegative val="0"/>
            <c:bubble3D val="0"/>
          </c:dPt>
          <c:cat>
            <c:strRef>
              <c:f>'Průměrné výdělky CZ-NACE'!$N$62:$N$66</c:f>
              <c:strCache>
                <c:ptCount val="5"/>
                <c:pt idx="0">
                  <c:v>O</c:v>
                </c:pt>
                <c:pt idx="1">
                  <c:v>P</c:v>
                </c:pt>
                <c:pt idx="2">
                  <c:v>Q</c:v>
                </c:pt>
                <c:pt idx="3">
                  <c:v>R</c:v>
                </c:pt>
                <c:pt idx="4">
                  <c:v>ČR</c:v>
                </c:pt>
              </c:strCache>
            </c:strRef>
          </c:cat>
          <c:val>
            <c:numRef>
              <c:f>'Průměrné výdělky CZ-NACE'!$P$62:$P$66</c:f>
              <c:numCache>
                <c:formatCode>#,##0</c:formatCode>
                <c:ptCount val="5"/>
                <c:pt idx="0">
                  <c:v>31551</c:v>
                </c:pt>
                <c:pt idx="1">
                  <c:v>26288</c:v>
                </c:pt>
                <c:pt idx="2">
                  <c:v>31003</c:v>
                </c:pt>
                <c:pt idx="3">
                  <c:v>24631</c:v>
                </c:pt>
                <c:pt idx="4">
                  <c:v>29501</c:v>
                </c:pt>
              </c:numCache>
            </c:numRef>
          </c:val>
        </c:ser>
        <c:dLbls>
          <c:showLegendKey val="0"/>
          <c:showVal val="0"/>
          <c:showCatName val="0"/>
          <c:showSerName val="0"/>
          <c:showPercent val="0"/>
          <c:showBubbleSize val="0"/>
        </c:dLbls>
        <c:gapWidth val="150"/>
        <c:axId val="167922304"/>
        <c:axId val="167928192"/>
      </c:barChart>
      <c:scatterChart>
        <c:scatterStyle val="lineMarker"/>
        <c:varyColors val="0"/>
        <c:ser>
          <c:idx val="3"/>
          <c:order val="2"/>
          <c:tx>
            <c:strRef>
              <c:f>'Průměrné výdělky CZ-NACE'!$Q$61</c:f>
              <c:strCache>
                <c:ptCount val="1"/>
                <c:pt idx="0">
                  <c:v>roční růst</c:v>
                </c:pt>
              </c:strCache>
            </c:strRef>
          </c:tx>
          <c:spPr>
            <a:ln w="28575">
              <a:noFill/>
            </a:ln>
          </c:spPr>
          <c:marker>
            <c:symbol val="triangle"/>
            <c:size val="8"/>
            <c:spPr>
              <a:solidFill>
                <a:srgbClr val="92D050"/>
              </a:solidFill>
            </c:spPr>
          </c:marker>
          <c:dPt>
            <c:idx val="4"/>
            <c:marker>
              <c:spPr>
                <a:solidFill>
                  <a:srgbClr val="00B050"/>
                </a:solidFill>
              </c:spPr>
            </c:marker>
            <c:bubble3D val="0"/>
          </c:dPt>
          <c:dPt>
            <c:idx val="19"/>
            <c:marker>
              <c:spPr>
                <a:solidFill>
                  <a:srgbClr val="008000"/>
                </a:solidFill>
              </c:spPr>
            </c:marker>
            <c:bubble3D val="0"/>
          </c:dPt>
          <c:xVal>
            <c:strRef>
              <c:f>'Průměrné výdělky CZ-NACE'!$N$62:$N$66</c:f>
              <c:strCache>
                <c:ptCount val="5"/>
                <c:pt idx="0">
                  <c:v>O</c:v>
                </c:pt>
                <c:pt idx="1">
                  <c:v>P</c:v>
                </c:pt>
                <c:pt idx="2">
                  <c:v>Q</c:v>
                </c:pt>
                <c:pt idx="3">
                  <c:v>R</c:v>
                </c:pt>
                <c:pt idx="4">
                  <c:v>ČR</c:v>
                </c:pt>
              </c:strCache>
            </c:strRef>
          </c:xVal>
          <c:yVal>
            <c:numRef>
              <c:f>'Průměrné výdělky CZ-NACE'!$Q$62:$Q$66</c:f>
              <c:numCache>
                <c:formatCode>0.00%</c:formatCode>
                <c:ptCount val="5"/>
                <c:pt idx="0">
                  <c:v>6.0858747184022059E-2</c:v>
                </c:pt>
                <c:pt idx="1">
                  <c:v>4.6996973076310337E-2</c:v>
                </c:pt>
                <c:pt idx="2">
                  <c:v>5.7725768482822147E-2</c:v>
                </c:pt>
                <c:pt idx="3">
                  <c:v>5.000426293801688E-2</c:v>
                </c:pt>
                <c:pt idx="4">
                  <c:v>5.5152187131156334E-2</c:v>
                </c:pt>
              </c:numCache>
            </c:numRef>
          </c:yVal>
          <c:smooth val="0"/>
        </c:ser>
        <c:dLbls>
          <c:showLegendKey val="0"/>
          <c:showVal val="0"/>
          <c:showCatName val="0"/>
          <c:showSerName val="0"/>
          <c:showPercent val="0"/>
          <c:showBubbleSize val="0"/>
        </c:dLbls>
        <c:axId val="167931264"/>
        <c:axId val="167929728"/>
      </c:scatterChart>
      <c:catAx>
        <c:axId val="167922304"/>
        <c:scaling>
          <c:orientation val="minMax"/>
        </c:scaling>
        <c:delete val="0"/>
        <c:axPos val="b"/>
        <c:majorTickMark val="out"/>
        <c:minorTickMark val="none"/>
        <c:tickLblPos val="nextTo"/>
        <c:txPr>
          <a:bodyPr/>
          <a:lstStyle/>
          <a:p>
            <a:pPr>
              <a:defRPr sz="800"/>
            </a:pPr>
            <a:endParaRPr lang="cs-CZ"/>
          </a:p>
        </c:txPr>
        <c:crossAx val="167928192"/>
        <c:crosses val="autoZero"/>
        <c:auto val="1"/>
        <c:lblAlgn val="ctr"/>
        <c:lblOffset val="100"/>
        <c:noMultiLvlLbl val="0"/>
      </c:catAx>
      <c:valAx>
        <c:axId val="167928192"/>
        <c:scaling>
          <c:orientation val="minMax"/>
          <c:max val="30000"/>
          <c:min val="0"/>
        </c:scaling>
        <c:delete val="0"/>
        <c:axPos val="l"/>
        <c:majorGridlines/>
        <c:numFmt formatCode="#,##0" sourceLinked="1"/>
        <c:majorTickMark val="out"/>
        <c:minorTickMark val="none"/>
        <c:tickLblPos val="nextTo"/>
        <c:txPr>
          <a:bodyPr/>
          <a:lstStyle/>
          <a:p>
            <a:pPr>
              <a:defRPr sz="800"/>
            </a:pPr>
            <a:endParaRPr lang="cs-CZ"/>
          </a:p>
        </c:txPr>
        <c:crossAx val="167922304"/>
        <c:crosses val="autoZero"/>
        <c:crossBetween val="between"/>
      </c:valAx>
      <c:valAx>
        <c:axId val="167929728"/>
        <c:scaling>
          <c:orientation val="minMax"/>
          <c:max val="0.15000000000000002"/>
          <c:min val="0"/>
        </c:scaling>
        <c:delete val="0"/>
        <c:axPos val="r"/>
        <c:majorGridlines/>
        <c:minorGridlines/>
        <c:numFmt formatCode="0.00%" sourceLinked="1"/>
        <c:majorTickMark val="out"/>
        <c:minorTickMark val="out"/>
        <c:tickLblPos val="nextTo"/>
        <c:txPr>
          <a:bodyPr/>
          <a:lstStyle/>
          <a:p>
            <a:pPr>
              <a:defRPr sz="800"/>
            </a:pPr>
            <a:endParaRPr lang="cs-CZ"/>
          </a:p>
        </c:txPr>
        <c:crossAx val="167931264"/>
        <c:crosses val="max"/>
        <c:crossBetween val="midCat"/>
        <c:majorUnit val="2.5000000000000005E-2"/>
      </c:valAx>
      <c:valAx>
        <c:axId val="167931264"/>
        <c:scaling>
          <c:orientation val="minMax"/>
        </c:scaling>
        <c:delete val="1"/>
        <c:axPos val="b"/>
        <c:majorTickMark val="out"/>
        <c:minorTickMark val="none"/>
        <c:tickLblPos val="nextTo"/>
        <c:crossAx val="167929728"/>
        <c:crosses val="autoZero"/>
        <c:crossBetween val="midCat"/>
      </c:valAx>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476836575458337E-2"/>
          <c:y val="0.1346402508934938"/>
          <c:w val="0.86024769596689976"/>
          <c:h val="0.63523417704274865"/>
        </c:manualLayout>
      </c:layout>
      <c:barChart>
        <c:barDir val="col"/>
        <c:grouping val="clustered"/>
        <c:varyColors val="0"/>
        <c:ser>
          <c:idx val="0"/>
          <c:order val="0"/>
          <c:tx>
            <c:strRef>
              <c:f>'Průměrné výdělky'!$AF$23</c:f>
              <c:strCache>
                <c:ptCount val="1"/>
                <c:pt idx="0">
                  <c:v>meziroční nárůst mezd 2015/2016 absolutně</c:v>
                </c:pt>
              </c:strCache>
            </c:strRef>
          </c:tx>
          <c:spPr>
            <a:solidFill>
              <a:schemeClr val="accent6">
                <a:lumMod val="40000"/>
                <a:lumOff val="60000"/>
              </a:schemeClr>
            </a:solidFill>
          </c:spPr>
          <c:invertIfNegative val="0"/>
          <c:cat>
            <c:strRef>
              <c:f>'Průměrné výdělky'!$AE$24:$AE$34</c:f>
              <c:strCache>
                <c:ptCount val="11"/>
                <c:pt idx="0">
                  <c:v>Zaměstn. ozbr. sil.</c:v>
                </c:pt>
                <c:pt idx="1">
                  <c:v>Řídící prac.</c:v>
                </c:pt>
                <c:pt idx="2">
                  <c:v>Specialisté</c:v>
                </c:pt>
                <c:pt idx="3">
                  <c:v>Tech. a odbor. prac.</c:v>
                </c:pt>
                <c:pt idx="4">
                  <c:v>Úředníci</c:v>
                </c:pt>
                <c:pt idx="5">
                  <c:v>Prac. ve služb. a prodeji</c:v>
                </c:pt>
                <c:pt idx="6">
                  <c:v>Kvalif. Prac. v zem., les. a ryb.</c:v>
                </c:pt>
                <c:pt idx="7">
                  <c:v>Řemeslníci a opraváři</c:v>
                </c:pt>
                <c:pt idx="8">
                  <c:v>Obsluha zařízení, montéři</c:v>
                </c:pt>
                <c:pt idx="9">
                  <c:v>Pomoc. a nekvalifik prac.</c:v>
                </c:pt>
                <c:pt idx="10">
                  <c:v>Celkem</c:v>
                </c:pt>
              </c:strCache>
            </c:strRef>
          </c:cat>
          <c:val>
            <c:numRef>
              <c:f>'Průměrné výdělky'!$AF$24:$AF$34</c:f>
              <c:numCache>
                <c:formatCode>#,##0</c:formatCode>
                <c:ptCount val="11"/>
                <c:pt idx="0">
                  <c:v>0</c:v>
                </c:pt>
                <c:pt idx="1">
                  <c:v>1968</c:v>
                </c:pt>
                <c:pt idx="2">
                  <c:v>1424</c:v>
                </c:pt>
                <c:pt idx="3">
                  <c:v>1222</c:v>
                </c:pt>
                <c:pt idx="4">
                  <c:v>861</c:v>
                </c:pt>
                <c:pt idx="5">
                  <c:v>1188</c:v>
                </c:pt>
                <c:pt idx="6">
                  <c:v>901</c:v>
                </c:pt>
                <c:pt idx="7">
                  <c:v>994</c:v>
                </c:pt>
                <c:pt idx="8">
                  <c:v>1103</c:v>
                </c:pt>
                <c:pt idx="9">
                  <c:v>919</c:v>
                </c:pt>
                <c:pt idx="10">
                  <c:v>1144</c:v>
                </c:pt>
              </c:numCache>
            </c:numRef>
          </c:val>
        </c:ser>
        <c:ser>
          <c:idx val="1"/>
          <c:order val="1"/>
          <c:tx>
            <c:strRef>
              <c:f>'Průměrné výdělky'!$AG$23</c:f>
              <c:strCache>
                <c:ptCount val="1"/>
                <c:pt idx="0">
                  <c:v>meziroční nárůst platů 2015/2016 absolutně</c:v>
                </c:pt>
              </c:strCache>
            </c:strRef>
          </c:tx>
          <c:spPr>
            <a:pattFill prst="dkDnDiag">
              <a:fgClr>
                <a:schemeClr val="bg1">
                  <a:lumMod val="65000"/>
                </a:schemeClr>
              </a:fgClr>
              <a:bgClr>
                <a:schemeClr val="bg1"/>
              </a:bgClr>
            </a:pattFill>
            <a:ln>
              <a:solidFill>
                <a:schemeClr val="bg1">
                  <a:lumMod val="50000"/>
                </a:schemeClr>
              </a:solidFill>
            </a:ln>
          </c:spPr>
          <c:invertIfNegative val="0"/>
          <c:cat>
            <c:strRef>
              <c:f>'Průměrné výdělky'!$AE$24:$AE$34</c:f>
              <c:strCache>
                <c:ptCount val="11"/>
                <c:pt idx="0">
                  <c:v>Zaměstn. ozbr. sil.</c:v>
                </c:pt>
                <c:pt idx="1">
                  <c:v>Řídící prac.</c:v>
                </c:pt>
                <c:pt idx="2">
                  <c:v>Specialisté</c:v>
                </c:pt>
                <c:pt idx="3">
                  <c:v>Tech. a odbor. prac.</c:v>
                </c:pt>
                <c:pt idx="4">
                  <c:v>Úředníci</c:v>
                </c:pt>
                <c:pt idx="5">
                  <c:v>Prac. ve služb. a prodeji</c:v>
                </c:pt>
                <c:pt idx="6">
                  <c:v>Kvalif. Prac. v zem., les. a ryb.</c:v>
                </c:pt>
                <c:pt idx="7">
                  <c:v>Řemeslníci a opraváři</c:v>
                </c:pt>
                <c:pt idx="8">
                  <c:v>Obsluha zařízení, montéři</c:v>
                </c:pt>
                <c:pt idx="9">
                  <c:v>Pomoc. a nekvalifik prac.</c:v>
                </c:pt>
                <c:pt idx="10">
                  <c:v>Celkem</c:v>
                </c:pt>
              </c:strCache>
            </c:strRef>
          </c:cat>
          <c:val>
            <c:numRef>
              <c:f>'Průměrné výdělky'!$AG$24:$AG$34</c:f>
              <c:numCache>
                <c:formatCode>#,##0</c:formatCode>
                <c:ptCount val="11"/>
                <c:pt idx="0">
                  <c:v>3266</c:v>
                </c:pt>
                <c:pt idx="1">
                  <c:v>3154</c:v>
                </c:pt>
                <c:pt idx="2">
                  <c:v>1603</c:v>
                </c:pt>
                <c:pt idx="3">
                  <c:v>1670</c:v>
                </c:pt>
                <c:pt idx="4">
                  <c:v>1246</c:v>
                </c:pt>
                <c:pt idx="5">
                  <c:v>908</c:v>
                </c:pt>
                <c:pt idx="6">
                  <c:v>1056</c:v>
                </c:pt>
                <c:pt idx="7">
                  <c:v>955</c:v>
                </c:pt>
                <c:pt idx="8">
                  <c:v>983</c:v>
                </c:pt>
                <c:pt idx="9">
                  <c:v>736</c:v>
                </c:pt>
                <c:pt idx="10">
                  <c:v>1542</c:v>
                </c:pt>
              </c:numCache>
            </c:numRef>
          </c:val>
        </c:ser>
        <c:dLbls>
          <c:showLegendKey val="0"/>
          <c:showVal val="0"/>
          <c:showCatName val="0"/>
          <c:showSerName val="0"/>
          <c:showPercent val="0"/>
          <c:showBubbleSize val="0"/>
        </c:dLbls>
        <c:gapWidth val="150"/>
        <c:axId val="168528512"/>
        <c:axId val="168538880"/>
      </c:barChart>
      <c:scatterChart>
        <c:scatterStyle val="lineMarker"/>
        <c:varyColors val="0"/>
        <c:ser>
          <c:idx val="2"/>
          <c:order val="2"/>
          <c:tx>
            <c:strRef>
              <c:f>'Průměrné výdělky'!$AH$23</c:f>
              <c:strCache>
                <c:ptCount val="1"/>
                <c:pt idx="0">
                  <c:v>meziroční nárůst mezd 2015/2016 relativně (pravá osa)</c:v>
                </c:pt>
              </c:strCache>
            </c:strRef>
          </c:tx>
          <c:spPr>
            <a:ln w="28575">
              <a:noFill/>
            </a:ln>
          </c:spPr>
          <c:marker>
            <c:spPr>
              <a:solidFill>
                <a:schemeClr val="accent6">
                  <a:lumMod val="75000"/>
                </a:schemeClr>
              </a:solidFill>
            </c:spPr>
          </c:marker>
          <c:xVal>
            <c:strRef>
              <c:f>'Průměrné výdělky'!$AE$24:$AE$34</c:f>
              <c:strCache>
                <c:ptCount val="11"/>
                <c:pt idx="0">
                  <c:v>Zaměstn. ozbr. sil.</c:v>
                </c:pt>
                <c:pt idx="1">
                  <c:v>Řídící prac.</c:v>
                </c:pt>
                <c:pt idx="2">
                  <c:v>Specialisté</c:v>
                </c:pt>
                <c:pt idx="3">
                  <c:v>Tech. a odbor. prac.</c:v>
                </c:pt>
                <c:pt idx="4">
                  <c:v>Úředníci</c:v>
                </c:pt>
                <c:pt idx="5">
                  <c:v>Prac. ve služb. a prodeji</c:v>
                </c:pt>
                <c:pt idx="6">
                  <c:v>Kvalif. Prac. v zem., les. a ryb.</c:v>
                </c:pt>
                <c:pt idx="7">
                  <c:v>Řemeslníci a opraváři</c:v>
                </c:pt>
                <c:pt idx="8">
                  <c:v>Obsluha zařízení, montéři</c:v>
                </c:pt>
                <c:pt idx="9">
                  <c:v>Pomoc. a nekvalifik prac.</c:v>
                </c:pt>
                <c:pt idx="10">
                  <c:v>Celkem</c:v>
                </c:pt>
              </c:strCache>
            </c:strRef>
          </c:xVal>
          <c:yVal>
            <c:numRef>
              <c:f>'Průměrné výdělky'!$AH$24:$AH$34</c:f>
              <c:numCache>
                <c:formatCode>0.00%</c:formatCode>
                <c:ptCount val="11"/>
                <c:pt idx="0" formatCode="General">
                  <c:v>0</c:v>
                </c:pt>
                <c:pt idx="1">
                  <c:v>3.1258934527780426E-2</c:v>
                </c:pt>
                <c:pt idx="2">
                  <c:v>3.1839728110186927E-2</c:v>
                </c:pt>
                <c:pt idx="3">
                  <c:v>3.9105251368043777E-2</c:v>
                </c:pt>
                <c:pt idx="4">
                  <c:v>3.7216338880484118E-2</c:v>
                </c:pt>
                <c:pt idx="5">
                  <c:v>7.0790132284590634E-2</c:v>
                </c:pt>
                <c:pt idx="6">
                  <c:v>4.5278657218955728E-2</c:v>
                </c:pt>
                <c:pt idx="7">
                  <c:v>4.1799831791421362E-2</c:v>
                </c:pt>
                <c:pt idx="8">
                  <c:v>4.8375071268803999E-2</c:v>
                </c:pt>
                <c:pt idx="9">
                  <c:v>5.5424883903262771E-2</c:v>
                </c:pt>
                <c:pt idx="10">
                  <c:v>4.1114106019766394E-2</c:v>
                </c:pt>
              </c:numCache>
            </c:numRef>
          </c:yVal>
          <c:smooth val="0"/>
        </c:ser>
        <c:ser>
          <c:idx val="3"/>
          <c:order val="3"/>
          <c:tx>
            <c:strRef>
              <c:f>'Průměrné výdělky'!$AI$23</c:f>
              <c:strCache>
                <c:ptCount val="1"/>
                <c:pt idx="0">
                  <c:v>meziroční nárůst platů2015/2016 relativně (pravá osa)</c:v>
                </c:pt>
              </c:strCache>
            </c:strRef>
          </c:tx>
          <c:spPr>
            <a:ln w="28575">
              <a:noFill/>
            </a:ln>
          </c:spPr>
          <c:marker>
            <c:symbol val="triangle"/>
            <c:size val="7"/>
            <c:spPr>
              <a:solidFill>
                <a:schemeClr val="bg1">
                  <a:lumMod val="50000"/>
                </a:schemeClr>
              </a:solidFill>
            </c:spPr>
          </c:marker>
          <c:xVal>
            <c:strRef>
              <c:f>'Průměrné výdělky'!$AE$24:$AE$34</c:f>
              <c:strCache>
                <c:ptCount val="11"/>
                <c:pt idx="0">
                  <c:v>Zaměstn. ozbr. sil.</c:v>
                </c:pt>
                <c:pt idx="1">
                  <c:v>Řídící prac.</c:v>
                </c:pt>
                <c:pt idx="2">
                  <c:v>Specialisté</c:v>
                </c:pt>
                <c:pt idx="3">
                  <c:v>Tech. a odbor. prac.</c:v>
                </c:pt>
                <c:pt idx="4">
                  <c:v>Úředníci</c:v>
                </c:pt>
                <c:pt idx="5">
                  <c:v>Prac. ve služb. a prodeji</c:v>
                </c:pt>
                <c:pt idx="6">
                  <c:v>Kvalif. Prac. v zem., les. a ryb.</c:v>
                </c:pt>
                <c:pt idx="7">
                  <c:v>Řemeslníci a opraváři</c:v>
                </c:pt>
                <c:pt idx="8">
                  <c:v>Obsluha zařízení, montéři</c:v>
                </c:pt>
                <c:pt idx="9">
                  <c:v>Pomoc. a nekvalifik prac.</c:v>
                </c:pt>
                <c:pt idx="10">
                  <c:v>Celkem</c:v>
                </c:pt>
              </c:strCache>
            </c:strRef>
          </c:xVal>
          <c:yVal>
            <c:numRef>
              <c:f>'Průměrné výdělky'!$AI$24:$AI$34</c:f>
              <c:numCache>
                <c:formatCode>0.00%</c:formatCode>
                <c:ptCount val="11"/>
                <c:pt idx="0">
                  <c:v>0.1153330037432022</c:v>
                </c:pt>
                <c:pt idx="1">
                  <c:v>6.8109181998790708E-2</c:v>
                </c:pt>
                <c:pt idx="2">
                  <c:v>5.1070472792149865E-2</c:v>
                </c:pt>
                <c:pt idx="3">
                  <c:v>5.6924702593993931E-2</c:v>
                </c:pt>
                <c:pt idx="4">
                  <c:v>4.9635501732860611E-2</c:v>
                </c:pt>
                <c:pt idx="5">
                  <c:v>4.2056507642427049E-2</c:v>
                </c:pt>
                <c:pt idx="6">
                  <c:v>5.5749128919860627E-2</c:v>
                </c:pt>
                <c:pt idx="7">
                  <c:v>4.5198542287850821E-2</c:v>
                </c:pt>
                <c:pt idx="8">
                  <c:v>4.3532173065851824E-2</c:v>
                </c:pt>
                <c:pt idx="9">
                  <c:v>5.4921274531751364E-2</c:v>
                </c:pt>
                <c:pt idx="10">
                  <c:v>5.5152187131156334E-2</c:v>
                </c:pt>
              </c:numCache>
            </c:numRef>
          </c:yVal>
          <c:smooth val="0"/>
        </c:ser>
        <c:dLbls>
          <c:showLegendKey val="0"/>
          <c:showVal val="0"/>
          <c:showCatName val="0"/>
          <c:showSerName val="0"/>
          <c:showPercent val="0"/>
          <c:showBubbleSize val="0"/>
        </c:dLbls>
        <c:axId val="168570880"/>
        <c:axId val="168540416"/>
      </c:scatterChart>
      <c:catAx>
        <c:axId val="168528512"/>
        <c:scaling>
          <c:orientation val="minMax"/>
        </c:scaling>
        <c:delete val="0"/>
        <c:axPos val="b"/>
        <c:majorTickMark val="out"/>
        <c:minorTickMark val="none"/>
        <c:tickLblPos val="nextTo"/>
        <c:txPr>
          <a:bodyPr/>
          <a:lstStyle/>
          <a:p>
            <a:pPr>
              <a:defRPr sz="800"/>
            </a:pPr>
            <a:endParaRPr lang="cs-CZ"/>
          </a:p>
        </c:txPr>
        <c:crossAx val="168538880"/>
        <c:crosses val="autoZero"/>
        <c:auto val="1"/>
        <c:lblAlgn val="ctr"/>
        <c:lblOffset val="100"/>
        <c:noMultiLvlLbl val="0"/>
      </c:catAx>
      <c:valAx>
        <c:axId val="168538880"/>
        <c:scaling>
          <c:orientation val="minMax"/>
        </c:scaling>
        <c:delete val="0"/>
        <c:axPos val="l"/>
        <c:majorGridlines/>
        <c:numFmt formatCode="#,##0" sourceLinked="1"/>
        <c:majorTickMark val="out"/>
        <c:minorTickMark val="none"/>
        <c:tickLblPos val="nextTo"/>
        <c:txPr>
          <a:bodyPr/>
          <a:lstStyle/>
          <a:p>
            <a:pPr>
              <a:defRPr sz="800"/>
            </a:pPr>
            <a:endParaRPr lang="cs-CZ"/>
          </a:p>
        </c:txPr>
        <c:crossAx val="168528512"/>
        <c:crosses val="autoZero"/>
        <c:crossBetween val="between"/>
      </c:valAx>
      <c:valAx>
        <c:axId val="168540416"/>
        <c:scaling>
          <c:orientation val="minMax"/>
        </c:scaling>
        <c:delete val="0"/>
        <c:axPos val="r"/>
        <c:minorGridlines/>
        <c:numFmt formatCode="0.00%" sourceLinked="0"/>
        <c:majorTickMark val="out"/>
        <c:minorTickMark val="none"/>
        <c:tickLblPos val="nextTo"/>
        <c:txPr>
          <a:bodyPr/>
          <a:lstStyle/>
          <a:p>
            <a:pPr>
              <a:defRPr sz="800"/>
            </a:pPr>
            <a:endParaRPr lang="cs-CZ"/>
          </a:p>
        </c:txPr>
        <c:crossAx val="168570880"/>
        <c:crosses val="max"/>
        <c:crossBetween val="midCat"/>
      </c:valAx>
      <c:valAx>
        <c:axId val="168570880"/>
        <c:scaling>
          <c:orientation val="minMax"/>
        </c:scaling>
        <c:delete val="1"/>
        <c:axPos val="t"/>
        <c:majorTickMark val="out"/>
        <c:minorTickMark val="none"/>
        <c:tickLblPos val="nextTo"/>
        <c:crossAx val="168540416"/>
        <c:crosses val="max"/>
        <c:crossBetween val="midCat"/>
      </c:valAx>
    </c:plotArea>
    <c:legend>
      <c:legendPos val="t"/>
      <c:layout>
        <c:manualLayout>
          <c:xMode val="edge"/>
          <c:yMode val="edge"/>
          <c:x val="2.9246393787553414E-2"/>
          <c:y val="2.768166089965398E-2"/>
          <c:w val="0.92828389839699788"/>
          <c:h val="0.11919098348000617"/>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315221093546514E-2"/>
          <c:y val="4.5478028773235868E-2"/>
          <c:w val="0.8922929214000922"/>
          <c:h val="0.77032097982526926"/>
        </c:manualLayout>
      </c:layout>
      <c:barChart>
        <c:barDir val="col"/>
        <c:grouping val="stacked"/>
        <c:varyColors val="0"/>
        <c:ser>
          <c:idx val="0"/>
          <c:order val="0"/>
          <c:tx>
            <c:strRef>
              <c:f>'[1]Znevýhodněné sk.'!$AA$29:$AA$30</c:f>
              <c:strCache>
                <c:ptCount val="1"/>
                <c:pt idx="0">
                  <c:v>OZP</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sk.'!$AA$31:$AA$45</c:f>
              <c:numCache>
                <c:formatCode>0.00%</c:formatCode>
                <c:ptCount val="15"/>
                <c:pt idx="0">
                  <c:v>0.16587266632822192</c:v>
                </c:pt>
                <c:pt idx="1">
                  <c:v>9.5657814407814401E-2</c:v>
                </c:pt>
                <c:pt idx="2">
                  <c:v>0.15025436635235409</c:v>
                </c:pt>
                <c:pt idx="3">
                  <c:v>0.21734425722677383</c:v>
                </c:pt>
                <c:pt idx="4">
                  <c:v>0.22915691962197063</c:v>
                </c:pt>
                <c:pt idx="5">
                  <c:v>0.12485589116901084</c:v>
                </c:pt>
                <c:pt idx="6">
                  <c:v>0.16262287939438499</c:v>
                </c:pt>
                <c:pt idx="7">
                  <c:v>0.16199984400592776</c:v>
                </c:pt>
                <c:pt idx="8">
                  <c:v>0.18736981632266617</c:v>
                </c:pt>
                <c:pt idx="9">
                  <c:v>0.21292037207400594</c:v>
                </c:pt>
                <c:pt idx="10">
                  <c:v>0.22639144242019055</c:v>
                </c:pt>
                <c:pt idx="11">
                  <c:v>0.16686381200220804</c:v>
                </c:pt>
                <c:pt idx="12">
                  <c:v>0.17108833283087127</c:v>
                </c:pt>
                <c:pt idx="13">
                  <c:v>0.20093949379513426</c:v>
                </c:pt>
                <c:pt idx="14">
                  <c:v>0.15571767145608059</c:v>
                </c:pt>
              </c:numCache>
            </c:numRef>
          </c:val>
        </c:ser>
        <c:ser>
          <c:idx val="1"/>
          <c:order val="1"/>
          <c:tx>
            <c:strRef>
              <c:f>'[1]Znevýhodněné sk.'!$AB$29:$AB$30</c:f>
              <c:strCache>
                <c:ptCount val="1"/>
                <c:pt idx="0">
                  <c:v>pečující o děti do 15 let</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sk.'!$AB$31:$AB$45</c:f>
              <c:numCache>
                <c:formatCode>0.00%</c:formatCode>
                <c:ptCount val="15"/>
                <c:pt idx="0">
                  <c:v>0.182208789029011</c:v>
                </c:pt>
                <c:pt idx="1">
                  <c:v>0.11462148962148962</c:v>
                </c:pt>
                <c:pt idx="2">
                  <c:v>0.20786753507663394</c:v>
                </c:pt>
                <c:pt idx="3">
                  <c:v>0.18287215953006647</c:v>
                </c:pt>
                <c:pt idx="4">
                  <c:v>0.19556470478151025</c:v>
                </c:pt>
                <c:pt idx="5">
                  <c:v>0.2168549688724925</c:v>
                </c:pt>
                <c:pt idx="6">
                  <c:v>0.19943904365111784</c:v>
                </c:pt>
                <c:pt idx="7">
                  <c:v>0.21761173075423135</c:v>
                </c:pt>
                <c:pt idx="8">
                  <c:v>0.17780723347850785</c:v>
                </c:pt>
                <c:pt idx="9">
                  <c:v>0.19247674537462947</c:v>
                </c:pt>
                <c:pt idx="10">
                  <c:v>0.18711348821661375</c:v>
                </c:pt>
                <c:pt idx="11">
                  <c:v>0.17832452750834582</c:v>
                </c:pt>
                <c:pt idx="12">
                  <c:v>0.16706863631795799</c:v>
                </c:pt>
                <c:pt idx="13">
                  <c:v>0.19855570356867419</c:v>
                </c:pt>
                <c:pt idx="14">
                  <c:v>0.17377055251073914</c:v>
                </c:pt>
              </c:numCache>
            </c:numRef>
          </c:val>
        </c:ser>
        <c:ser>
          <c:idx val="3"/>
          <c:order val="2"/>
          <c:tx>
            <c:strRef>
              <c:f>'[1]Znevýhodněné sk.'!$AD$29:$AD$30</c:f>
              <c:strCache>
                <c:ptCount val="1"/>
                <c:pt idx="0">
                  <c:v>do 25 let</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sk.'!$AD$31:$AD$45</c:f>
              <c:numCache>
                <c:formatCode>0.00%</c:formatCode>
                <c:ptCount val="15"/>
                <c:pt idx="0">
                  <c:v>0.11207339992401803</c:v>
                </c:pt>
                <c:pt idx="1">
                  <c:v>9.0048840048840048E-2</c:v>
                </c:pt>
                <c:pt idx="2">
                  <c:v>0.11324973267230486</c:v>
                </c:pt>
                <c:pt idx="3">
                  <c:v>0.11694234039264183</c:v>
                </c:pt>
                <c:pt idx="4">
                  <c:v>0.10910451950968467</c:v>
                </c:pt>
                <c:pt idx="5">
                  <c:v>0.11378833294904311</c:v>
                </c:pt>
                <c:pt idx="6">
                  <c:v>0.12640579473354574</c:v>
                </c:pt>
                <c:pt idx="7">
                  <c:v>0.12432727556352859</c:v>
                </c:pt>
                <c:pt idx="8">
                  <c:v>0.12630183677333839</c:v>
                </c:pt>
                <c:pt idx="9">
                  <c:v>0.128590411939078</c:v>
                </c:pt>
                <c:pt idx="10">
                  <c:v>0.11006184188534181</c:v>
                </c:pt>
                <c:pt idx="11">
                  <c:v>0.11502773177719948</c:v>
                </c:pt>
                <c:pt idx="12">
                  <c:v>0.10099487488694603</c:v>
                </c:pt>
                <c:pt idx="13">
                  <c:v>0.10895323564467503</c:v>
                </c:pt>
                <c:pt idx="14">
                  <c:v>0.10607687749962968</c:v>
                </c:pt>
              </c:numCache>
            </c:numRef>
          </c:val>
        </c:ser>
        <c:ser>
          <c:idx val="4"/>
          <c:order val="3"/>
          <c:tx>
            <c:strRef>
              <c:f>'[1]Znevýhodněné sk.'!$AE$29:$AE$30</c:f>
              <c:strCache>
                <c:ptCount val="1"/>
                <c:pt idx="0">
                  <c:v>nad 50 let</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sk.'!$AE$31:$AE$45</c:f>
              <c:numCache>
                <c:formatCode>0.00%</c:formatCode>
                <c:ptCount val="15"/>
                <c:pt idx="0">
                  <c:v>0.35830876246894322</c:v>
                </c:pt>
                <c:pt idx="1">
                  <c:v>0.32074175824175827</c:v>
                </c:pt>
                <c:pt idx="2">
                  <c:v>0.3515764233174557</c:v>
                </c:pt>
                <c:pt idx="3">
                  <c:v>0.38174370072654196</c:v>
                </c:pt>
                <c:pt idx="4">
                  <c:v>0.38476653878544026</c:v>
                </c:pt>
                <c:pt idx="5">
                  <c:v>0.36730458842517871</c:v>
                </c:pt>
                <c:pt idx="6">
                  <c:v>0.32396590692481553</c:v>
                </c:pt>
                <c:pt idx="7">
                  <c:v>0.33764916933156541</c:v>
                </c:pt>
                <c:pt idx="8">
                  <c:v>0.35466767657640597</c:v>
                </c:pt>
                <c:pt idx="9">
                  <c:v>0.3734028416641112</c:v>
                </c:pt>
                <c:pt idx="10">
                  <c:v>0.39144242019053987</c:v>
                </c:pt>
                <c:pt idx="11">
                  <c:v>0.34111400257603236</c:v>
                </c:pt>
                <c:pt idx="12">
                  <c:v>0.37765048738820217</c:v>
                </c:pt>
                <c:pt idx="13">
                  <c:v>0.38785669214050339</c:v>
                </c:pt>
                <c:pt idx="14">
                  <c:v>0.38416530884313432</c:v>
                </c:pt>
              </c:numCache>
            </c:numRef>
          </c:val>
        </c:ser>
        <c:ser>
          <c:idx val="5"/>
          <c:order val="4"/>
          <c:tx>
            <c:strRef>
              <c:f>'[1]Znevýhodněné sk.'!$AF$29:$AF$30</c:f>
              <c:strCache>
                <c:ptCount val="1"/>
                <c:pt idx="0">
                  <c:v>bez vzděl. nebo se ZŠ</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sk.'!$AF$31:$AF$45</c:f>
              <c:numCache>
                <c:formatCode>0.00%</c:formatCode>
                <c:ptCount val="15"/>
                <c:pt idx="0">
                  <c:v>0.3171608296154842</c:v>
                </c:pt>
                <c:pt idx="1">
                  <c:v>0.20757020757020758</c:v>
                </c:pt>
                <c:pt idx="2">
                  <c:v>0.29623148958232071</c:v>
                </c:pt>
                <c:pt idx="3">
                  <c:v>0.28087803369918068</c:v>
                </c:pt>
                <c:pt idx="4">
                  <c:v>0.31673996444278096</c:v>
                </c:pt>
                <c:pt idx="5">
                  <c:v>0.53089693336407651</c:v>
                </c:pt>
                <c:pt idx="6">
                  <c:v>0.48479154753151976</c:v>
                </c:pt>
                <c:pt idx="7">
                  <c:v>0.34677482255674286</c:v>
                </c:pt>
                <c:pt idx="8">
                  <c:v>0.31793220980874837</c:v>
                </c:pt>
                <c:pt idx="9">
                  <c:v>0.284984156189308</c:v>
                </c:pt>
                <c:pt idx="10">
                  <c:v>0.20065184689954871</c:v>
                </c:pt>
                <c:pt idx="11">
                  <c:v>0.26335988223851958</c:v>
                </c:pt>
                <c:pt idx="12">
                  <c:v>0.29615114058888553</c:v>
                </c:pt>
                <c:pt idx="13">
                  <c:v>0.20395428731683377</c:v>
                </c:pt>
                <c:pt idx="14">
                  <c:v>0.34276403495778401</c:v>
                </c:pt>
              </c:numCache>
            </c:numRef>
          </c:val>
        </c:ser>
        <c:ser>
          <c:idx val="6"/>
          <c:order val="5"/>
          <c:tx>
            <c:strRef>
              <c:f>'[1]Znevýhodněné sk.'!$AI$30</c:f>
              <c:strCache>
                <c:ptCount val="1"/>
                <c:pt idx="0">
                  <c:v>nad 24M</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sk.'!$AI$31:$AI$45</c:f>
              <c:numCache>
                <c:formatCode>0.00%</c:formatCode>
                <c:ptCount val="15"/>
                <c:pt idx="0">
                  <c:v>0.27094967371461037</c:v>
                </c:pt>
                <c:pt idx="1">
                  <c:v>0.20047313797313798</c:v>
                </c:pt>
                <c:pt idx="2">
                  <c:v>0.24377045461909855</c:v>
                </c:pt>
                <c:pt idx="3">
                  <c:v>0.18658216107590045</c:v>
                </c:pt>
                <c:pt idx="4">
                  <c:v>0.23158978197810423</c:v>
                </c:pt>
                <c:pt idx="5">
                  <c:v>0.3138113903620014</c:v>
                </c:pt>
                <c:pt idx="6">
                  <c:v>0.31653187375759062</c:v>
                </c:pt>
                <c:pt idx="7">
                  <c:v>0.23812495125185243</c:v>
                </c:pt>
                <c:pt idx="8">
                  <c:v>0.20706305623934862</c:v>
                </c:pt>
                <c:pt idx="9">
                  <c:v>0.17663293468261271</c:v>
                </c:pt>
                <c:pt idx="10">
                  <c:v>0.26792578973758985</c:v>
                </c:pt>
                <c:pt idx="11">
                  <c:v>0.28998764555897272</c:v>
                </c:pt>
                <c:pt idx="12">
                  <c:v>0.27539945734097077</c:v>
                </c:pt>
                <c:pt idx="13">
                  <c:v>0.22933464208090865</c:v>
                </c:pt>
                <c:pt idx="14">
                  <c:v>0.34478225448081767</c:v>
                </c:pt>
              </c:numCache>
            </c:numRef>
          </c:val>
        </c:ser>
        <c:ser>
          <c:idx val="7"/>
          <c:order val="6"/>
          <c:tx>
            <c:strRef>
              <c:f>'[1]Znevýhodněné sk.'!$AH$30</c:f>
              <c:strCache>
                <c:ptCount val="1"/>
                <c:pt idx="0">
                  <c:v>12M-24M</c:v>
                </c:pt>
              </c:strCache>
            </c:strRef>
          </c:tx>
          <c:invertIfNegative val="0"/>
          <c:cat>
            <c:strRef>
              <c:f>'[1]Znevýhodněné sk.'!$Y$31:$Y$45</c:f>
              <c:strCache>
                <c:ptCount val="15"/>
                <c:pt idx="0">
                  <c:v> ČR</c:v>
                </c:pt>
                <c:pt idx="1">
                  <c:v>Praha</c:v>
                </c:pt>
                <c:pt idx="2">
                  <c:v>SČK</c:v>
                </c:pt>
                <c:pt idx="3">
                  <c:v>JČK</c:v>
                </c:pt>
                <c:pt idx="4">
                  <c:v>PLK</c:v>
                </c:pt>
                <c:pt idx="5">
                  <c:v>KVK</c:v>
                </c:pt>
                <c:pt idx="6">
                  <c:v>ULK</c:v>
                </c:pt>
                <c:pt idx="7">
                  <c:v>LBK</c:v>
                </c:pt>
                <c:pt idx="8">
                  <c:v>KHK</c:v>
                </c:pt>
                <c:pt idx="9">
                  <c:v>PBK</c:v>
                </c:pt>
                <c:pt idx="10">
                  <c:v>VYS</c:v>
                </c:pt>
                <c:pt idx="11">
                  <c:v>JMK</c:v>
                </c:pt>
                <c:pt idx="12">
                  <c:v>OLK</c:v>
                </c:pt>
                <c:pt idx="13">
                  <c:v>ZLK</c:v>
                </c:pt>
                <c:pt idx="14">
                  <c:v>MSK</c:v>
                </c:pt>
              </c:strCache>
            </c:strRef>
          </c:cat>
          <c:val>
            <c:numRef>
              <c:f>'[1]Znevýhodněné sk.'!$AH$31:$AH$45</c:f>
              <c:numCache>
                <c:formatCode>0.00%</c:formatCode>
                <c:ptCount val="15"/>
                <c:pt idx="0">
                  <c:v>0.12136942364652921</c:v>
                </c:pt>
                <c:pt idx="1">
                  <c:v>0.13064713064713065</c:v>
                </c:pt>
                <c:pt idx="2">
                  <c:v>0.11295810245941479</c:v>
                </c:pt>
                <c:pt idx="3">
                  <c:v>0.10998608749420312</c:v>
                </c:pt>
                <c:pt idx="4">
                  <c:v>0.10218021895761205</c:v>
                </c:pt>
                <c:pt idx="5">
                  <c:v>0.1194373991238183</c:v>
                </c:pt>
                <c:pt idx="6">
                  <c:v>0.13152520218936362</c:v>
                </c:pt>
                <c:pt idx="7">
                  <c:v>0.11715154824116683</c:v>
                </c:pt>
                <c:pt idx="8">
                  <c:v>0.11352016663510699</c:v>
                </c:pt>
                <c:pt idx="9">
                  <c:v>9.8947153224982112E-2</c:v>
                </c:pt>
                <c:pt idx="10">
                  <c:v>0.10663546715694468</c:v>
                </c:pt>
                <c:pt idx="11">
                  <c:v>0.12953762847304365</c:v>
                </c:pt>
                <c:pt idx="12">
                  <c:v>0.1251633001708371</c:v>
                </c:pt>
                <c:pt idx="13">
                  <c:v>0.11771717030077823</c:v>
                </c:pt>
                <c:pt idx="14">
                  <c:v>0.12527773663161013</c:v>
                </c:pt>
              </c:numCache>
            </c:numRef>
          </c:val>
        </c:ser>
        <c:dLbls>
          <c:showLegendKey val="0"/>
          <c:showVal val="0"/>
          <c:showCatName val="0"/>
          <c:showSerName val="0"/>
          <c:showPercent val="0"/>
          <c:showBubbleSize val="0"/>
        </c:dLbls>
        <c:gapWidth val="150"/>
        <c:overlap val="100"/>
        <c:axId val="169037824"/>
        <c:axId val="169039360"/>
      </c:barChart>
      <c:catAx>
        <c:axId val="169037824"/>
        <c:scaling>
          <c:orientation val="minMax"/>
        </c:scaling>
        <c:delete val="0"/>
        <c:axPos val="b"/>
        <c:majorTickMark val="out"/>
        <c:minorTickMark val="none"/>
        <c:tickLblPos val="nextTo"/>
        <c:crossAx val="169039360"/>
        <c:crosses val="autoZero"/>
        <c:auto val="1"/>
        <c:lblAlgn val="ctr"/>
        <c:lblOffset val="100"/>
        <c:noMultiLvlLbl val="0"/>
      </c:catAx>
      <c:valAx>
        <c:axId val="169039360"/>
        <c:scaling>
          <c:orientation val="minMax"/>
          <c:max val="2"/>
        </c:scaling>
        <c:delete val="0"/>
        <c:axPos val="l"/>
        <c:majorGridlines/>
        <c:numFmt formatCode="0.00%" sourceLinked="1"/>
        <c:majorTickMark val="out"/>
        <c:minorTickMark val="none"/>
        <c:tickLblPos val="nextTo"/>
        <c:txPr>
          <a:bodyPr/>
          <a:lstStyle/>
          <a:p>
            <a:pPr>
              <a:defRPr sz="800"/>
            </a:pPr>
            <a:endParaRPr lang="cs-CZ"/>
          </a:p>
        </c:txPr>
        <c:crossAx val="169037824"/>
        <c:crosses val="autoZero"/>
        <c:crossBetween val="between"/>
      </c:valAx>
    </c:plotArea>
    <c:legend>
      <c:legendPos val="b"/>
      <c:layout>
        <c:manualLayout>
          <c:xMode val="edge"/>
          <c:yMode val="edge"/>
          <c:x val="3.3811764020781072E-2"/>
          <c:y val="0.8945655220548907"/>
          <c:w val="0.9387156161739687"/>
          <c:h val="8.0628280432435182E-2"/>
        </c:manualLayout>
      </c:layout>
      <c:overlay val="0"/>
      <c:txPr>
        <a:bodyPr/>
        <a:lstStyle/>
        <a:p>
          <a:pPr>
            <a:defRPr sz="800"/>
          </a:pPr>
          <a:endParaRPr lang="cs-CZ"/>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217305481442914E-2"/>
          <c:y val="0.16738603218401593"/>
          <c:w val="0.88885152165896619"/>
          <c:h val="0.70369952062873531"/>
        </c:manualLayout>
      </c:layout>
      <c:barChart>
        <c:barDir val="bar"/>
        <c:grouping val="percentStacked"/>
        <c:varyColors val="0"/>
        <c:ser>
          <c:idx val="0"/>
          <c:order val="0"/>
          <c:tx>
            <c:strRef>
              <c:f>'Doba nezaměstnanosti'!$B$23</c:f>
              <c:strCache>
                <c:ptCount val="1"/>
                <c:pt idx="0">
                  <c:v>do 3M</c:v>
                </c:pt>
              </c:strCache>
            </c:strRef>
          </c:tx>
          <c:spPr>
            <a:solidFill>
              <a:srgbClr val="7ABC32"/>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nezaměstnanosti'!$A$24:$A$29</c:f>
              <c:strCache>
                <c:ptCount val="6"/>
                <c:pt idx="0">
                  <c:v>ČR 12_15</c:v>
                </c:pt>
                <c:pt idx="1">
                  <c:v>ČR 6_16</c:v>
                </c:pt>
                <c:pt idx="2">
                  <c:v>ČR 9_16</c:v>
                </c:pt>
                <c:pt idx="3">
                  <c:v>ČR 12_16</c:v>
                </c:pt>
                <c:pt idx="4">
                  <c:v>ČR 3_17</c:v>
                </c:pt>
                <c:pt idx="5">
                  <c:v>ČR 6_17</c:v>
                </c:pt>
              </c:strCache>
            </c:strRef>
          </c:cat>
          <c:val>
            <c:numRef>
              <c:f>'Doba nezaměstnanosti'!$B$24:$B$29</c:f>
              <c:numCache>
                <c:formatCode>General</c:formatCode>
                <c:ptCount val="6"/>
                <c:pt idx="0">
                  <c:v>129421</c:v>
                </c:pt>
                <c:pt idx="1">
                  <c:v>95656</c:v>
                </c:pt>
                <c:pt idx="2">
                  <c:v>105171</c:v>
                </c:pt>
                <c:pt idx="3">
                  <c:v>117961</c:v>
                </c:pt>
                <c:pt idx="4">
                  <c:v>101810</c:v>
                </c:pt>
                <c:pt idx="5">
                  <c:v>82241</c:v>
                </c:pt>
              </c:numCache>
            </c:numRef>
          </c:val>
        </c:ser>
        <c:ser>
          <c:idx val="1"/>
          <c:order val="1"/>
          <c:tx>
            <c:strRef>
              <c:f>'Doba nezaměstnanosti'!$C$23</c:f>
              <c:strCache>
                <c:ptCount val="1"/>
                <c:pt idx="0">
                  <c:v>3-6M</c:v>
                </c:pt>
              </c:strCache>
            </c:strRef>
          </c:tx>
          <c:spPr>
            <a:solidFill>
              <a:schemeClr val="accent5">
                <a:lumMod val="40000"/>
                <a:lumOff val="60000"/>
              </a:schemeClr>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nezaměstnanosti'!$A$24:$A$29</c:f>
              <c:strCache>
                <c:ptCount val="6"/>
                <c:pt idx="0">
                  <c:v>ČR 12_15</c:v>
                </c:pt>
                <c:pt idx="1">
                  <c:v>ČR 6_16</c:v>
                </c:pt>
                <c:pt idx="2">
                  <c:v>ČR 9_16</c:v>
                </c:pt>
                <c:pt idx="3">
                  <c:v>ČR 12_16</c:v>
                </c:pt>
                <c:pt idx="4">
                  <c:v>ČR 3_17</c:v>
                </c:pt>
                <c:pt idx="5">
                  <c:v>ČR 6_17</c:v>
                </c:pt>
              </c:strCache>
            </c:strRef>
          </c:cat>
          <c:val>
            <c:numRef>
              <c:f>'Doba nezaměstnanosti'!$C$24:$C$29</c:f>
              <c:numCache>
                <c:formatCode>General</c:formatCode>
                <c:ptCount val="6"/>
                <c:pt idx="0">
                  <c:v>70362</c:v>
                </c:pt>
                <c:pt idx="1">
                  <c:v>62299</c:v>
                </c:pt>
                <c:pt idx="2">
                  <c:v>58156</c:v>
                </c:pt>
                <c:pt idx="3">
                  <c:v>61690</c:v>
                </c:pt>
                <c:pt idx="4">
                  <c:v>67394</c:v>
                </c:pt>
                <c:pt idx="5">
                  <c:v>51516</c:v>
                </c:pt>
              </c:numCache>
            </c:numRef>
          </c:val>
        </c:ser>
        <c:ser>
          <c:idx val="2"/>
          <c:order val="2"/>
          <c:tx>
            <c:strRef>
              <c:f>'Doba nezaměstnanosti'!$D$23</c:f>
              <c:strCache>
                <c:ptCount val="1"/>
                <c:pt idx="0">
                  <c:v>6-9M</c:v>
                </c:pt>
              </c:strCache>
            </c:strRef>
          </c:tx>
          <c:spPr>
            <a:solidFill>
              <a:schemeClr val="accent5">
                <a:lumMod val="60000"/>
                <a:lumOff val="40000"/>
              </a:schemeClr>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nezaměstnanosti'!$A$24:$A$29</c:f>
              <c:strCache>
                <c:ptCount val="6"/>
                <c:pt idx="0">
                  <c:v>ČR 12_15</c:v>
                </c:pt>
                <c:pt idx="1">
                  <c:v>ČR 6_16</c:v>
                </c:pt>
                <c:pt idx="2">
                  <c:v>ČR 9_16</c:v>
                </c:pt>
                <c:pt idx="3">
                  <c:v>ČR 12_16</c:v>
                </c:pt>
                <c:pt idx="4">
                  <c:v>ČR 3_17</c:v>
                </c:pt>
                <c:pt idx="5">
                  <c:v>ČR 6_17</c:v>
                </c:pt>
              </c:strCache>
            </c:strRef>
          </c:cat>
          <c:val>
            <c:numRef>
              <c:f>'Doba nezaměstnanosti'!$D$24:$D$29</c:f>
              <c:numCache>
                <c:formatCode>General</c:formatCode>
                <c:ptCount val="6"/>
                <c:pt idx="0">
                  <c:v>37867</c:v>
                </c:pt>
                <c:pt idx="1">
                  <c:v>36810</c:v>
                </c:pt>
                <c:pt idx="2">
                  <c:v>36824</c:v>
                </c:pt>
                <c:pt idx="3">
                  <c:v>34298</c:v>
                </c:pt>
                <c:pt idx="4">
                  <c:v>33563</c:v>
                </c:pt>
                <c:pt idx="5">
                  <c:v>27736</c:v>
                </c:pt>
              </c:numCache>
            </c:numRef>
          </c:val>
        </c:ser>
        <c:ser>
          <c:idx val="3"/>
          <c:order val="3"/>
          <c:tx>
            <c:strRef>
              <c:f>'Doba nezaměstnanosti'!$E$23</c:f>
              <c:strCache>
                <c:ptCount val="1"/>
                <c:pt idx="0">
                  <c:v>9-12M</c:v>
                </c:pt>
              </c:strCache>
            </c:strRef>
          </c:tx>
          <c:spPr>
            <a:solidFill>
              <a:schemeClr val="accent4">
                <a:lumMod val="60000"/>
                <a:lumOff val="40000"/>
              </a:schemeClr>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nezaměstnanosti'!$A$24:$A$29</c:f>
              <c:strCache>
                <c:ptCount val="6"/>
                <c:pt idx="0">
                  <c:v>ČR 12_15</c:v>
                </c:pt>
                <c:pt idx="1">
                  <c:v>ČR 6_16</c:v>
                </c:pt>
                <c:pt idx="2">
                  <c:v>ČR 9_16</c:v>
                </c:pt>
                <c:pt idx="3">
                  <c:v>ČR 12_16</c:v>
                </c:pt>
                <c:pt idx="4">
                  <c:v>ČR 3_17</c:v>
                </c:pt>
                <c:pt idx="5">
                  <c:v>ČR 6_17</c:v>
                </c:pt>
              </c:strCache>
            </c:strRef>
          </c:cat>
          <c:val>
            <c:numRef>
              <c:f>'Doba nezaměstnanosti'!$E$24:$E$29</c:f>
              <c:numCache>
                <c:formatCode>General</c:formatCode>
                <c:ptCount val="6"/>
                <c:pt idx="0">
                  <c:v>27913</c:v>
                </c:pt>
                <c:pt idx="1">
                  <c:v>26175</c:v>
                </c:pt>
                <c:pt idx="2">
                  <c:v>23834</c:v>
                </c:pt>
                <c:pt idx="3">
                  <c:v>23261</c:v>
                </c:pt>
                <c:pt idx="4">
                  <c:v>21135</c:v>
                </c:pt>
                <c:pt idx="5">
                  <c:v>19255</c:v>
                </c:pt>
              </c:numCache>
            </c:numRef>
          </c:val>
        </c:ser>
        <c:ser>
          <c:idx val="4"/>
          <c:order val="4"/>
          <c:tx>
            <c:strRef>
              <c:f>'Doba nezaměstnanosti'!$F$23</c:f>
              <c:strCache>
                <c:ptCount val="1"/>
                <c:pt idx="0">
                  <c:v>12-24M</c:v>
                </c:pt>
              </c:strCache>
            </c:strRef>
          </c:tx>
          <c:spPr>
            <a:solidFill>
              <a:srgbClr val="FF9999"/>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nezaměstnanosti'!$A$24:$A$29</c:f>
              <c:strCache>
                <c:ptCount val="6"/>
                <c:pt idx="0">
                  <c:v>ČR 12_15</c:v>
                </c:pt>
                <c:pt idx="1">
                  <c:v>ČR 6_16</c:v>
                </c:pt>
                <c:pt idx="2">
                  <c:v>ČR 9_16</c:v>
                </c:pt>
                <c:pt idx="3">
                  <c:v>ČR 12_16</c:v>
                </c:pt>
                <c:pt idx="4">
                  <c:v>ČR 3_17</c:v>
                </c:pt>
                <c:pt idx="5">
                  <c:v>ČR 6_17</c:v>
                </c:pt>
              </c:strCache>
            </c:strRef>
          </c:cat>
          <c:val>
            <c:numRef>
              <c:f>'Doba nezaměstnanosti'!$F$24:$F$29</c:f>
              <c:numCache>
                <c:formatCode>General</c:formatCode>
                <c:ptCount val="6"/>
                <c:pt idx="0">
                  <c:v>58232</c:v>
                </c:pt>
                <c:pt idx="1">
                  <c:v>49266</c:v>
                </c:pt>
                <c:pt idx="2">
                  <c:v>47430</c:v>
                </c:pt>
                <c:pt idx="3">
                  <c:v>45253</c:v>
                </c:pt>
                <c:pt idx="4">
                  <c:v>41405</c:v>
                </c:pt>
                <c:pt idx="5">
                  <c:v>36100</c:v>
                </c:pt>
              </c:numCache>
            </c:numRef>
          </c:val>
        </c:ser>
        <c:ser>
          <c:idx val="5"/>
          <c:order val="5"/>
          <c:tx>
            <c:strRef>
              <c:f>'Doba nezaměstnanosti'!$G$23</c:f>
              <c:strCache>
                <c:ptCount val="1"/>
                <c:pt idx="0">
                  <c:v>nad 24M</c:v>
                </c:pt>
              </c:strCache>
            </c:strRef>
          </c:tx>
          <c:spPr>
            <a:solidFill>
              <a:srgbClr val="FF6969"/>
            </a:solidFill>
          </c:spPr>
          <c:invertIfNegative val="0"/>
          <c:dLbls>
            <c:numFmt formatCode="#,##0" sourceLinked="0"/>
            <c:txPr>
              <a:bodyPr/>
              <a:lstStyle/>
              <a:p>
                <a:pPr>
                  <a:defRPr sz="800"/>
                </a:pPr>
                <a:endParaRPr lang="cs-CZ"/>
              </a:p>
            </c:txPr>
            <c:dLblPos val="ctr"/>
            <c:showLegendKey val="0"/>
            <c:showVal val="1"/>
            <c:showCatName val="0"/>
            <c:showSerName val="0"/>
            <c:showPercent val="0"/>
            <c:showBubbleSize val="0"/>
            <c:showLeaderLines val="0"/>
          </c:dLbls>
          <c:cat>
            <c:strRef>
              <c:f>'Doba nezaměstnanosti'!$A$24:$A$29</c:f>
              <c:strCache>
                <c:ptCount val="6"/>
                <c:pt idx="0">
                  <c:v>ČR 12_15</c:v>
                </c:pt>
                <c:pt idx="1">
                  <c:v>ČR 6_16</c:v>
                </c:pt>
                <c:pt idx="2">
                  <c:v>ČR 9_16</c:v>
                </c:pt>
                <c:pt idx="3">
                  <c:v>ČR 12_16</c:v>
                </c:pt>
                <c:pt idx="4">
                  <c:v>ČR 3_17</c:v>
                </c:pt>
                <c:pt idx="5">
                  <c:v>ČR 6_17</c:v>
                </c:pt>
              </c:strCache>
            </c:strRef>
          </c:cat>
          <c:val>
            <c:numRef>
              <c:f>'Doba nezaměstnanosti'!$G$24:$G$29</c:f>
              <c:numCache>
                <c:formatCode>General</c:formatCode>
                <c:ptCount val="6"/>
                <c:pt idx="0">
                  <c:v>129323</c:v>
                </c:pt>
                <c:pt idx="1">
                  <c:v>114122</c:v>
                </c:pt>
                <c:pt idx="2">
                  <c:v>106843</c:v>
                </c:pt>
                <c:pt idx="3">
                  <c:v>98910</c:v>
                </c:pt>
                <c:pt idx="4">
                  <c:v>90805</c:v>
                </c:pt>
                <c:pt idx="5">
                  <c:v>80591</c:v>
                </c:pt>
              </c:numCache>
            </c:numRef>
          </c:val>
        </c:ser>
        <c:dLbls>
          <c:dLblPos val="ctr"/>
          <c:showLegendKey val="0"/>
          <c:showVal val="1"/>
          <c:showCatName val="0"/>
          <c:showSerName val="0"/>
          <c:showPercent val="0"/>
          <c:showBubbleSize val="0"/>
        </c:dLbls>
        <c:gapWidth val="150"/>
        <c:overlap val="100"/>
        <c:axId val="169107456"/>
        <c:axId val="169108992"/>
      </c:barChart>
      <c:catAx>
        <c:axId val="169107456"/>
        <c:scaling>
          <c:orientation val="maxMin"/>
        </c:scaling>
        <c:delete val="0"/>
        <c:axPos val="l"/>
        <c:majorTickMark val="out"/>
        <c:minorTickMark val="none"/>
        <c:tickLblPos val="nextTo"/>
        <c:txPr>
          <a:bodyPr/>
          <a:lstStyle/>
          <a:p>
            <a:pPr>
              <a:defRPr sz="800"/>
            </a:pPr>
            <a:endParaRPr lang="cs-CZ"/>
          </a:p>
        </c:txPr>
        <c:crossAx val="169108992"/>
        <c:crosses val="autoZero"/>
        <c:auto val="1"/>
        <c:lblAlgn val="ctr"/>
        <c:lblOffset val="100"/>
        <c:noMultiLvlLbl val="0"/>
      </c:catAx>
      <c:valAx>
        <c:axId val="169108992"/>
        <c:scaling>
          <c:orientation val="minMax"/>
        </c:scaling>
        <c:delete val="0"/>
        <c:axPos val="t"/>
        <c:majorGridlines>
          <c:spPr>
            <a:ln w="12700">
              <a:solidFill>
                <a:schemeClr val="tx1"/>
              </a:solidFill>
            </a:ln>
          </c:spPr>
        </c:majorGridlines>
        <c:minorGridlines/>
        <c:numFmt formatCode="0%" sourceLinked="1"/>
        <c:majorTickMark val="out"/>
        <c:minorTickMark val="none"/>
        <c:tickLblPos val="nextTo"/>
        <c:spPr>
          <a:ln w="12700">
            <a:solidFill>
              <a:schemeClr val="tx1"/>
            </a:solidFill>
          </a:ln>
        </c:spPr>
        <c:txPr>
          <a:bodyPr/>
          <a:lstStyle/>
          <a:p>
            <a:pPr>
              <a:defRPr sz="800"/>
            </a:pPr>
            <a:endParaRPr lang="cs-CZ"/>
          </a:p>
        </c:txPr>
        <c:crossAx val="169107456"/>
        <c:crosses val="autoZero"/>
        <c:crossBetween val="between"/>
        <c:majorUnit val="5.000000000000001E-2"/>
        <c:minorUnit val="1.0000000000000002E-2"/>
      </c:val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93241816995099E-2"/>
          <c:y val="9.1615077413455967E-2"/>
          <c:w val="0.88613770242381928"/>
          <c:h val="0.8744217493535944"/>
        </c:manualLayout>
      </c:layout>
      <c:barChart>
        <c:barDir val="bar"/>
        <c:grouping val="percentStacked"/>
        <c:varyColors val="0"/>
        <c:ser>
          <c:idx val="0"/>
          <c:order val="0"/>
          <c:tx>
            <c:strRef>
              <c:f>'Doba nezaměstnanosti'!$AP$2</c:f>
              <c:strCache>
                <c:ptCount val="1"/>
                <c:pt idx="0">
                  <c:v>do 3M</c:v>
                </c:pt>
              </c:strCache>
            </c:strRef>
          </c:tx>
          <c:spPr>
            <a:solidFill>
              <a:srgbClr val="7ABC32"/>
            </a:solidFill>
          </c:spPr>
          <c:invertIfNegative val="0"/>
          <c:cat>
            <c:strRef>
              <c:f>'Doba nezaměstnanosti'!$AO$3:$AO$16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nezaměstnanosti'!$AP$3:$AP$16</c:f>
              <c:numCache>
                <c:formatCode>General</c:formatCode>
                <c:ptCount val="14"/>
                <c:pt idx="0">
                  <c:v>7789</c:v>
                </c:pt>
                <c:pt idx="1">
                  <c:v>9088</c:v>
                </c:pt>
                <c:pt idx="2">
                  <c:v>4419</c:v>
                </c:pt>
                <c:pt idx="3">
                  <c:v>3673</c:v>
                </c:pt>
                <c:pt idx="4">
                  <c:v>2308</c:v>
                </c:pt>
                <c:pt idx="5">
                  <c:v>8554</c:v>
                </c:pt>
                <c:pt idx="6">
                  <c:v>3864</c:v>
                </c:pt>
                <c:pt idx="7">
                  <c:v>3597</c:v>
                </c:pt>
                <c:pt idx="8">
                  <c:v>3569</c:v>
                </c:pt>
                <c:pt idx="9">
                  <c:v>3617</c:v>
                </c:pt>
                <c:pt idx="10">
                  <c:v>9455</c:v>
                </c:pt>
                <c:pt idx="11">
                  <c:v>5309</c:v>
                </c:pt>
                <c:pt idx="12">
                  <c:v>4187</c:v>
                </c:pt>
                <c:pt idx="13">
                  <c:v>12812</c:v>
                </c:pt>
              </c:numCache>
            </c:numRef>
          </c:val>
        </c:ser>
        <c:ser>
          <c:idx val="1"/>
          <c:order val="1"/>
          <c:tx>
            <c:strRef>
              <c:f>'Doba nezaměstnanosti'!$AQ$2</c:f>
              <c:strCache>
                <c:ptCount val="1"/>
                <c:pt idx="0">
                  <c:v>3-6M</c:v>
                </c:pt>
              </c:strCache>
            </c:strRef>
          </c:tx>
          <c:spPr>
            <a:solidFill>
              <a:schemeClr val="accent5">
                <a:lumMod val="40000"/>
                <a:lumOff val="60000"/>
              </a:schemeClr>
            </a:solidFill>
          </c:spPr>
          <c:invertIfNegative val="0"/>
          <c:cat>
            <c:strRef>
              <c:f>'Doba nezaměstnanosti'!$AO$3:$AO$16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nezaměstnanosti'!$AQ$3:$AQ$16</c:f>
              <c:numCache>
                <c:formatCode>General</c:formatCode>
                <c:ptCount val="14"/>
                <c:pt idx="0">
                  <c:v>5293</c:v>
                </c:pt>
                <c:pt idx="1">
                  <c:v>5816</c:v>
                </c:pt>
                <c:pt idx="2">
                  <c:v>2578</c:v>
                </c:pt>
                <c:pt idx="3">
                  <c:v>1972</c:v>
                </c:pt>
                <c:pt idx="4">
                  <c:v>1393</c:v>
                </c:pt>
                <c:pt idx="5">
                  <c:v>6045</c:v>
                </c:pt>
                <c:pt idx="6">
                  <c:v>2287</c:v>
                </c:pt>
                <c:pt idx="7">
                  <c:v>2005</c:v>
                </c:pt>
                <c:pt idx="8">
                  <c:v>1904</c:v>
                </c:pt>
                <c:pt idx="9">
                  <c:v>1976</c:v>
                </c:pt>
                <c:pt idx="10">
                  <c:v>6409</c:v>
                </c:pt>
                <c:pt idx="11">
                  <c:v>3444</c:v>
                </c:pt>
                <c:pt idx="12">
                  <c:v>2600</c:v>
                </c:pt>
                <c:pt idx="13">
                  <c:v>7794</c:v>
                </c:pt>
              </c:numCache>
            </c:numRef>
          </c:val>
        </c:ser>
        <c:ser>
          <c:idx val="2"/>
          <c:order val="2"/>
          <c:tx>
            <c:strRef>
              <c:f>'Doba nezaměstnanosti'!$AR$2</c:f>
              <c:strCache>
                <c:ptCount val="1"/>
                <c:pt idx="0">
                  <c:v>6-9M</c:v>
                </c:pt>
              </c:strCache>
            </c:strRef>
          </c:tx>
          <c:spPr>
            <a:solidFill>
              <a:schemeClr val="accent5">
                <a:lumMod val="60000"/>
                <a:lumOff val="40000"/>
              </a:schemeClr>
            </a:solidFill>
          </c:spPr>
          <c:invertIfNegative val="0"/>
          <c:cat>
            <c:strRef>
              <c:f>'Doba nezaměstnanosti'!$AO$3:$AO$16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nezaměstnanosti'!$AR$3:$AR$16</c:f>
              <c:numCache>
                <c:formatCode>General</c:formatCode>
                <c:ptCount val="14"/>
                <c:pt idx="0">
                  <c:v>2634</c:v>
                </c:pt>
                <c:pt idx="1">
                  <c:v>2978</c:v>
                </c:pt>
                <c:pt idx="2">
                  <c:v>1320</c:v>
                </c:pt>
                <c:pt idx="3">
                  <c:v>866</c:v>
                </c:pt>
                <c:pt idx="4">
                  <c:v>751</c:v>
                </c:pt>
                <c:pt idx="5">
                  <c:v>3301</c:v>
                </c:pt>
                <c:pt idx="6">
                  <c:v>1244</c:v>
                </c:pt>
                <c:pt idx="7">
                  <c:v>971</c:v>
                </c:pt>
                <c:pt idx="8">
                  <c:v>974</c:v>
                </c:pt>
                <c:pt idx="9">
                  <c:v>1101</c:v>
                </c:pt>
                <c:pt idx="10">
                  <c:v>3542</c:v>
                </c:pt>
                <c:pt idx="11">
                  <c:v>1898</c:v>
                </c:pt>
                <c:pt idx="12">
                  <c:v>1536</c:v>
                </c:pt>
                <c:pt idx="13">
                  <c:v>4620</c:v>
                </c:pt>
              </c:numCache>
            </c:numRef>
          </c:val>
        </c:ser>
        <c:ser>
          <c:idx val="3"/>
          <c:order val="3"/>
          <c:tx>
            <c:strRef>
              <c:f>'Doba nezaměstnanosti'!$AS$2</c:f>
              <c:strCache>
                <c:ptCount val="1"/>
                <c:pt idx="0">
                  <c:v>9-12M</c:v>
                </c:pt>
              </c:strCache>
            </c:strRef>
          </c:tx>
          <c:spPr>
            <a:solidFill>
              <a:schemeClr val="accent4">
                <a:lumMod val="60000"/>
                <a:lumOff val="40000"/>
              </a:schemeClr>
            </a:solidFill>
          </c:spPr>
          <c:invertIfNegative val="0"/>
          <c:cat>
            <c:strRef>
              <c:f>'Doba nezaměstnanosti'!$AO$3:$AO$16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nezaměstnanosti'!$AS$3:$AS$16</c:f>
              <c:numCache>
                <c:formatCode>General</c:formatCode>
                <c:ptCount val="14"/>
                <c:pt idx="0">
                  <c:v>1814</c:v>
                </c:pt>
                <c:pt idx="1">
                  <c:v>1970</c:v>
                </c:pt>
                <c:pt idx="2">
                  <c:v>784</c:v>
                </c:pt>
                <c:pt idx="3">
                  <c:v>609</c:v>
                </c:pt>
                <c:pt idx="4">
                  <c:v>464</c:v>
                </c:pt>
                <c:pt idx="5">
                  <c:v>2369</c:v>
                </c:pt>
                <c:pt idx="6">
                  <c:v>871</c:v>
                </c:pt>
                <c:pt idx="7">
                  <c:v>603</c:v>
                </c:pt>
                <c:pt idx="8">
                  <c:v>640</c:v>
                </c:pt>
                <c:pt idx="9">
                  <c:v>790</c:v>
                </c:pt>
                <c:pt idx="10">
                  <c:v>2677</c:v>
                </c:pt>
                <c:pt idx="11">
                  <c:v>1279</c:v>
                </c:pt>
                <c:pt idx="12">
                  <c:v>990</c:v>
                </c:pt>
                <c:pt idx="13">
                  <c:v>3395</c:v>
                </c:pt>
              </c:numCache>
            </c:numRef>
          </c:val>
        </c:ser>
        <c:ser>
          <c:idx val="4"/>
          <c:order val="4"/>
          <c:tx>
            <c:strRef>
              <c:f>'Doba nezaměstnanosti'!$AT$2</c:f>
              <c:strCache>
                <c:ptCount val="1"/>
                <c:pt idx="0">
                  <c:v>12-24M</c:v>
                </c:pt>
              </c:strCache>
            </c:strRef>
          </c:tx>
          <c:spPr>
            <a:solidFill>
              <a:srgbClr val="FF9999"/>
            </a:solidFill>
          </c:spPr>
          <c:invertIfNegative val="0"/>
          <c:cat>
            <c:strRef>
              <c:f>'Doba nezaměstnanosti'!$AO$3:$AO$16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nezaměstnanosti'!$AT$3:$AT$16</c:f>
              <c:numCache>
                <c:formatCode>General</c:formatCode>
                <c:ptCount val="14"/>
                <c:pt idx="0">
                  <c:v>3424</c:v>
                </c:pt>
                <c:pt idx="1">
                  <c:v>3486</c:v>
                </c:pt>
                <c:pt idx="2">
                  <c:v>1423</c:v>
                </c:pt>
                <c:pt idx="3">
                  <c:v>1092</c:v>
                </c:pt>
                <c:pt idx="4">
                  <c:v>1036</c:v>
                </c:pt>
                <c:pt idx="5">
                  <c:v>4830</c:v>
                </c:pt>
                <c:pt idx="6">
                  <c:v>1502</c:v>
                </c:pt>
                <c:pt idx="7">
                  <c:v>1199</c:v>
                </c:pt>
                <c:pt idx="8">
                  <c:v>968</c:v>
                </c:pt>
                <c:pt idx="9">
                  <c:v>1276</c:v>
                </c:pt>
                <c:pt idx="10">
                  <c:v>4928</c:v>
                </c:pt>
                <c:pt idx="11">
                  <c:v>2491</c:v>
                </c:pt>
                <c:pt idx="12">
                  <c:v>1679</c:v>
                </c:pt>
                <c:pt idx="13">
                  <c:v>6766</c:v>
                </c:pt>
              </c:numCache>
            </c:numRef>
          </c:val>
        </c:ser>
        <c:ser>
          <c:idx val="5"/>
          <c:order val="5"/>
          <c:tx>
            <c:strRef>
              <c:f>'Doba nezaměstnanosti'!$AU$2</c:f>
              <c:strCache>
                <c:ptCount val="1"/>
                <c:pt idx="0">
                  <c:v>nad 24M</c:v>
                </c:pt>
              </c:strCache>
            </c:strRef>
          </c:tx>
          <c:spPr>
            <a:solidFill>
              <a:srgbClr val="FF6969"/>
            </a:solidFill>
          </c:spPr>
          <c:invertIfNegative val="0"/>
          <c:cat>
            <c:strRef>
              <c:f>'Doba nezaměstnanosti'!$AO$3:$AO$16</c:f>
              <c:strCache>
                <c:ptCount val="14"/>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strCache>
            </c:strRef>
          </c:cat>
          <c:val>
            <c:numRef>
              <c:f>'Doba nezaměstnanosti'!$AU$3:$AU$16</c:f>
              <c:numCache>
                <c:formatCode>General</c:formatCode>
                <c:ptCount val="14"/>
                <c:pt idx="0">
                  <c:v>5254</c:v>
                </c:pt>
                <c:pt idx="1">
                  <c:v>7523</c:v>
                </c:pt>
                <c:pt idx="2">
                  <c:v>2414</c:v>
                </c:pt>
                <c:pt idx="3">
                  <c:v>2475</c:v>
                </c:pt>
                <c:pt idx="4">
                  <c:v>2722</c:v>
                </c:pt>
                <c:pt idx="5">
                  <c:v>11624</c:v>
                </c:pt>
                <c:pt idx="6">
                  <c:v>3053</c:v>
                </c:pt>
                <c:pt idx="7">
                  <c:v>2187</c:v>
                </c:pt>
                <c:pt idx="8">
                  <c:v>1728</c:v>
                </c:pt>
                <c:pt idx="9">
                  <c:v>3206</c:v>
                </c:pt>
                <c:pt idx="10">
                  <c:v>11032</c:v>
                </c:pt>
                <c:pt idx="11">
                  <c:v>5481</c:v>
                </c:pt>
                <c:pt idx="12">
                  <c:v>3271</c:v>
                </c:pt>
                <c:pt idx="13">
                  <c:v>18621</c:v>
                </c:pt>
              </c:numCache>
            </c:numRef>
          </c:val>
        </c:ser>
        <c:dLbls>
          <c:showLegendKey val="0"/>
          <c:showVal val="0"/>
          <c:showCatName val="0"/>
          <c:showSerName val="0"/>
          <c:showPercent val="0"/>
          <c:showBubbleSize val="0"/>
        </c:dLbls>
        <c:gapWidth val="150"/>
        <c:overlap val="100"/>
        <c:axId val="169129472"/>
        <c:axId val="169131008"/>
      </c:barChart>
      <c:catAx>
        <c:axId val="169129472"/>
        <c:scaling>
          <c:orientation val="maxMin"/>
        </c:scaling>
        <c:delete val="0"/>
        <c:axPos val="l"/>
        <c:majorTickMark val="out"/>
        <c:minorTickMark val="none"/>
        <c:tickLblPos val="nextTo"/>
        <c:txPr>
          <a:bodyPr/>
          <a:lstStyle/>
          <a:p>
            <a:pPr>
              <a:defRPr sz="800"/>
            </a:pPr>
            <a:endParaRPr lang="cs-CZ"/>
          </a:p>
        </c:txPr>
        <c:crossAx val="169131008"/>
        <c:crosses val="autoZero"/>
        <c:auto val="1"/>
        <c:lblAlgn val="ctr"/>
        <c:lblOffset val="100"/>
        <c:noMultiLvlLbl val="0"/>
      </c:catAx>
      <c:valAx>
        <c:axId val="169131008"/>
        <c:scaling>
          <c:orientation val="minMax"/>
        </c:scaling>
        <c:delete val="0"/>
        <c:axPos val="t"/>
        <c:majorGridlines/>
        <c:numFmt formatCode="0%" sourceLinked="1"/>
        <c:majorTickMark val="out"/>
        <c:minorTickMark val="none"/>
        <c:tickLblPos val="nextTo"/>
        <c:txPr>
          <a:bodyPr/>
          <a:lstStyle/>
          <a:p>
            <a:pPr>
              <a:defRPr sz="800"/>
            </a:pPr>
            <a:endParaRPr lang="cs-CZ"/>
          </a:p>
        </c:txPr>
        <c:crossAx val="16912947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069939380107137E-2"/>
          <c:y val="4.520355190778369E-2"/>
          <c:w val="0.87989708796281885"/>
          <c:h val="0.79346587596997975"/>
        </c:manualLayout>
      </c:layout>
      <c:barChart>
        <c:barDir val="bar"/>
        <c:grouping val="percentStacked"/>
        <c:varyColors val="0"/>
        <c:ser>
          <c:idx val="0"/>
          <c:order val="0"/>
          <c:tx>
            <c:strRef>
              <c:f>Vzdělání!$AF$5:$AF$6</c:f>
              <c:strCache>
                <c:ptCount val="1"/>
                <c:pt idx="0">
                  <c:v>bez a neúplné ZŠ</c:v>
                </c:pt>
              </c:strCache>
            </c:strRef>
          </c:tx>
          <c:spPr>
            <a:solidFill>
              <a:srgbClr val="FF7C80"/>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Vzdělání!$AF$7:$AF$21</c:f>
              <c:numCache>
                <c:formatCode>#,##0</c:formatCode>
                <c:ptCount val="15"/>
                <c:pt idx="0">
                  <c:v>139</c:v>
                </c:pt>
                <c:pt idx="1">
                  <c:v>321</c:v>
                </c:pt>
                <c:pt idx="2">
                  <c:v>151</c:v>
                </c:pt>
                <c:pt idx="3">
                  <c:v>89</c:v>
                </c:pt>
                <c:pt idx="4">
                  <c:v>3008</c:v>
                </c:pt>
                <c:pt idx="5">
                  <c:v>4806</c:v>
                </c:pt>
                <c:pt idx="6">
                  <c:v>898</c:v>
                </c:pt>
                <c:pt idx="7">
                  <c:v>78</c:v>
                </c:pt>
                <c:pt idx="8">
                  <c:v>314</c:v>
                </c:pt>
                <c:pt idx="9">
                  <c:v>26</c:v>
                </c:pt>
                <c:pt idx="10">
                  <c:v>72</c:v>
                </c:pt>
                <c:pt idx="11">
                  <c:v>58</c:v>
                </c:pt>
                <c:pt idx="12">
                  <c:v>18</c:v>
                </c:pt>
                <c:pt idx="13">
                  <c:v>1304</c:v>
                </c:pt>
                <c:pt idx="14">
                  <c:v>11282</c:v>
                </c:pt>
              </c:numCache>
            </c:numRef>
          </c:val>
        </c:ser>
        <c:ser>
          <c:idx val="1"/>
          <c:order val="1"/>
          <c:tx>
            <c:strRef>
              <c:f>Vzdělání!$AG$5:$AG$6</c:f>
              <c:strCache>
                <c:ptCount val="1"/>
                <c:pt idx="0">
                  <c:v>ZŠ</c:v>
                </c:pt>
              </c:strCache>
            </c:strRef>
          </c:tx>
          <c:spPr>
            <a:solidFill>
              <a:schemeClr val="accent2">
                <a:lumMod val="40000"/>
                <a:lumOff val="6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Vzdělání!$AG$7:$AG$21</c:f>
              <c:numCache>
                <c:formatCode>#,##0</c:formatCode>
                <c:ptCount val="15"/>
                <c:pt idx="0">
                  <c:v>5301</c:v>
                </c:pt>
                <c:pt idx="1">
                  <c:v>8821</c:v>
                </c:pt>
                <c:pt idx="2">
                  <c:v>3483</c:v>
                </c:pt>
                <c:pt idx="3">
                  <c:v>3296</c:v>
                </c:pt>
                <c:pt idx="4">
                  <c:v>1597</c:v>
                </c:pt>
                <c:pt idx="5">
                  <c:v>12997</c:v>
                </c:pt>
                <c:pt idx="6">
                  <c:v>3548</c:v>
                </c:pt>
                <c:pt idx="7">
                  <c:v>3280</c:v>
                </c:pt>
                <c:pt idx="8">
                  <c:v>2474</c:v>
                </c:pt>
                <c:pt idx="9">
                  <c:v>2375</c:v>
                </c:pt>
                <c:pt idx="10">
                  <c:v>9947</c:v>
                </c:pt>
                <c:pt idx="11">
                  <c:v>5836</c:v>
                </c:pt>
                <c:pt idx="12">
                  <c:v>2891</c:v>
                </c:pt>
                <c:pt idx="13">
                  <c:v>17208</c:v>
                </c:pt>
                <c:pt idx="14">
                  <c:v>83054</c:v>
                </c:pt>
              </c:numCache>
            </c:numRef>
          </c:val>
        </c:ser>
        <c:ser>
          <c:idx val="2"/>
          <c:order val="2"/>
          <c:tx>
            <c:strRef>
              <c:f>Vzdělání!$AH$5:$AH$6</c:f>
              <c:strCache>
                <c:ptCount val="1"/>
                <c:pt idx="0">
                  <c:v>nižší střední</c:v>
                </c:pt>
              </c:strCache>
            </c:strRef>
          </c:tx>
          <c:spPr>
            <a:solidFill>
              <a:srgbClr val="00CCFF"/>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Vzdělání!$AH$7:$AH$21</c:f>
              <c:numCache>
                <c:formatCode>#,##0</c:formatCode>
                <c:ptCount val="15"/>
                <c:pt idx="0">
                  <c:v>26</c:v>
                </c:pt>
                <c:pt idx="1">
                  <c:v>19</c:v>
                </c:pt>
                <c:pt idx="2">
                  <c:v>4</c:v>
                </c:pt>
                <c:pt idx="3">
                  <c:v>6</c:v>
                </c:pt>
                <c:pt idx="4">
                  <c:v>3</c:v>
                </c:pt>
                <c:pt idx="5">
                  <c:v>29</c:v>
                </c:pt>
                <c:pt idx="6">
                  <c:v>8</c:v>
                </c:pt>
                <c:pt idx="7">
                  <c:v>6</c:v>
                </c:pt>
                <c:pt idx="8">
                  <c:v>12</c:v>
                </c:pt>
                <c:pt idx="9">
                  <c:v>3</c:v>
                </c:pt>
                <c:pt idx="10">
                  <c:v>19</c:v>
                </c:pt>
                <c:pt idx="11">
                  <c:v>16</c:v>
                </c:pt>
                <c:pt idx="12">
                  <c:v>11</c:v>
                </c:pt>
                <c:pt idx="13">
                  <c:v>24</c:v>
                </c:pt>
                <c:pt idx="14">
                  <c:v>186</c:v>
                </c:pt>
              </c:numCache>
            </c:numRef>
          </c:val>
        </c:ser>
        <c:ser>
          <c:idx val="3"/>
          <c:order val="3"/>
          <c:tx>
            <c:strRef>
              <c:f>Vzdělání!$AI$5:$AI$6</c:f>
              <c:strCache>
                <c:ptCount val="1"/>
                <c:pt idx="0">
                  <c:v>nižší střední odborné</c:v>
                </c:pt>
              </c:strCache>
            </c:strRef>
          </c:tx>
          <c:spPr>
            <a:solidFill>
              <a:srgbClr val="99CCFF"/>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Vzdělání!$AI$7:$AI$21</c:f>
              <c:numCache>
                <c:formatCode>#,##0</c:formatCode>
                <c:ptCount val="15"/>
                <c:pt idx="0">
                  <c:v>243</c:v>
                </c:pt>
                <c:pt idx="1">
                  <c:v>654</c:v>
                </c:pt>
                <c:pt idx="2">
                  <c:v>276</c:v>
                </c:pt>
                <c:pt idx="3">
                  <c:v>227</c:v>
                </c:pt>
                <c:pt idx="4">
                  <c:v>290</c:v>
                </c:pt>
                <c:pt idx="5">
                  <c:v>1291</c:v>
                </c:pt>
                <c:pt idx="6">
                  <c:v>348</c:v>
                </c:pt>
                <c:pt idx="7">
                  <c:v>261</c:v>
                </c:pt>
                <c:pt idx="8">
                  <c:v>288</c:v>
                </c:pt>
                <c:pt idx="9">
                  <c:v>248</c:v>
                </c:pt>
                <c:pt idx="10">
                  <c:v>735</c:v>
                </c:pt>
                <c:pt idx="11">
                  <c:v>614</c:v>
                </c:pt>
                <c:pt idx="12">
                  <c:v>325</c:v>
                </c:pt>
                <c:pt idx="13">
                  <c:v>1723</c:v>
                </c:pt>
                <c:pt idx="14">
                  <c:v>7523</c:v>
                </c:pt>
              </c:numCache>
            </c:numRef>
          </c:val>
        </c:ser>
        <c:ser>
          <c:idx val="4"/>
          <c:order val="4"/>
          <c:tx>
            <c:strRef>
              <c:f>Vzdělání!$AJ$5:$AJ$6</c:f>
              <c:strCache>
                <c:ptCount val="1"/>
                <c:pt idx="0">
                  <c:v>Střední odb. (vyučen)</c:v>
                </c:pt>
              </c:strCache>
            </c:strRef>
          </c:tx>
          <c:spPr>
            <a:solidFill>
              <a:schemeClr val="accent1">
                <a:lumMod val="60000"/>
                <a:lumOff val="4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Vzdělání!$AJ$7:$AJ$21</c:f>
              <c:numCache>
                <c:formatCode>#,##0</c:formatCode>
                <c:ptCount val="15"/>
                <c:pt idx="0">
                  <c:v>6668</c:v>
                </c:pt>
                <c:pt idx="1">
                  <c:v>10544</c:v>
                </c:pt>
                <c:pt idx="2">
                  <c:v>4703</c:v>
                </c:pt>
                <c:pt idx="3">
                  <c:v>3710</c:v>
                </c:pt>
                <c:pt idx="4">
                  <c:v>2209</c:v>
                </c:pt>
                <c:pt idx="5">
                  <c:v>10682</c:v>
                </c:pt>
                <c:pt idx="6">
                  <c:v>4416</c:v>
                </c:pt>
                <c:pt idx="7">
                  <c:v>3560</c:v>
                </c:pt>
                <c:pt idx="8">
                  <c:v>3461</c:v>
                </c:pt>
                <c:pt idx="9">
                  <c:v>5045</c:v>
                </c:pt>
                <c:pt idx="10">
                  <c:v>13527</c:v>
                </c:pt>
                <c:pt idx="11">
                  <c:v>7229</c:v>
                </c:pt>
                <c:pt idx="12">
                  <c:v>5747</c:v>
                </c:pt>
                <c:pt idx="13">
                  <c:v>20253</c:v>
                </c:pt>
                <c:pt idx="14">
                  <c:v>101754</c:v>
                </c:pt>
              </c:numCache>
            </c:numRef>
          </c:val>
        </c:ser>
        <c:ser>
          <c:idx val="5"/>
          <c:order val="5"/>
          <c:tx>
            <c:strRef>
              <c:f>Vzdělání!$AK$5:$AK$6</c:f>
              <c:strCache>
                <c:ptCount val="1"/>
                <c:pt idx="0">
                  <c:v>Střední odb. bez mat. a vyuč.</c:v>
                </c:pt>
              </c:strCache>
            </c:strRef>
          </c:tx>
          <c:spPr>
            <a:solidFill>
              <a:schemeClr val="tx2">
                <a:lumMod val="60000"/>
                <a:lumOff val="4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Vzdělání!$AK$7:$AK$21</c:f>
              <c:numCache>
                <c:formatCode>#,##0</c:formatCode>
                <c:ptCount val="15"/>
                <c:pt idx="0">
                  <c:v>228</c:v>
                </c:pt>
                <c:pt idx="1">
                  <c:v>209</c:v>
                </c:pt>
                <c:pt idx="2">
                  <c:v>90</c:v>
                </c:pt>
                <c:pt idx="3">
                  <c:v>69</c:v>
                </c:pt>
                <c:pt idx="4">
                  <c:v>36</c:v>
                </c:pt>
                <c:pt idx="5">
                  <c:v>169</c:v>
                </c:pt>
                <c:pt idx="6">
                  <c:v>67</c:v>
                </c:pt>
                <c:pt idx="7">
                  <c:v>69</c:v>
                </c:pt>
                <c:pt idx="8">
                  <c:v>60</c:v>
                </c:pt>
                <c:pt idx="9">
                  <c:v>63</c:v>
                </c:pt>
                <c:pt idx="10">
                  <c:v>186</c:v>
                </c:pt>
                <c:pt idx="11">
                  <c:v>113</c:v>
                </c:pt>
                <c:pt idx="12">
                  <c:v>93</c:v>
                </c:pt>
                <c:pt idx="13">
                  <c:v>267</c:v>
                </c:pt>
                <c:pt idx="14">
                  <c:v>1719</c:v>
                </c:pt>
              </c:numCache>
            </c:numRef>
          </c:val>
        </c:ser>
        <c:ser>
          <c:idx val="6"/>
          <c:order val="6"/>
          <c:tx>
            <c:strRef>
              <c:f>Vzdělání!$AL$5:$AL$6</c:f>
              <c:strCache>
                <c:ptCount val="1"/>
                <c:pt idx="0">
                  <c:v> ÚSV</c:v>
                </c:pt>
              </c:strCache>
            </c:strRef>
          </c:tx>
          <c:spPr>
            <a:solidFill>
              <a:srgbClr val="CCECFF"/>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Vzdělání!$AL$7:$AL$21</c:f>
              <c:numCache>
                <c:formatCode>#,##0</c:formatCode>
                <c:ptCount val="15"/>
                <c:pt idx="0">
                  <c:v>1112</c:v>
                </c:pt>
                <c:pt idx="1">
                  <c:v>1054</c:v>
                </c:pt>
                <c:pt idx="2">
                  <c:v>402</c:v>
                </c:pt>
                <c:pt idx="3">
                  <c:v>270</c:v>
                </c:pt>
                <c:pt idx="4">
                  <c:v>136</c:v>
                </c:pt>
                <c:pt idx="5">
                  <c:v>722</c:v>
                </c:pt>
                <c:pt idx="6">
                  <c:v>315</c:v>
                </c:pt>
                <c:pt idx="7">
                  <c:v>313</c:v>
                </c:pt>
                <c:pt idx="8">
                  <c:v>277</c:v>
                </c:pt>
                <c:pt idx="9">
                  <c:v>384</c:v>
                </c:pt>
                <c:pt idx="10">
                  <c:v>1416</c:v>
                </c:pt>
                <c:pt idx="11">
                  <c:v>624</c:v>
                </c:pt>
                <c:pt idx="12">
                  <c:v>505</c:v>
                </c:pt>
                <c:pt idx="13">
                  <c:v>1533</c:v>
                </c:pt>
                <c:pt idx="14">
                  <c:v>9063</c:v>
                </c:pt>
              </c:numCache>
            </c:numRef>
          </c:val>
        </c:ser>
        <c:ser>
          <c:idx val="7"/>
          <c:order val="7"/>
          <c:tx>
            <c:strRef>
              <c:f>Vzdělání!$AM$5:$AM$6</c:f>
              <c:strCache>
                <c:ptCount val="1"/>
                <c:pt idx="0">
                  <c:v>ÚSO (vyuč.+ mat.)</c:v>
                </c:pt>
              </c:strCache>
            </c:strRef>
          </c:tx>
          <c:spPr>
            <a:solidFill>
              <a:schemeClr val="accent1">
                <a:lumMod val="40000"/>
                <a:lumOff val="6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Vzdělání!$AM$7:$AM$21</c:f>
              <c:numCache>
                <c:formatCode>#,##0</c:formatCode>
                <c:ptCount val="15"/>
                <c:pt idx="0">
                  <c:v>1194</c:v>
                </c:pt>
                <c:pt idx="1">
                  <c:v>1299</c:v>
                </c:pt>
                <c:pt idx="2">
                  <c:v>509</c:v>
                </c:pt>
                <c:pt idx="3">
                  <c:v>453</c:v>
                </c:pt>
                <c:pt idx="4">
                  <c:v>219</c:v>
                </c:pt>
                <c:pt idx="5">
                  <c:v>1049</c:v>
                </c:pt>
                <c:pt idx="6">
                  <c:v>402</c:v>
                </c:pt>
                <c:pt idx="7">
                  <c:v>417</c:v>
                </c:pt>
                <c:pt idx="8">
                  <c:v>402</c:v>
                </c:pt>
                <c:pt idx="9">
                  <c:v>541</c:v>
                </c:pt>
                <c:pt idx="10">
                  <c:v>1703</c:v>
                </c:pt>
                <c:pt idx="11">
                  <c:v>908</c:v>
                </c:pt>
                <c:pt idx="12">
                  <c:v>804</c:v>
                </c:pt>
                <c:pt idx="13">
                  <c:v>2349</c:v>
                </c:pt>
                <c:pt idx="14">
                  <c:v>12249</c:v>
                </c:pt>
              </c:numCache>
            </c:numRef>
          </c:val>
        </c:ser>
        <c:ser>
          <c:idx val="8"/>
          <c:order val="8"/>
          <c:tx>
            <c:strRef>
              <c:f>Vzdělání!$AN$5:$AN$6</c:f>
              <c:strCache>
                <c:ptCount val="1"/>
                <c:pt idx="0">
                  <c:v>ÚSO s maturitou (bez vyučení)</c:v>
                </c:pt>
              </c:strCache>
            </c:strRef>
          </c:tx>
          <c:spPr>
            <a:solidFill>
              <a:schemeClr val="accent5">
                <a:lumMod val="40000"/>
                <a:lumOff val="6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Vzdělání!$AN$7:$AN$21</c:f>
              <c:numCache>
                <c:formatCode>#,##0</c:formatCode>
                <c:ptCount val="15"/>
                <c:pt idx="0">
                  <c:v>6030</c:v>
                </c:pt>
                <c:pt idx="1">
                  <c:v>5279</c:v>
                </c:pt>
                <c:pt idx="2">
                  <c:v>2190</c:v>
                </c:pt>
                <c:pt idx="3">
                  <c:v>1743</c:v>
                </c:pt>
                <c:pt idx="4">
                  <c:v>899</c:v>
                </c:pt>
                <c:pt idx="5">
                  <c:v>3719</c:v>
                </c:pt>
                <c:pt idx="6">
                  <c:v>2006</c:v>
                </c:pt>
                <c:pt idx="7">
                  <c:v>1696</c:v>
                </c:pt>
                <c:pt idx="8">
                  <c:v>1700</c:v>
                </c:pt>
                <c:pt idx="9">
                  <c:v>2237</c:v>
                </c:pt>
                <c:pt idx="10">
                  <c:v>6487</c:v>
                </c:pt>
                <c:pt idx="11">
                  <c:v>2940</c:v>
                </c:pt>
                <c:pt idx="12">
                  <c:v>2507</c:v>
                </c:pt>
                <c:pt idx="13">
                  <c:v>6148</c:v>
                </c:pt>
                <c:pt idx="14">
                  <c:v>45581</c:v>
                </c:pt>
              </c:numCache>
            </c:numRef>
          </c:val>
        </c:ser>
        <c:ser>
          <c:idx val="9"/>
          <c:order val="9"/>
          <c:tx>
            <c:strRef>
              <c:f>Vzdělání!$AO$5:$AO$6</c:f>
              <c:strCache>
                <c:ptCount val="1"/>
                <c:pt idx="0">
                  <c:v>VOŠ</c:v>
                </c:pt>
              </c:strCache>
            </c:strRef>
          </c:tx>
          <c:spPr>
            <a:solidFill>
              <a:schemeClr val="accent3">
                <a:lumMod val="40000"/>
                <a:lumOff val="6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Vzdělání!$AO$7:$AO$21</c:f>
              <c:numCache>
                <c:formatCode>#,##0</c:formatCode>
                <c:ptCount val="15"/>
                <c:pt idx="0">
                  <c:v>446</c:v>
                </c:pt>
                <c:pt idx="1">
                  <c:v>352</c:v>
                </c:pt>
                <c:pt idx="2">
                  <c:v>133</c:v>
                </c:pt>
                <c:pt idx="3">
                  <c:v>78</c:v>
                </c:pt>
                <c:pt idx="4">
                  <c:v>26</c:v>
                </c:pt>
                <c:pt idx="5">
                  <c:v>131</c:v>
                </c:pt>
                <c:pt idx="6">
                  <c:v>89</c:v>
                </c:pt>
                <c:pt idx="7">
                  <c:v>96</c:v>
                </c:pt>
                <c:pt idx="8">
                  <c:v>97</c:v>
                </c:pt>
                <c:pt idx="9">
                  <c:v>149</c:v>
                </c:pt>
                <c:pt idx="10">
                  <c:v>337</c:v>
                </c:pt>
                <c:pt idx="11">
                  <c:v>128</c:v>
                </c:pt>
                <c:pt idx="12">
                  <c:v>114</c:v>
                </c:pt>
                <c:pt idx="13">
                  <c:v>241</c:v>
                </c:pt>
                <c:pt idx="14">
                  <c:v>2417</c:v>
                </c:pt>
              </c:numCache>
            </c:numRef>
          </c:val>
        </c:ser>
        <c:ser>
          <c:idx val="10"/>
          <c:order val="10"/>
          <c:tx>
            <c:strRef>
              <c:f>Vzdělání!$AP$5:$AP$6</c:f>
              <c:strCache>
                <c:ptCount val="1"/>
                <c:pt idx="0">
                  <c:v>bakalář.</c:v>
                </c:pt>
              </c:strCache>
            </c:strRef>
          </c:tx>
          <c:spPr>
            <a:solidFill>
              <a:schemeClr val="accent3">
                <a:lumMod val="60000"/>
                <a:lumOff val="40000"/>
              </a:schemeClr>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Vzdělání!$AP$7:$AP$21</c:f>
              <c:numCache>
                <c:formatCode>#,##0</c:formatCode>
                <c:ptCount val="15"/>
                <c:pt idx="0">
                  <c:v>884</c:v>
                </c:pt>
                <c:pt idx="1">
                  <c:v>494</c:v>
                </c:pt>
                <c:pt idx="2">
                  <c:v>264</c:v>
                </c:pt>
                <c:pt idx="3">
                  <c:v>196</c:v>
                </c:pt>
                <c:pt idx="4">
                  <c:v>89</c:v>
                </c:pt>
                <c:pt idx="5">
                  <c:v>350</c:v>
                </c:pt>
                <c:pt idx="6">
                  <c:v>207</c:v>
                </c:pt>
                <c:pt idx="7">
                  <c:v>213</c:v>
                </c:pt>
                <c:pt idx="8">
                  <c:v>191</c:v>
                </c:pt>
                <c:pt idx="9">
                  <c:v>245</c:v>
                </c:pt>
                <c:pt idx="10">
                  <c:v>843</c:v>
                </c:pt>
                <c:pt idx="11">
                  <c:v>347</c:v>
                </c:pt>
                <c:pt idx="12">
                  <c:v>338</c:v>
                </c:pt>
                <c:pt idx="13">
                  <c:v>748</c:v>
                </c:pt>
                <c:pt idx="14">
                  <c:v>5409</c:v>
                </c:pt>
              </c:numCache>
            </c:numRef>
          </c:val>
        </c:ser>
        <c:ser>
          <c:idx val="11"/>
          <c:order val="11"/>
          <c:tx>
            <c:strRef>
              <c:f>Vzdělání!$AQ$5:$AQ$6</c:f>
              <c:strCache>
                <c:ptCount val="1"/>
                <c:pt idx="0">
                  <c:v>VŠ (vč. doktor.)</c:v>
                </c:pt>
              </c:strCache>
            </c:strRef>
          </c:tx>
          <c:spPr>
            <a:solidFill>
              <a:srgbClr val="92D050"/>
            </a:solidFill>
          </c:spPr>
          <c:invertIfNegative val="0"/>
          <c:cat>
            <c:strRef>
              <c:f>Vzdělání!$AE$7:$AE$21</c:f>
              <c:strCache>
                <c:ptCount val="15"/>
                <c:pt idx="0">
                  <c:v>Praha</c:v>
                </c:pt>
                <c:pt idx="1">
                  <c:v>SČK</c:v>
                </c:pt>
                <c:pt idx="2">
                  <c:v>JČK</c:v>
                </c:pt>
                <c:pt idx="3">
                  <c:v>PLK</c:v>
                </c:pt>
                <c:pt idx="4">
                  <c:v>KVK</c:v>
                </c:pt>
                <c:pt idx="5">
                  <c:v>ULK</c:v>
                </c:pt>
                <c:pt idx="6">
                  <c:v>LBK</c:v>
                </c:pt>
                <c:pt idx="7">
                  <c:v>KHK</c:v>
                </c:pt>
                <c:pt idx="8">
                  <c:v>PBK</c:v>
                </c:pt>
                <c:pt idx="9">
                  <c:v>VYS</c:v>
                </c:pt>
                <c:pt idx="10">
                  <c:v>JMK</c:v>
                </c:pt>
                <c:pt idx="11">
                  <c:v>OLK</c:v>
                </c:pt>
                <c:pt idx="12">
                  <c:v>ZLK</c:v>
                </c:pt>
                <c:pt idx="13">
                  <c:v>MSK</c:v>
                </c:pt>
                <c:pt idx="14">
                  <c:v>ČR</c:v>
                </c:pt>
              </c:strCache>
            </c:strRef>
          </c:cat>
          <c:val>
            <c:numRef>
              <c:f>Vzdělání!$AQ$7:$AQ$21</c:f>
              <c:numCache>
                <c:formatCode>#,##0</c:formatCode>
                <c:ptCount val="15"/>
                <c:pt idx="0">
                  <c:v>3937</c:v>
                </c:pt>
                <c:pt idx="1">
                  <c:v>1815</c:v>
                </c:pt>
                <c:pt idx="2">
                  <c:v>733</c:v>
                </c:pt>
                <c:pt idx="3">
                  <c:v>550</c:v>
                </c:pt>
                <c:pt idx="4">
                  <c:v>162</c:v>
                </c:pt>
                <c:pt idx="5">
                  <c:v>778</c:v>
                </c:pt>
                <c:pt idx="6">
                  <c:v>517</c:v>
                </c:pt>
                <c:pt idx="7">
                  <c:v>573</c:v>
                </c:pt>
                <c:pt idx="8">
                  <c:v>507</c:v>
                </c:pt>
                <c:pt idx="9">
                  <c:v>650</c:v>
                </c:pt>
                <c:pt idx="10">
                  <c:v>2771</c:v>
                </c:pt>
                <c:pt idx="11">
                  <c:v>1089</c:v>
                </c:pt>
                <c:pt idx="12">
                  <c:v>910</c:v>
                </c:pt>
                <c:pt idx="13">
                  <c:v>2210</c:v>
                </c:pt>
                <c:pt idx="14">
                  <c:v>17202</c:v>
                </c:pt>
              </c:numCache>
            </c:numRef>
          </c:val>
        </c:ser>
        <c:dLbls>
          <c:showLegendKey val="0"/>
          <c:showVal val="0"/>
          <c:showCatName val="0"/>
          <c:showSerName val="0"/>
          <c:showPercent val="0"/>
          <c:showBubbleSize val="0"/>
        </c:dLbls>
        <c:gapWidth val="150"/>
        <c:overlap val="100"/>
        <c:axId val="175619456"/>
        <c:axId val="175629440"/>
      </c:barChart>
      <c:catAx>
        <c:axId val="175619456"/>
        <c:scaling>
          <c:orientation val="maxMin"/>
        </c:scaling>
        <c:delete val="0"/>
        <c:axPos val="l"/>
        <c:majorTickMark val="out"/>
        <c:minorTickMark val="none"/>
        <c:tickLblPos val="nextTo"/>
        <c:txPr>
          <a:bodyPr/>
          <a:lstStyle/>
          <a:p>
            <a:pPr>
              <a:defRPr sz="800"/>
            </a:pPr>
            <a:endParaRPr lang="cs-CZ"/>
          </a:p>
        </c:txPr>
        <c:crossAx val="175629440"/>
        <c:crosses val="autoZero"/>
        <c:auto val="1"/>
        <c:lblAlgn val="ctr"/>
        <c:lblOffset val="100"/>
        <c:noMultiLvlLbl val="0"/>
      </c:catAx>
      <c:valAx>
        <c:axId val="175629440"/>
        <c:scaling>
          <c:orientation val="minMax"/>
        </c:scaling>
        <c:delete val="0"/>
        <c:axPos val="t"/>
        <c:majorGridlines/>
        <c:numFmt formatCode="0%" sourceLinked="1"/>
        <c:majorTickMark val="out"/>
        <c:minorTickMark val="none"/>
        <c:tickLblPos val="nextTo"/>
        <c:txPr>
          <a:bodyPr/>
          <a:lstStyle/>
          <a:p>
            <a:pPr>
              <a:defRPr sz="800"/>
            </a:pPr>
            <a:endParaRPr lang="cs-CZ"/>
          </a:p>
        </c:txPr>
        <c:crossAx val="175619456"/>
        <c:crosses val="autoZero"/>
        <c:crossBetween val="between"/>
      </c:valAx>
    </c:plotArea>
    <c:legend>
      <c:legendPos val="b"/>
      <c:layout>
        <c:manualLayout>
          <c:xMode val="edge"/>
          <c:yMode val="edge"/>
          <c:x val="3.0998567201246194E-2"/>
          <c:y val="0.8700982086218283"/>
          <c:w val="0.94931255332650688"/>
          <c:h val="9.7488901081341409E-2"/>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292089094679003E-2"/>
          <c:y val="5.0925925925925923E-2"/>
          <c:w val="0.67804849918800536"/>
          <c:h val="0.85026975794692328"/>
        </c:manualLayout>
      </c:layout>
      <c:barChart>
        <c:barDir val="col"/>
        <c:grouping val="clustered"/>
        <c:varyColors val="0"/>
        <c:ser>
          <c:idx val="0"/>
          <c:order val="0"/>
          <c:tx>
            <c:strRef>
              <c:f>'Neobsazenost podle vzdělání'!$AK$139:$AK$141</c:f>
              <c:strCache>
                <c:ptCount val="1"/>
                <c:pt idx="0">
                  <c:v>VPM</c:v>
                </c:pt>
              </c:strCache>
            </c:strRef>
          </c:tx>
          <c:spPr>
            <a:solidFill>
              <a:schemeClr val="accent1">
                <a:lumMod val="40000"/>
                <a:lumOff val="60000"/>
              </a:schemeClr>
            </a:solidFill>
            <a:ln>
              <a:solidFill>
                <a:schemeClr val="accent1">
                  <a:lumMod val="60000"/>
                  <a:lumOff val="40000"/>
                </a:schemeClr>
              </a:solidFill>
            </a:ln>
          </c:spPr>
          <c:invertIfNegative val="0"/>
          <c:cat>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cat>
          <c:val>
            <c:numRef>
              <c:f>'Neobsazenost podle vzdělání'!$AK$142:$AK$153</c:f>
              <c:numCache>
                <c:formatCode>#,##0</c:formatCode>
                <c:ptCount val="12"/>
                <c:pt idx="0">
                  <c:v>6394</c:v>
                </c:pt>
                <c:pt idx="1">
                  <c:v>87755</c:v>
                </c:pt>
                <c:pt idx="2">
                  <c:v>1759</c:v>
                </c:pt>
                <c:pt idx="3">
                  <c:v>10149</c:v>
                </c:pt>
                <c:pt idx="4">
                  <c:v>45564</c:v>
                </c:pt>
                <c:pt idx="5">
                  <c:v>1596</c:v>
                </c:pt>
                <c:pt idx="6">
                  <c:v>4924</c:v>
                </c:pt>
                <c:pt idx="7">
                  <c:v>4393</c:v>
                </c:pt>
                <c:pt idx="8">
                  <c:v>10222</c:v>
                </c:pt>
                <c:pt idx="9">
                  <c:v>1623</c:v>
                </c:pt>
                <c:pt idx="10">
                  <c:v>2751</c:v>
                </c:pt>
                <c:pt idx="11">
                  <c:v>6369</c:v>
                </c:pt>
              </c:numCache>
            </c:numRef>
          </c:val>
        </c:ser>
        <c:ser>
          <c:idx val="1"/>
          <c:order val="1"/>
          <c:tx>
            <c:strRef>
              <c:f>'Neobsazenost podle vzdělání'!$AL$139:$AL$141</c:f>
              <c:strCache>
                <c:ptCount val="1"/>
                <c:pt idx="0">
                  <c:v> UoZ</c:v>
                </c:pt>
              </c:strCache>
            </c:strRef>
          </c:tx>
          <c:spPr>
            <a:pattFill prst="dkUpDiag">
              <a:fgClr>
                <a:schemeClr val="accent2">
                  <a:lumMod val="60000"/>
                  <a:lumOff val="40000"/>
                </a:schemeClr>
              </a:fgClr>
              <a:bgClr>
                <a:schemeClr val="bg1"/>
              </a:bgClr>
            </a:pattFill>
            <a:ln>
              <a:solidFill>
                <a:schemeClr val="accent2">
                  <a:lumMod val="60000"/>
                  <a:lumOff val="40000"/>
                </a:schemeClr>
              </a:solidFill>
            </a:ln>
          </c:spPr>
          <c:invertIfNegative val="0"/>
          <c:cat>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cat>
          <c:val>
            <c:numRef>
              <c:f>'Neobsazenost podle vzdělání'!$AL$142:$AL$153</c:f>
              <c:numCache>
                <c:formatCode>#,##0</c:formatCode>
                <c:ptCount val="12"/>
                <c:pt idx="0">
                  <c:v>11282</c:v>
                </c:pt>
                <c:pt idx="1">
                  <c:v>83054</c:v>
                </c:pt>
                <c:pt idx="2">
                  <c:v>186</c:v>
                </c:pt>
                <c:pt idx="3">
                  <c:v>7523</c:v>
                </c:pt>
                <c:pt idx="4">
                  <c:v>101754</c:v>
                </c:pt>
                <c:pt idx="5">
                  <c:v>1719</c:v>
                </c:pt>
                <c:pt idx="6">
                  <c:v>9063</c:v>
                </c:pt>
                <c:pt idx="7">
                  <c:v>12249</c:v>
                </c:pt>
                <c:pt idx="8">
                  <c:v>45581</c:v>
                </c:pt>
                <c:pt idx="9">
                  <c:v>2417</c:v>
                </c:pt>
                <c:pt idx="10">
                  <c:v>5409</c:v>
                </c:pt>
                <c:pt idx="11">
                  <c:v>17202</c:v>
                </c:pt>
              </c:numCache>
            </c:numRef>
          </c:val>
        </c:ser>
        <c:dLbls>
          <c:showLegendKey val="0"/>
          <c:showVal val="0"/>
          <c:showCatName val="0"/>
          <c:showSerName val="0"/>
          <c:showPercent val="0"/>
          <c:showBubbleSize val="0"/>
        </c:dLbls>
        <c:gapWidth val="150"/>
        <c:axId val="171331968"/>
        <c:axId val="171333888"/>
      </c:barChart>
      <c:scatterChart>
        <c:scatterStyle val="lineMarker"/>
        <c:varyColors val="0"/>
        <c:ser>
          <c:idx val="2"/>
          <c:order val="2"/>
          <c:tx>
            <c:strRef>
              <c:f>'Neobsazenost podle vzdělání'!$AI$139:$AI$141</c:f>
              <c:strCache>
                <c:ptCount val="1"/>
                <c:pt idx="0">
                  <c:v>30.6.2017</c:v>
                </c:pt>
              </c:strCache>
            </c:strRef>
          </c:tx>
          <c:spPr>
            <a:ln w="28575">
              <a:noFill/>
            </a:ln>
          </c:spPr>
          <c:marker>
            <c:symbol val="triangle"/>
            <c:size val="7"/>
            <c:spPr>
              <a:solidFill>
                <a:srgbClr val="7030A0"/>
              </a:solidFill>
              <a:ln>
                <a:solidFill>
                  <a:srgbClr val="7030A0"/>
                </a:solidFill>
              </a:ln>
            </c:spPr>
          </c:marker>
          <c:xVal>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xVal>
          <c:yVal>
            <c:numRef>
              <c:f>'Neobsazenost podle vzdělání'!$AI$142:$AI$154</c:f>
              <c:numCache>
                <c:formatCode>0.00</c:formatCode>
                <c:ptCount val="13"/>
                <c:pt idx="0">
                  <c:v>1.7644666875195496</c:v>
                </c:pt>
                <c:pt idx="1">
                  <c:v>0.94643040282604984</c:v>
                </c:pt>
                <c:pt idx="2">
                  <c:v>0.10574189880613985</c:v>
                </c:pt>
                <c:pt idx="3">
                  <c:v>0.74125529608828455</c:v>
                </c:pt>
                <c:pt idx="4">
                  <c:v>2.2332104292862787</c:v>
                </c:pt>
                <c:pt idx="5">
                  <c:v>1.0770676691729324</c:v>
                </c:pt>
                <c:pt idx="6">
                  <c:v>1.8405767668562145</c:v>
                </c:pt>
                <c:pt idx="7">
                  <c:v>2.7882995674937399</c:v>
                </c:pt>
                <c:pt idx="8">
                  <c:v>4.45910780669145</c:v>
                </c:pt>
                <c:pt idx="9">
                  <c:v>1.4892174984596427</c:v>
                </c:pt>
                <c:pt idx="10">
                  <c:v>1.9661941112322792</c:v>
                </c:pt>
                <c:pt idx="11">
                  <c:v>2.7008949599623175</c:v>
                </c:pt>
                <c:pt idx="12">
                  <c:v>1.6209298143314133</c:v>
                </c:pt>
              </c:numCache>
            </c:numRef>
          </c:yVal>
          <c:smooth val="0"/>
        </c:ser>
        <c:ser>
          <c:idx val="3"/>
          <c:order val="3"/>
          <c:tx>
            <c:strRef>
              <c:f>'Neobsazenost podle vzdělání'!$AM$139:$AM$141</c:f>
              <c:strCache>
                <c:ptCount val="1"/>
                <c:pt idx="0">
                  <c:v>31.12.2016</c:v>
                </c:pt>
              </c:strCache>
            </c:strRef>
          </c:tx>
          <c:spPr>
            <a:ln w="28575">
              <a:noFill/>
            </a:ln>
          </c:spPr>
          <c:marker>
            <c:symbol val="triangle"/>
            <c:size val="7"/>
            <c:spPr>
              <a:pattFill prst="pct20">
                <a:fgClr>
                  <a:srgbClr val="7030A0"/>
                </a:fgClr>
                <a:bgClr>
                  <a:schemeClr val="bg1"/>
                </a:bgClr>
              </a:pattFill>
            </c:spPr>
          </c:marker>
          <c:xVal>
            <c:strRef>
              <c:f>'Neobsazenost podle vzdělání'!$AJ$142:$AJ$154</c:f>
              <c:strCache>
                <c:ptCount val="13"/>
                <c:pt idx="0">
                  <c:v>A+B</c:v>
                </c:pt>
                <c:pt idx="1">
                  <c:v>C</c:v>
                </c:pt>
                <c:pt idx="2">
                  <c:v>D</c:v>
                </c:pt>
                <c:pt idx="3">
                  <c:v>E</c:v>
                </c:pt>
                <c:pt idx="4">
                  <c:v>H</c:v>
                </c:pt>
                <c:pt idx="5">
                  <c:v>J</c:v>
                </c:pt>
                <c:pt idx="6">
                  <c:v>K</c:v>
                </c:pt>
                <c:pt idx="7">
                  <c:v>L</c:v>
                </c:pt>
                <c:pt idx="8">
                  <c:v>M</c:v>
                </c:pt>
                <c:pt idx="9">
                  <c:v>N</c:v>
                </c:pt>
                <c:pt idx="10">
                  <c:v>R</c:v>
                </c:pt>
                <c:pt idx="11">
                  <c:v>T+V</c:v>
                </c:pt>
                <c:pt idx="12">
                  <c:v>celkem</c:v>
                </c:pt>
              </c:strCache>
            </c:strRef>
          </c:xVal>
          <c:yVal>
            <c:numRef>
              <c:f>'Neobsazenost podle vzdělání'!$AM$142:$AM$154</c:f>
              <c:numCache>
                <c:formatCode>0.00</c:formatCode>
                <c:ptCount val="13"/>
                <c:pt idx="0">
                  <c:v>2.2308943089430895</c:v>
                </c:pt>
                <c:pt idx="1">
                  <c:v>1.8213782669935834</c:v>
                </c:pt>
                <c:pt idx="2">
                  <c:v>0.15267175572519084</c:v>
                </c:pt>
                <c:pt idx="3">
                  <c:v>1.3968072976054733</c:v>
                </c:pt>
                <c:pt idx="4">
                  <c:v>3.7243472498343273</c:v>
                </c:pt>
                <c:pt idx="5">
                  <c:v>2.4720982142857144</c:v>
                </c:pt>
                <c:pt idx="6">
                  <c:v>3.052739525344272</c:v>
                </c:pt>
                <c:pt idx="7">
                  <c:v>4.4980726872246697</c:v>
                </c:pt>
                <c:pt idx="8">
                  <c:v>6.7869274920932412</c:v>
                </c:pt>
                <c:pt idx="9">
                  <c:v>2.5379090183559456</c:v>
                </c:pt>
                <c:pt idx="10">
                  <c:v>3.0772452303396927</c:v>
                </c:pt>
                <c:pt idx="11">
                  <c:v>4.4057906458797325</c:v>
                </c:pt>
                <c:pt idx="12">
                  <c:v>2.8783954111475905</c:v>
                </c:pt>
              </c:numCache>
            </c:numRef>
          </c:yVal>
          <c:smooth val="0"/>
        </c:ser>
        <c:dLbls>
          <c:showLegendKey val="0"/>
          <c:showVal val="0"/>
          <c:showCatName val="0"/>
          <c:showSerName val="0"/>
          <c:showPercent val="0"/>
          <c:showBubbleSize val="0"/>
        </c:dLbls>
        <c:axId val="171345408"/>
        <c:axId val="171343872"/>
      </c:scatterChart>
      <c:catAx>
        <c:axId val="171331968"/>
        <c:scaling>
          <c:orientation val="minMax"/>
        </c:scaling>
        <c:delete val="0"/>
        <c:axPos val="b"/>
        <c:majorTickMark val="out"/>
        <c:minorTickMark val="none"/>
        <c:tickLblPos val="nextTo"/>
        <c:txPr>
          <a:bodyPr/>
          <a:lstStyle/>
          <a:p>
            <a:pPr>
              <a:defRPr sz="800"/>
            </a:pPr>
            <a:endParaRPr lang="cs-CZ"/>
          </a:p>
        </c:txPr>
        <c:crossAx val="171333888"/>
        <c:crosses val="autoZero"/>
        <c:auto val="1"/>
        <c:lblAlgn val="ctr"/>
        <c:lblOffset val="100"/>
        <c:noMultiLvlLbl val="0"/>
      </c:catAx>
      <c:valAx>
        <c:axId val="171333888"/>
        <c:scaling>
          <c:orientation val="minMax"/>
          <c:max val="110000"/>
          <c:min val="0"/>
        </c:scaling>
        <c:delete val="0"/>
        <c:axPos val="l"/>
        <c:majorGridlines/>
        <c:numFmt formatCode="#,##0" sourceLinked="1"/>
        <c:majorTickMark val="out"/>
        <c:minorTickMark val="none"/>
        <c:tickLblPos val="nextTo"/>
        <c:txPr>
          <a:bodyPr/>
          <a:lstStyle/>
          <a:p>
            <a:pPr>
              <a:defRPr sz="800"/>
            </a:pPr>
            <a:endParaRPr lang="cs-CZ"/>
          </a:p>
        </c:txPr>
        <c:crossAx val="171331968"/>
        <c:crosses val="autoZero"/>
        <c:crossBetween val="between"/>
        <c:majorUnit val="10000"/>
      </c:valAx>
      <c:valAx>
        <c:axId val="171343872"/>
        <c:scaling>
          <c:orientation val="minMax"/>
          <c:max val="11"/>
          <c:min val="0"/>
        </c:scaling>
        <c:delete val="0"/>
        <c:axPos val="r"/>
        <c:numFmt formatCode="0.00" sourceLinked="1"/>
        <c:majorTickMark val="out"/>
        <c:minorTickMark val="none"/>
        <c:tickLblPos val="nextTo"/>
        <c:txPr>
          <a:bodyPr/>
          <a:lstStyle/>
          <a:p>
            <a:pPr>
              <a:defRPr sz="800"/>
            </a:pPr>
            <a:endParaRPr lang="cs-CZ"/>
          </a:p>
        </c:txPr>
        <c:crossAx val="171345408"/>
        <c:crosses val="max"/>
        <c:crossBetween val="midCat"/>
        <c:majorUnit val="1"/>
      </c:valAx>
      <c:valAx>
        <c:axId val="171345408"/>
        <c:scaling>
          <c:orientation val="minMax"/>
        </c:scaling>
        <c:delete val="1"/>
        <c:axPos val="b"/>
        <c:majorTickMark val="out"/>
        <c:minorTickMark val="none"/>
        <c:tickLblPos val="nextTo"/>
        <c:crossAx val="171343872"/>
        <c:crosses val="autoZero"/>
        <c:crossBetween val="midCat"/>
      </c:valAx>
    </c:plotArea>
    <c:legend>
      <c:legendPos val="r"/>
      <c:layout>
        <c:manualLayout>
          <c:xMode val="edge"/>
          <c:yMode val="edge"/>
          <c:x val="0.87448827377999394"/>
          <c:y val="4.9376640419947528E-2"/>
          <c:w val="0.11043364329054992"/>
          <c:h val="0.29013560804899385"/>
        </c:manualLayout>
      </c:layout>
      <c:overlay val="0"/>
      <c:txPr>
        <a:bodyPr/>
        <a:lstStyle/>
        <a:p>
          <a:pPr>
            <a:defRPr sz="800"/>
          </a:pPr>
          <a:endParaRPr lang="cs-CZ"/>
        </a:p>
      </c:txPr>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'Nekolidující zaměstnání'!$B$48</c:f>
              <c:strCache>
                <c:ptCount val="1"/>
                <c:pt idx="0">
                  <c:v>UoZ</c:v>
                </c:pt>
              </c:strCache>
            </c:strRef>
          </c:tx>
          <c:spPr>
            <a:solidFill>
              <a:schemeClr val="accent1">
                <a:lumMod val="60000"/>
                <a:lumOff val="40000"/>
              </a:schemeClr>
            </a:solidFill>
          </c:spPr>
          <c:invertIfNegative val="0"/>
          <c:cat>
            <c:strRef>
              <c:f>'Nekolidující zaměstnání'!$A$49:$A$66</c:f>
              <c:strCache>
                <c:ptCount val="18"/>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strCache>
            </c:strRef>
          </c:cat>
          <c:val>
            <c:numRef>
              <c:f>'Nekolidující zaměstnání'!$B$49:$B$66</c:f>
              <c:numCache>
                <c:formatCode>#,##0</c:formatCode>
                <c:ptCount val="18"/>
                <c:pt idx="0">
                  <c:v>467403</c:v>
                </c:pt>
                <c:pt idx="1">
                  <c:v>461254</c:v>
                </c:pt>
                <c:pt idx="2">
                  <c:v>443109</c:v>
                </c:pt>
                <c:pt idx="3">
                  <c:v>414960</c:v>
                </c:pt>
                <c:pt idx="4">
                  <c:v>394789</c:v>
                </c:pt>
                <c:pt idx="5">
                  <c:v>384328</c:v>
                </c:pt>
                <c:pt idx="6">
                  <c:v>392667</c:v>
                </c:pt>
                <c:pt idx="7">
                  <c:v>388474</c:v>
                </c:pt>
                <c:pt idx="8">
                  <c:v>378258</c:v>
                </c:pt>
                <c:pt idx="9">
                  <c:v>366244</c:v>
                </c:pt>
                <c:pt idx="10">
                  <c:v>362755</c:v>
                </c:pt>
                <c:pt idx="11">
                  <c:v>381373</c:v>
                </c:pt>
                <c:pt idx="12">
                  <c:v>389416</c:v>
                </c:pt>
                <c:pt idx="13">
                  <c:v>380208</c:v>
                </c:pt>
                <c:pt idx="14">
                  <c:v>356112</c:v>
                </c:pt>
                <c:pt idx="15">
                  <c:v>327199</c:v>
                </c:pt>
                <c:pt idx="16">
                  <c:v>308521</c:v>
                </c:pt>
                <c:pt idx="17">
                  <c:v>297439</c:v>
                </c:pt>
              </c:numCache>
            </c:numRef>
          </c:val>
        </c:ser>
        <c:ser>
          <c:idx val="2"/>
          <c:order val="1"/>
          <c:tx>
            <c:strRef>
              <c:f>'Nekolidující zaměstnání'!$C$48</c:f>
              <c:strCache>
                <c:ptCount val="1"/>
                <c:pt idx="0">
                  <c:v>UoZ nek.</c:v>
                </c:pt>
              </c:strCache>
            </c:strRef>
          </c:tx>
          <c:spPr>
            <a:solidFill>
              <a:schemeClr val="tx2">
                <a:lumMod val="60000"/>
                <a:lumOff val="40000"/>
              </a:schemeClr>
            </a:solidFill>
          </c:spPr>
          <c:invertIfNegative val="0"/>
          <c:cat>
            <c:strRef>
              <c:f>'Nekolidující zaměstnání'!$A$49:$A$66</c:f>
              <c:strCache>
                <c:ptCount val="18"/>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strCache>
            </c:strRef>
          </c:cat>
          <c:val>
            <c:numRef>
              <c:f>'Nekolidující zaměstnání'!$C$49:$C$66</c:f>
              <c:numCache>
                <c:formatCode>#,##0</c:formatCode>
                <c:ptCount val="18"/>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pt idx="12">
                  <c:v>30151</c:v>
                </c:pt>
                <c:pt idx="13">
                  <c:v>33494</c:v>
                </c:pt>
                <c:pt idx="14">
                  <c:v>35629</c:v>
                </c:pt>
                <c:pt idx="15">
                  <c:v>35483</c:v>
                </c:pt>
                <c:pt idx="16">
                  <c:v>35771</c:v>
                </c:pt>
                <c:pt idx="17">
                  <c:v>35308</c:v>
                </c:pt>
              </c:numCache>
            </c:numRef>
          </c:val>
        </c:ser>
        <c:dLbls>
          <c:showLegendKey val="0"/>
          <c:showVal val="0"/>
          <c:showCatName val="0"/>
          <c:showSerName val="0"/>
          <c:showPercent val="0"/>
          <c:showBubbleSize val="0"/>
        </c:dLbls>
        <c:gapWidth val="150"/>
        <c:axId val="171365120"/>
        <c:axId val="171366656"/>
      </c:barChart>
      <c:lineChart>
        <c:grouping val="standard"/>
        <c:varyColors val="0"/>
        <c:ser>
          <c:idx val="3"/>
          <c:order val="2"/>
          <c:tx>
            <c:strRef>
              <c:f>'Nekolidující zaměstnání'!$D$48</c:f>
              <c:strCache>
                <c:ptCount val="1"/>
                <c:pt idx="0">
                  <c:v>podíl nek.</c:v>
                </c:pt>
              </c:strCache>
            </c:strRef>
          </c:tx>
          <c:marker>
            <c:symbol val="none"/>
          </c:marker>
          <c:cat>
            <c:strRef>
              <c:f>'Nekolidující zaměstnání'!$A$49:$A$66</c:f>
              <c:strCache>
                <c:ptCount val="18"/>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strCache>
            </c:strRef>
          </c:cat>
          <c:val>
            <c:numRef>
              <c:f>'Nekolidující zaměstnání'!$D$49:$D$66</c:f>
              <c:numCache>
                <c:formatCode>0.00%</c:formatCode>
                <c:ptCount val="18"/>
                <c:pt idx="0">
                  <c:v>8.6122682139395765E-2</c:v>
                </c:pt>
                <c:pt idx="1">
                  <c:v>9.8854427278679421E-2</c:v>
                </c:pt>
                <c:pt idx="2">
                  <c:v>0.10776355253447797</c:v>
                </c:pt>
                <c:pt idx="3">
                  <c:v>0.11605214960478118</c:v>
                </c:pt>
                <c:pt idx="4">
                  <c:v>0.12279977405652133</c:v>
                </c:pt>
                <c:pt idx="5">
                  <c:v>0.12594970962303031</c:v>
                </c:pt>
                <c:pt idx="6">
                  <c:v>0.11791161467604866</c:v>
                </c:pt>
                <c:pt idx="7">
                  <c:v>0.11732574123364756</c:v>
                </c:pt>
                <c:pt idx="8">
                  <c:v>0.11840859942155883</c:v>
                </c:pt>
                <c:pt idx="9">
                  <c:v>0.1194749948122017</c:v>
                </c:pt>
                <c:pt idx="10">
                  <c:v>0.11885983652878665</c:v>
                </c:pt>
                <c:pt idx="11">
                  <c:v>0.10733061858075951</c:v>
                </c:pt>
                <c:pt idx="12">
                  <c:v>7.7426197177311668E-2</c:v>
                </c:pt>
                <c:pt idx="13">
                  <c:v>8.8093885452173545E-2</c:v>
                </c:pt>
                <c:pt idx="14">
                  <c:v>0.10004998427461023</c:v>
                </c:pt>
                <c:pt idx="15">
                  <c:v>0.10844470796059891</c:v>
                </c:pt>
                <c:pt idx="16">
                  <c:v>0.11594348520846232</c:v>
                </c:pt>
                <c:pt idx="17">
                  <c:v>0.11870669280087681</c:v>
                </c:pt>
              </c:numCache>
            </c:numRef>
          </c:val>
          <c:smooth val="0"/>
        </c:ser>
        <c:dLbls>
          <c:showLegendKey val="0"/>
          <c:showVal val="0"/>
          <c:showCatName val="0"/>
          <c:showSerName val="0"/>
          <c:showPercent val="0"/>
          <c:showBubbleSize val="0"/>
        </c:dLbls>
        <c:marker val="1"/>
        <c:smooth val="0"/>
        <c:axId val="171374464"/>
        <c:axId val="171372928"/>
      </c:lineChart>
      <c:catAx>
        <c:axId val="171365120"/>
        <c:scaling>
          <c:orientation val="minMax"/>
        </c:scaling>
        <c:delete val="0"/>
        <c:axPos val="b"/>
        <c:majorTickMark val="out"/>
        <c:minorTickMark val="none"/>
        <c:tickLblPos val="nextTo"/>
        <c:txPr>
          <a:bodyPr/>
          <a:lstStyle/>
          <a:p>
            <a:pPr>
              <a:defRPr sz="800"/>
            </a:pPr>
            <a:endParaRPr lang="cs-CZ"/>
          </a:p>
        </c:txPr>
        <c:crossAx val="171366656"/>
        <c:crosses val="autoZero"/>
        <c:auto val="1"/>
        <c:lblAlgn val="ctr"/>
        <c:lblOffset val="100"/>
        <c:noMultiLvlLbl val="0"/>
      </c:catAx>
      <c:valAx>
        <c:axId val="171366656"/>
        <c:scaling>
          <c:orientation val="minMax"/>
        </c:scaling>
        <c:delete val="0"/>
        <c:axPos val="l"/>
        <c:majorGridlines/>
        <c:numFmt formatCode="#,##0" sourceLinked="1"/>
        <c:majorTickMark val="out"/>
        <c:minorTickMark val="none"/>
        <c:tickLblPos val="nextTo"/>
        <c:txPr>
          <a:bodyPr/>
          <a:lstStyle/>
          <a:p>
            <a:pPr>
              <a:defRPr sz="800"/>
            </a:pPr>
            <a:endParaRPr lang="cs-CZ"/>
          </a:p>
        </c:txPr>
        <c:crossAx val="171365120"/>
        <c:crosses val="autoZero"/>
        <c:crossBetween val="between"/>
        <c:dispUnits>
          <c:builtInUnit val="thousands"/>
          <c:dispUnitsLbl>
            <c:txPr>
              <a:bodyPr/>
              <a:lstStyle/>
              <a:p>
                <a:pPr>
                  <a:defRPr sz="800"/>
                </a:pPr>
                <a:endParaRPr lang="cs-CZ"/>
              </a:p>
            </c:txPr>
          </c:dispUnitsLbl>
        </c:dispUnits>
      </c:valAx>
      <c:valAx>
        <c:axId val="171372928"/>
        <c:scaling>
          <c:orientation val="minMax"/>
        </c:scaling>
        <c:delete val="0"/>
        <c:axPos val="r"/>
        <c:numFmt formatCode="0%" sourceLinked="0"/>
        <c:majorTickMark val="out"/>
        <c:minorTickMark val="none"/>
        <c:tickLblPos val="nextTo"/>
        <c:txPr>
          <a:bodyPr/>
          <a:lstStyle/>
          <a:p>
            <a:pPr>
              <a:defRPr sz="800"/>
            </a:pPr>
            <a:endParaRPr lang="cs-CZ"/>
          </a:p>
        </c:txPr>
        <c:crossAx val="171374464"/>
        <c:crosses val="max"/>
        <c:crossBetween val="between"/>
      </c:valAx>
      <c:catAx>
        <c:axId val="171374464"/>
        <c:scaling>
          <c:orientation val="minMax"/>
        </c:scaling>
        <c:delete val="1"/>
        <c:axPos val="b"/>
        <c:majorTickMark val="out"/>
        <c:minorTickMark val="none"/>
        <c:tickLblPos val="nextTo"/>
        <c:crossAx val="171372928"/>
        <c:crosses val="autoZero"/>
        <c:auto val="1"/>
        <c:lblAlgn val="ctr"/>
        <c:lblOffset val="100"/>
        <c:noMultiLvlLbl val="0"/>
      </c:catAx>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202016825974311E-2"/>
          <c:y val="5.0925925925925923E-2"/>
          <c:w val="0.8978713711974543"/>
          <c:h val="0.4495913531641878"/>
        </c:manualLayout>
      </c:layout>
      <c:barChart>
        <c:barDir val="bar"/>
        <c:grouping val="percentStacked"/>
        <c:varyColors val="0"/>
        <c:ser>
          <c:idx val="0"/>
          <c:order val="0"/>
          <c:tx>
            <c:strRef>
              <c:f>'Neobsazenost podle profesí'!$AG$77</c:f>
              <c:strCache>
                <c:ptCount val="1"/>
                <c:pt idx="0">
                  <c:v>Zaměstnanci v ozbrojených silách</c:v>
                </c:pt>
              </c:strCache>
            </c:strRef>
          </c:tx>
          <c:invertIfNegative val="0"/>
          <c:cat>
            <c:strRef>
              <c:f>('Neobsazenost podle profesí'!$AI$76,'Neobsazenost podle profesí'!$AL$76)</c:f>
              <c:strCache>
                <c:ptCount val="2"/>
                <c:pt idx="0">
                  <c:v>0-3M</c:v>
                </c:pt>
                <c:pt idx="1">
                  <c:v>nad 12</c:v>
                </c:pt>
              </c:strCache>
            </c:strRef>
          </c:cat>
          <c:val>
            <c:numRef>
              <c:f>('Neobsazenost podle profesí'!$AI$77,'Neobsazenost podle profesí'!$AL$77)</c:f>
              <c:numCache>
                <c:formatCode>General</c:formatCode>
                <c:ptCount val="2"/>
                <c:pt idx="0">
                  <c:v>20</c:v>
                </c:pt>
                <c:pt idx="1">
                  <c:v>293</c:v>
                </c:pt>
              </c:numCache>
            </c:numRef>
          </c:val>
        </c:ser>
        <c:ser>
          <c:idx val="1"/>
          <c:order val="1"/>
          <c:tx>
            <c:strRef>
              <c:f>'Neobsazenost podle profesí'!$AG$78</c:f>
              <c:strCache>
                <c:ptCount val="1"/>
                <c:pt idx="0">
                  <c:v>Zákonodárci a řídící pracovníci</c:v>
                </c:pt>
              </c:strCache>
            </c:strRef>
          </c:tx>
          <c:invertIfNegative val="0"/>
          <c:cat>
            <c:strRef>
              <c:f>('Neobsazenost podle profesí'!$AI$76,'Neobsazenost podle profesí'!$AL$76)</c:f>
              <c:strCache>
                <c:ptCount val="2"/>
                <c:pt idx="0">
                  <c:v>0-3M</c:v>
                </c:pt>
                <c:pt idx="1">
                  <c:v>nad 12</c:v>
                </c:pt>
              </c:strCache>
            </c:strRef>
          </c:cat>
          <c:val>
            <c:numRef>
              <c:f>('Neobsazenost podle profesí'!$AI$78,'Neobsazenost podle profesí'!$AL$78)</c:f>
              <c:numCache>
                <c:formatCode>General</c:formatCode>
                <c:ptCount val="2"/>
                <c:pt idx="0">
                  <c:v>753</c:v>
                </c:pt>
                <c:pt idx="1">
                  <c:v>367</c:v>
                </c:pt>
              </c:numCache>
            </c:numRef>
          </c:val>
        </c:ser>
        <c:ser>
          <c:idx val="2"/>
          <c:order val="2"/>
          <c:tx>
            <c:strRef>
              <c:f>'Neobsazenost podle profesí'!$AG$79</c:f>
              <c:strCache>
                <c:ptCount val="1"/>
                <c:pt idx="0">
                  <c:v>Specialisté</c:v>
                </c:pt>
              </c:strCache>
            </c:strRef>
          </c:tx>
          <c:invertIfNegative val="0"/>
          <c:cat>
            <c:strRef>
              <c:f>('Neobsazenost podle profesí'!$AI$76,'Neobsazenost podle profesí'!$AL$76)</c:f>
              <c:strCache>
                <c:ptCount val="2"/>
                <c:pt idx="0">
                  <c:v>0-3M</c:v>
                </c:pt>
                <c:pt idx="1">
                  <c:v>nad 12</c:v>
                </c:pt>
              </c:strCache>
            </c:strRef>
          </c:cat>
          <c:val>
            <c:numRef>
              <c:f>('Neobsazenost podle profesí'!$AI$79,'Neobsazenost podle profesí'!$AL$79)</c:f>
              <c:numCache>
                <c:formatCode>#,##0</c:formatCode>
                <c:ptCount val="2"/>
                <c:pt idx="0">
                  <c:v>5473</c:v>
                </c:pt>
                <c:pt idx="1">
                  <c:v>3682</c:v>
                </c:pt>
              </c:numCache>
            </c:numRef>
          </c:val>
        </c:ser>
        <c:ser>
          <c:idx val="3"/>
          <c:order val="3"/>
          <c:tx>
            <c:strRef>
              <c:f>'Neobsazenost podle profesí'!$AG$80</c:f>
              <c:strCache>
                <c:ptCount val="1"/>
                <c:pt idx="0">
                  <c:v>Techničtí a odborní pracovníci</c:v>
                </c:pt>
              </c:strCache>
            </c:strRef>
          </c:tx>
          <c:invertIfNegative val="0"/>
          <c:cat>
            <c:strRef>
              <c:f>('Neobsazenost podle profesí'!$AI$76,'Neobsazenost podle profesí'!$AL$76)</c:f>
              <c:strCache>
                <c:ptCount val="2"/>
                <c:pt idx="0">
                  <c:v>0-3M</c:v>
                </c:pt>
                <c:pt idx="1">
                  <c:v>nad 12</c:v>
                </c:pt>
              </c:strCache>
            </c:strRef>
          </c:cat>
          <c:val>
            <c:numRef>
              <c:f>('Neobsazenost podle profesí'!$AI$80,'Neobsazenost podle profesí'!$AL$80)</c:f>
              <c:numCache>
                <c:formatCode>#,##0</c:formatCode>
                <c:ptCount val="2"/>
                <c:pt idx="0">
                  <c:v>5575</c:v>
                </c:pt>
                <c:pt idx="1">
                  <c:v>2522</c:v>
                </c:pt>
              </c:numCache>
            </c:numRef>
          </c:val>
        </c:ser>
        <c:ser>
          <c:idx val="4"/>
          <c:order val="4"/>
          <c:tx>
            <c:strRef>
              <c:f>'Neobsazenost podle profesí'!$AG$81</c:f>
              <c:strCache>
                <c:ptCount val="1"/>
                <c:pt idx="0">
                  <c:v>Úředníci</c:v>
                </c:pt>
              </c:strCache>
            </c:strRef>
          </c:tx>
          <c:invertIfNegative val="0"/>
          <c:cat>
            <c:strRef>
              <c:f>('Neobsazenost podle profesí'!$AI$76,'Neobsazenost podle profesí'!$AL$76)</c:f>
              <c:strCache>
                <c:ptCount val="2"/>
                <c:pt idx="0">
                  <c:v>0-3M</c:v>
                </c:pt>
                <c:pt idx="1">
                  <c:v>nad 12</c:v>
                </c:pt>
              </c:strCache>
            </c:strRef>
          </c:cat>
          <c:val>
            <c:numRef>
              <c:f>('Neobsazenost podle profesí'!$AI$81,'Neobsazenost podle profesí'!$AL$81)</c:f>
              <c:numCache>
                <c:formatCode>#,##0</c:formatCode>
                <c:ptCount val="2"/>
                <c:pt idx="0">
                  <c:v>3024</c:v>
                </c:pt>
                <c:pt idx="1">
                  <c:v>1039</c:v>
                </c:pt>
              </c:numCache>
            </c:numRef>
          </c:val>
        </c:ser>
        <c:ser>
          <c:idx val="5"/>
          <c:order val="5"/>
          <c:tx>
            <c:strRef>
              <c:f>'Neobsazenost podle profesí'!$AG$82</c:f>
              <c:strCache>
                <c:ptCount val="1"/>
                <c:pt idx="0">
                  <c:v>Pracovníci ve službách a prodeji</c:v>
                </c:pt>
              </c:strCache>
            </c:strRef>
          </c:tx>
          <c:invertIfNegative val="0"/>
          <c:cat>
            <c:strRef>
              <c:f>('Neobsazenost podle profesí'!$AI$76,'Neobsazenost podle profesí'!$AL$76)</c:f>
              <c:strCache>
                <c:ptCount val="2"/>
                <c:pt idx="0">
                  <c:v>0-3M</c:v>
                </c:pt>
                <c:pt idx="1">
                  <c:v>nad 12</c:v>
                </c:pt>
              </c:strCache>
            </c:strRef>
          </c:cat>
          <c:val>
            <c:numRef>
              <c:f>('Neobsazenost podle profesí'!$AI$82,'Neobsazenost podle profesí'!$AL$82)</c:f>
              <c:numCache>
                <c:formatCode>#,##0</c:formatCode>
                <c:ptCount val="2"/>
                <c:pt idx="0">
                  <c:v>12105</c:v>
                </c:pt>
                <c:pt idx="1">
                  <c:v>4597</c:v>
                </c:pt>
              </c:numCache>
            </c:numRef>
          </c:val>
        </c:ser>
        <c:ser>
          <c:idx val="6"/>
          <c:order val="6"/>
          <c:tx>
            <c:strRef>
              <c:f>'Neobsazenost podle profesí'!$AG$83</c:f>
              <c:strCache>
                <c:ptCount val="1"/>
                <c:pt idx="0">
                  <c:v>Kvalifikovaní pracovníci v zem., les., ryb.</c:v>
                </c:pt>
              </c:strCache>
            </c:strRef>
          </c:tx>
          <c:invertIfNegative val="0"/>
          <c:cat>
            <c:strRef>
              <c:f>('Neobsazenost podle profesí'!$AI$76,'Neobsazenost podle profesí'!$AL$76)</c:f>
              <c:strCache>
                <c:ptCount val="2"/>
                <c:pt idx="0">
                  <c:v>0-3M</c:v>
                </c:pt>
                <c:pt idx="1">
                  <c:v>nad 12</c:v>
                </c:pt>
              </c:strCache>
            </c:strRef>
          </c:cat>
          <c:val>
            <c:numRef>
              <c:f>('Neobsazenost podle profesí'!$AI$83,'Neobsazenost podle profesí'!$AL$83)</c:f>
              <c:numCache>
                <c:formatCode>General</c:formatCode>
                <c:ptCount val="2"/>
                <c:pt idx="0">
                  <c:v>726</c:v>
                </c:pt>
                <c:pt idx="1">
                  <c:v>203</c:v>
                </c:pt>
              </c:numCache>
            </c:numRef>
          </c:val>
        </c:ser>
        <c:ser>
          <c:idx val="7"/>
          <c:order val="7"/>
          <c:tx>
            <c:strRef>
              <c:f>'Neobsazenost podle profesí'!$AG$84</c:f>
              <c:strCache>
                <c:ptCount val="1"/>
                <c:pt idx="0">
                  <c:v>Řemeslníci a opraváři</c:v>
                </c:pt>
              </c:strCache>
            </c:strRef>
          </c:tx>
          <c:invertIfNegative val="0"/>
          <c:cat>
            <c:strRef>
              <c:f>('Neobsazenost podle profesí'!$AI$76,'Neobsazenost podle profesí'!$AL$76)</c:f>
              <c:strCache>
                <c:ptCount val="2"/>
                <c:pt idx="0">
                  <c:v>0-3M</c:v>
                </c:pt>
                <c:pt idx="1">
                  <c:v>nad 12</c:v>
                </c:pt>
              </c:strCache>
            </c:strRef>
          </c:cat>
          <c:val>
            <c:numRef>
              <c:f>('Neobsazenost podle profesí'!$AI$84,'Neobsazenost podle profesí'!$AL$84)</c:f>
              <c:numCache>
                <c:formatCode>#,##0</c:formatCode>
                <c:ptCount val="2"/>
                <c:pt idx="0">
                  <c:v>15088</c:v>
                </c:pt>
                <c:pt idx="1">
                  <c:v>8306</c:v>
                </c:pt>
              </c:numCache>
            </c:numRef>
          </c:val>
        </c:ser>
        <c:ser>
          <c:idx val="8"/>
          <c:order val="8"/>
          <c:tx>
            <c:strRef>
              <c:f>'Neobsazenost podle profesí'!$AG$85</c:f>
              <c:strCache>
                <c:ptCount val="1"/>
                <c:pt idx="0">
                  <c:v>Obsluha strojů a zařízení, montéři</c:v>
                </c:pt>
              </c:strCache>
            </c:strRef>
          </c:tx>
          <c:invertIfNegative val="0"/>
          <c:cat>
            <c:strRef>
              <c:f>('Neobsazenost podle profesí'!$AI$76,'Neobsazenost podle profesí'!$AL$76)</c:f>
              <c:strCache>
                <c:ptCount val="2"/>
                <c:pt idx="0">
                  <c:v>0-3M</c:v>
                </c:pt>
                <c:pt idx="1">
                  <c:v>nad 12</c:v>
                </c:pt>
              </c:strCache>
            </c:strRef>
          </c:cat>
          <c:val>
            <c:numRef>
              <c:f>('Neobsazenost podle profesí'!$AI$85,'Neobsazenost podle profesí'!$AL$85)</c:f>
              <c:numCache>
                <c:formatCode>#,##0</c:formatCode>
                <c:ptCount val="2"/>
                <c:pt idx="0">
                  <c:v>17658</c:v>
                </c:pt>
                <c:pt idx="1">
                  <c:v>8518</c:v>
                </c:pt>
              </c:numCache>
            </c:numRef>
          </c:val>
        </c:ser>
        <c:ser>
          <c:idx val="9"/>
          <c:order val="9"/>
          <c:tx>
            <c:strRef>
              <c:f>'Neobsazenost podle profesí'!$AG$86</c:f>
              <c:strCache>
                <c:ptCount val="1"/>
                <c:pt idx="0">
                  <c:v>Pomocní a nekvalifik. pracovníci</c:v>
                </c:pt>
              </c:strCache>
            </c:strRef>
          </c:tx>
          <c:invertIfNegative val="0"/>
          <c:cat>
            <c:strRef>
              <c:f>('Neobsazenost podle profesí'!$AI$76,'Neobsazenost podle profesí'!$AL$76)</c:f>
              <c:strCache>
                <c:ptCount val="2"/>
                <c:pt idx="0">
                  <c:v>0-3M</c:v>
                </c:pt>
                <c:pt idx="1">
                  <c:v>nad 12</c:v>
                </c:pt>
              </c:strCache>
            </c:strRef>
          </c:cat>
          <c:val>
            <c:numRef>
              <c:f>('Neobsazenost podle profesí'!$AI$86,'Neobsazenost podle profesí'!$AL$86)</c:f>
              <c:numCache>
                <c:formatCode>#,##0</c:formatCode>
                <c:ptCount val="2"/>
                <c:pt idx="0">
                  <c:v>28057</c:v>
                </c:pt>
                <c:pt idx="1">
                  <c:v>6935</c:v>
                </c:pt>
              </c:numCache>
            </c:numRef>
          </c:val>
        </c:ser>
        <c:dLbls>
          <c:showLegendKey val="0"/>
          <c:showVal val="0"/>
          <c:showCatName val="0"/>
          <c:showSerName val="0"/>
          <c:showPercent val="0"/>
          <c:showBubbleSize val="0"/>
        </c:dLbls>
        <c:gapWidth val="150"/>
        <c:overlap val="100"/>
        <c:axId val="91298432"/>
        <c:axId val="91500928"/>
      </c:barChart>
      <c:catAx>
        <c:axId val="91298432"/>
        <c:scaling>
          <c:orientation val="minMax"/>
        </c:scaling>
        <c:delete val="0"/>
        <c:axPos val="l"/>
        <c:majorTickMark val="out"/>
        <c:minorTickMark val="none"/>
        <c:tickLblPos val="nextTo"/>
        <c:txPr>
          <a:bodyPr/>
          <a:lstStyle/>
          <a:p>
            <a:pPr>
              <a:defRPr sz="800"/>
            </a:pPr>
            <a:endParaRPr lang="cs-CZ"/>
          </a:p>
        </c:txPr>
        <c:crossAx val="91500928"/>
        <c:crosses val="autoZero"/>
        <c:auto val="1"/>
        <c:lblAlgn val="ctr"/>
        <c:lblOffset val="100"/>
        <c:noMultiLvlLbl val="0"/>
      </c:catAx>
      <c:valAx>
        <c:axId val="91500928"/>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91298432"/>
        <c:crosses val="autoZero"/>
        <c:crossBetween val="between"/>
        <c:minorUnit val="1.0000000000000002E-2"/>
      </c:valAx>
    </c:plotArea>
    <c:legend>
      <c:legendPos val="b"/>
      <c:layout>
        <c:manualLayout>
          <c:xMode val="edge"/>
          <c:yMode val="edge"/>
          <c:x val="1.1700273576914E-2"/>
          <c:y val="0.61649715660542437"/>
          <c:w val="0.98739272174311543"/>
          <c:h val="0.26776210265383488"/>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3"/>
          <c:order val="0"/>
          <c:tx>
            <c:strRef>
              <c:f>'Nekolidující zaměstnání'!$X$47</c:f>
              <c:strCache>
                <c:ptCount val="1"/>
                <c:pt idx="0">
                  <c:v>reálně dostupní UoZ</c:v>
                </c:pt>
              </c:strCache>
            </c:strRef>
          </c:tx>
          <c:spPr>
            <a:solidFill>
              <a:schemeClr val="accent3">
                <a:lumMod val="60000"/>
                <a:lumOff val="40000"/>
              </a:schemeClr>
            </a:solidFill>
          </c:spPr>
          <c:invertIfNegative val="0"/>
          <c:cat>
            <c:strRef>
              <c:f>'Nekolidující zaměstnání'!$R$49:$R$67</c:f>
              <c:strCache>
                <c:ptCount val="19"/>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0</c:v>
                </c:pt>
              </c:strCache>
            </c:strRef>
          </c:cat>
          <c:val>
            <c:numRef>
              <c:f>'Nekolidující zaměstnání'!$X$49:$X$66</c:f>
              <c:numCache>
                <c:formatCode>#,##0</c:formatCode>
                <c:ptCount val="18"/>
                <c:pt idx="0">
                  <c:v>408814</c:v>
                </c:pt>
                <c:pt idx="1">
                  <c:v>395655</c:v>
                </c:pt>
                <c:pt idx="2">
                  <c:v>374153</c:v>
                </c:pt>
                <c:pt idx="3">
                  <c:v>345335</c:v>
                </c:pt>
                <c:pt idx="4">
                  <c:v>324678</c:v>
                </c:pt>
                <c:pt idx="5">
                  <c:v>315796</c:v>
                </c:pt>
                <c:pt idx="6">
                  <c:v>327731</c:v>
                </c:pt>
                <c:pt idx="7">
                  <c:v>323962</c:v>
                </c:pt>
                <c:pt idx="8">
                  <c:v>312578</c:v>
                </c:pt>
                <c:pt idx="9">
                  <c:v>299742</c:v>
                </c:pt>
                <c:pt idx="10">
                  <c:v>295174</c:v>
                </c:pt>
                <c:pt idx="11">
                  <c:v>318084</c:v>
                </c:pt>
                <c:pt idx="12">
                  <c:v>335589</c:v>
                </c:pt>
                <c:pt idx="13">
                  <c:v>321175</c:v>
                </c:pt>
                <c:pt idx="14">
                  <c:v>294038</c:v>
                </c:pt>
                <c:pt idx="15">
                  <c:v>266191</c:v>
                </c:pt>
                <c:pt idx="16">
                  <c:v>246929</c:v>
                </c:pt>
                <c:pt idx="17">
                  <c:v>238227</c:v>
                </c:pt>
              </c:numCache>
            </c:numRef>
          </c:val>
        </c:ser>
        <c:ser>
          <c:idx val="0"/>
          <c:order val="1"/>
          <c:tx>
            <c:strRef>
              <c:f>'Nekolidující zaměstnání'!$U$47</c:f>
              <c:strCache>
                <c:ptCount val="1"/>
                <c:pt idx="0">
                  <c:v>nedosaž UoZ</c:v>
                </c:pt>
              </c:strCache>
            </c:strRef>
          </c:tx>
          <c:spPr>
            <a:solidFill>
              <a:srgbClr val="FF9999"/>
            </a:solidFill>
          </c:spPr>
          <c:invertIfNegative val="0"/>
          <c:cat>
            <c:strRef>
              <c:f>'Nekolidující zaměstnání'!$R$49:$R$67</c:f>
              <c:strCache>
                <c:ptCount val="19"/>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0</c:v>
                </c:pt>
              </c:strCache>
            </c:strRef>
          </c:cat>
          <c:val>
            <c:numRef>
              <c:f>'Nekolidující zaměstnání'!$U$49:$U$66</c:f>
              <c:numCache>
                <c:formatCode>#,##0</c:formatCode>
                <c:ptCount val="18"/>
                <c:pt idx="0">
                  <c:v>16699</c:v>
                </c:pt>
                <c:pt idx="1">
                  <c:v>17688</c:v>
                </c:pt>
                <c:pt idx="2">
                  <c:v>18427</c:v>
                </c:pt>
                <c:pt idx="3">
                  <c:v>18550</c:v>
                </c:pt>
                <c:pt idx="4">
                  <c:v>18910</c:v>
                </c:pt>
                <c:pt idx="5">
                  <c:v>18734</c:v>
                </c:pt>
                <c:pt idx="6">
                  <c:v>17732</c:v>
                </c:pt>
                <c:pt idx="7">
                  <c:v>17900</c:v>
                </c:pt>
                <c:pt idx="8">
                  <c:v>18964</c:v>
                </c:pt>
                <c:pt idx="9">
                  <c:v>20363</c:v>
                </c:pt>
                <c:pt idx="10">
                  <c:v>22090</c:v>
                </c:pt>
                <c:pt idx="11">
                  <c:v>21203</c:v>
                </c:pt>
                <c:pt idx="12">
                  <c:v>22248</c:v>
                </c:pt>
                <c:pt idx="13">
                  <c:v>23387</c:v>
                </c:pt>
                <c:pt idx="14">
                  <c:v>24014</c:v>
                </c:pt>
                <c:pt idx="15">
                  <c:v>23365</c:v>
                </c:pt>
                <c:pt idx="16">
                  <c:v>23655</c:v>
                </c:pt>
                <c:pt idx="17">
                  <c:v>22940</c:v>
                </c:pt>
              </c:numCache>
            </c:numRef>
          </c:val>
        </c:ser>
        <c:ser>
          <c:idx val="1"/>
          <c:order val="2"/>
          <c:tx>
            <c:strRef>
              <c:f>'Nekolidující zaměstnání'!$V$47</c:f>
              <c:strCache>
                <c:ptCount val="1"/>
                <c:pt idx="0">
                  <c:v>nekolid UoZ</c:v>
                </c:pt>
              </c:strCache>
            </c:strRef>
          </c:tx>
          <c:spPr>
            <a:solidFill>
              <a:schemeClr val="accent2">
                <a:lumMod val="40000"/>
                <a:lumOff val="60000"/>
              </a:schemeClr>
            </a:solidFill>
          </c:spPr>
          <c:invertIfNegative val="0"/>
          <c:cat>
            <c:strRef>
              <c:f>'Nekolidující zaměstnání'!$R$49:$R$67</c:f>
              <c:strCache>
                <c:ptCount val="19"/>
                <c:pt idx="0">
                  <c:v>1_16</c:v>
                </c:pt>
                <c:pt idx="1">
                  <c:v>2</c:v>
                </c:pt>
                <c:pt idx="2">
                  <c:v>3</c:v>
                </c:pt>
                <c:pt idx="3">
                  <c:v>4</c:v>
                </c:pt>
                <c:pt idx="4">
                  <c:v>5</c:v>
                </c:pt>
                <c:pt idx="5">
                  <c:v>6</c:v>
                </c:pt>
                <c:pt idx="6">
                  <c:v>7</c:v>
                </c:pt>
                <c:pt idx="7">
                  <c:v>8</c:v>
                </c:pt>
                <c:pt idx="8">
                  <c:v>9</c:v>
                </c:pt>
                <c:pt idx="9">
                  <c:v>10</c:v>
                </c:pt>
                <c:pt idx="10">
                  <c:v>11</c:v>
                </c:pt>
                <c:pt idx="11">
                  <c:v>12</c:v>
                </c:pt>
                <c:pt idx="12">
                  <c:v>1_17</c:v>
                </c:pt>
                <c:pt idx="13">
                  <c:v>2</c:v>
                </c:pt>
                <c:pt idx="14">
                  <c:v>3</c:v>
                </c:pt>
                <c:pt idx="15">
                  <c:v>4</c:v>
                </c:pt>
                <c:pt idx="16">
                  <c:v>5</c:v>
                </c:pt>
                <c:pt idx="17">
                  <c:v>6</c:v>
                </c:pt>
                <c:pt idx="18">
                  <c:v>0</c:v>
                </c:pt>
              </c:strCache>
            </c:strRef>
          </c:cat>
          <c:val>
            <c:numRef>
              <c:f>'Nekolidující zaměstnání'!$V$49:$V$66</c:f>
              <c:numCache>
                <c:formatCode>#,##0</c:formatCode>
                <c:ptCount val="18"/>
                <c:pt idx="0">
                  <c:v>40254</c:v>
                </c:pt>
                <c:pt idx="1">
                  <c:v>45597</c:v>
                </c:pt>
                <c:pt idx="2">
                  <c:v>47751</c:v>
                </c:pt>
                <c:pt idx="3">
                  <c:v>48157</c:v>
                </c:pt>
                <c:pt idx="4">
                  <c:v>48480</c:v>
                </c:pt>
                <c:pt idx="5">
                  <c:v>48406</c:v>
                </c:pt>
                <c:pt idx="6">
                  <c:v>46300</c:v>
                </c:pt>
                <c:pt idx="7">
                  <c:v>45578</c:v>
                </c:pt>
                <c:pt idx="8">
                  <c:v>44789</c:v>
                </c:pt>
                <c:pt idx="9">
                  <c:v>43757</c:v>
                </c:pt>
                <c:pt idx="10">
                  <c:v>43117</c:v>
                </c:pt>
                <c:pt idx="11">
                  <c:v>40933</c:v>
                </c:pt>
                <c:pt idx="12">
                  <c:v>30151</c:v>
                </c:pt>
                <c:pt idx="13">
                  <c:v>33494</c:v>
                </c:pt>
                <c:pt idx="14">
                  <c:v>35629</c:v>
                </c:pt>
                <c:pt idx="15">
                  <c:v>35483</c:v>
                </c:pt>
                <c:pt idx="16">
                  <c:v>35771</c:v>
                </c:pt>
                <c:pt idx="17">
                  <c:v>35308</c:v>
                </c:pt>
              </c:numCache>
            </c:numRef>
          </c:val>
        </c:ser>
        <c:dLbls>
          <c:showLegendKey val="0"/>
          <c:showVal val="0"/>
          <c:showCatName val="0"/>
          <c:showSerName val="0"/>
          <c:showPercent val="0"/>
          <c:showBubbleSize val="0"/>
        </c:dLbls>
        <c:gapWidth val="150"/>
        <c:overlap val="100"/>
        <c:axId val="177899008"/>
        <c:axId val="177900544"/>
      </c:barChart>
      <c:lineChart>
        <c:grouping val="standard"/>
        <c:varyColors val="0"/>
        <c:ser>
          <c:idx val="4"/>
          <c:order val="3"/>
          <c:tx>
            <c:strRef>
              <c:f>'Nekolidující zaměstnání'!$Y$47</c:f>
              <c:strCache>
                <c:ptCount val="1"/>
                <c:pt idx="0">
                  <c:v>% z UoZ</c:v>
                </c:pt>
              </c:strCache>
            </c:strRef>
          </c:tx>
          <c:marker>
            <c:symbol val="none"/>
          </c:marker>
          <c:val>
            <c:numRef>
              <c:f>'Nekolidující zaměstnání'!$Y$49:$Y$66</c:f>
              <c:numCache>
                <c:formatCode>0.00%</c:formatCode>
                <c:ptCount val="18"/>
                <c:pt idx="0">
                  <c:v>0.87464992736460823</c:v>
                </c:pt>
                <c:pt idx="1">
                  <c:v>0.8577811791334059</c:v>
                </c:pt>
                <c:pt idx="2">
                  <c:v>0.84438140502675418</c:v>
                </c:pt>
                <c:pt idx="3">
                  <c:v>0.83221274339695395</c:v>
                </c:pt>
                <c:pt idx="4">
                  <c:v>0.82240893236640333</c:v>
                </c:pt>
                <c:pt idx="5">
                  <c:v>0.82168356195749459</c:v>
                </c:pt>
                <c:pt idx="6">
                  <c:v>0.83462832374505624</c:v>
                </c:pt>
                <c:pt idx="7">
                  <c:v>0.83393483218954167</c:v>
                </c:pt>
                <c:pt idx="8">
                  <c:v>0.82636190113626151</c:v>
                </c:pt>
                <c:pt idx="9">
                  <c:v>0.81842159871561038</c:v>
                </c:pt>
                <c:pt idx="10">
                  <c:v>0.81370070708880649</c:v>
                </c:pt>
                <c:pt idx="11">
                  <c:v>0.83404960497990155</c:v>
                </c:pt>
                <c:pt idx="12">
                  <c:v>0.86177506830741413</c:v>
                </c:pt>
                <c:pt idx="13">
                  <c:v>0.84473498716492024</c:v>
                </c:pt>
                <c:pt idx="14">
                  <c:v>0.82568967066540866</c:v>
                </c:pt>
                <c:pt idx="15">
                  <c:v>0.8135446624225624</c:v>
                </c:pt>
                <c:pt idx="16">
                  <c:v>0.80036367054430657</c:v>
                </c:pt>
                <c:pt idx="17">
                  <c:v>0.80092724894852385</c:v>
                </c:pt>
              </c:numCache>
            </c:numRef>
          </c:val>
          <c:smooth val="0"/>
        </c:ser>
        <c:dLbls>
          <c:showLegendKey val="0"/>
          <c:showVal val="0"/>
          <c:showCatName val="0"/>
          <c:showSerName val="0"/>
          <c:showPercent val="0"/>
          <c:showBubbleSize val="0"/>
        </c:dLbls>
        <c:marker val="1"/>
        <c:smooth val="0"/>
        <c:axId val="177903872"/>
        <c:axId val="177902336"/>
      </c:lineChart>
      <c:catAx>
        <c:axId val="177899008"/>
        <c:scaling>
          <c:orientation val="minMax"/>
        </c:scaling>
        <c:delete val="0"/>
        <c:axPos val="b"/>
        <c:majorTickMark val="out"/>
        <c:minorTickMark val="none"/>
        <c:tickLblPos val="nextTo"/>
        <c:txPr>
          <a:bodyPr/>
          <a:lstStyle/>
          <a:p>
            <a:pPr>
              <a:defRPr sz="800"/>
            </a:pPr>
            <a:endParaRPr lang="cs-CZ"/>
          </a:p>
        </c:txPr>
        <c:crossAx val="177900544"/>
        <c:crosses val="autoZero"/>
        <c:auto val="1"/>
        <c:lblAlgn val="ctr"/>
        <c:lblOffset val="100"/>
        <c:noMultiLvlLbl val="0"/>
      </c:catAx>
      <c:valAx>
        <c:axId val="177900544"/>
        <c:scaling>
          <c:orientation val="minMax"/>
        </c:scaling>
        <c:delete val="0"/>
        <c:axPos val="l"/>
        <c:majorGridlines/>
        <c:numFmt formatCode="#,##0" sourceLinked="1"/>
        <c:majorTickMark val="out"/>
        <c:minorTickMark val="none"/>
        <c:tickLblPos val="nextTo"/>
        <c:txPr>
          <a:bodyPr/>
          <a:lstStyle/>
          <a:p>
            <a:pPr>
              <a:defRPr sz="800"/>
            </a:pPr>
            <a:endParaRPr lang="cs-CZ"/>
          </a:p>
        </c:txPr>
        <c:crossAx val="177899008"/>
        <c:crosses val="autoZero"/>
        <c:crossBetween val="between"/>
      </c:valAx>
      <c:valAx>
        <c:axId val="177902336"/>
        <c:scaling>
          <c:orientation val="minMax"/>
          <c:max val="1"/>
          <c:min val="0.5"/>
        </c:scaling>
        <c:delete val="0"/>
        <c:axPos val="r"/>
        <c:numFmt formatCode="0.00%" sourceLinked="1"/>
        <c:majorTickMark val="out"/>
        <c:minorTickMark val="none"/>
        <c:tickLblPos val="nextTo"/>
        <c:txPr>
          <a:bodyPr/>
          <a:lstStyle/>
          <a:p>
            <a:pPr>
              <a:defRPr sz="800"/>
            </a:pPr>
            <a:endParaRPr lang="cs-CZ"/>
          </a:p>
        </c:txPr>
        <c:crossAx val="177903872"/>
        <c:crosses val="max"/>
        <c:crossBetween val="between"/>
      </c:valAx>
      <c:catAx>
        <c:axId val="177903872"/>
        <c:scaling>
          <c:orientation val="minMax"/>
        </c:scaling>
        <c:delete val="1"/>
        <c:axPos val="b"/>
        <c:majorTickMark val="out"/>
        <c:minorTickMark val="none"/>
        <c:tickLblPos val="nextTo"/>
        <c:crossAx val="177902336"/>
        <c:crosses val="autoZero"/>
        <c:auto val="1"/>
        <c:lblAlgn val="ctr"/>
        <c:lblOffset val="100"/>
        <c:noMultiLvlLbl val="0"/>
      </c:cat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'Vývoj LTU'!$B$2</c:f>
              <c:strCache>
                <c:ptCount val="1"/>
                <c:pt idx="0">
                  <c:v>nad 24M</c:v>
                </c:pt>
              </c:strCache>
            </c:strRef>
          </c:tx>
          <c:spPr>
            <a:ln>
              <a:solidFill>
                <a:srgbClr val="FF0000"/>
              </a:solidFill>
            </a:ln>
          </c:spPr>
          <c:marker>
            <c:symbol val="none"/>
          </c:marker>
          <c:cat>
            <c:strRef>
              <c:f>'Vývoj LTU'!$A$3:$A$40</c:f>
              <c:strCache>
                <c:ptCount val="38"/>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pt idx="36">
                  <c:v>3/17</c:v>
                </c:pt>
                <c:pt idx="37">
                  <c:v>6/17</c:v>
                </c:pt>
              </c:strCache>
            </c:strRef>
          </c:cat>
          <c:val>
            <c:numRef>
              <c:f>'Vývoj LTU'!$B$3:$B$40</c:f>
              <c:numCache>
                <c:formatCode>General</c:formatCode>
                <c:ptCount val="38"/>
                <c:pt idx="0">
                  <c:v>85315</c:v>
                </c:pt>
                <c:pt idx="1">
                  <c:v>76595</c:v>
                </c:pt>
                <c:pt idx="2">
                  <c:v>71332</c:v>
                </c:pt>
                <c:pt idx="3">
                  <c:v>67823</c:v>
                </c:pt>
                <c:pt idx="4">
                  <c:v>62470</c:v>
                </c:pt>
                <c:pt idx="5">
                  <c:v>65567</c:v>
                </c:pt>
                <c:pt idx="6">
                  <c:v>62014</c:v>
                </c:pt>
                <c:pt idx="7">
                  <c:v>62431</c:v>
                </c:pt>
                <c:pt idx="8">
                  <c:v>64966</c:v>
                </c:pt>
                <c:pt idx="9">
                  <c:v>67203</c:v>
                </c:pt>
                <c:pt idx="10">
                  <c:v>72510</c:v>
                </c:pt>
                <c:pt idx="11">
                  <c:v>79321</c:v>
                </c:pt>
                <c:pt idx="12">
                  <c:v>89450</c:v>
                </c:pt>
                <c:pt idx="13">
                  <c:v>94779</c:v>
                </c:pt>
                <c:pt idx="14">
                  <c:v>98637</c:v>
                </c:pt>
                <c:pt idx="15">
                  <c:v>101783</c:v>
                </c:pt>
                <c:pt idx="16">
                  <c:v>105482</c:v>
                </c:pt>
                <c:pt idx="17">
                  <c:v>103972</c:v>
                </c:pt>
                <c:pt idx="18">
                  <c:v>105256</c:v>
                </c:pt>
                <c:pt idx="19">
                  <c:v>110164</c:v>
                </c:pt>
                <c:pt idx="20">
                  <c:v>114674</c:v>
                </c:pt>
                <c:pt idx="21">
                  <c:v>117075</c:v>
                </c:pt>
                <c:pt idx="22">
                  <c:v>123691</c:v>
                </c:pt>
                <c:pt idx="23">
                  <c:v>130806</c:v>
                </c:pt>
                <c:pt idx="24">
                  <c:v>139225</c:v>
                </c:pt>
                <c:pt idx="25">
                  <c:v>140360</c:v>
                </c:pt>
                <c:pt idx="26">
                  <c:v>143398</c:v>
                </c:pt>
                <c:pt idx="27">
                  <c:v>146477</c:v>
                </c:pt>
                <c:pt idx="28">
                  <c:v>148386</c:v>
                </c:pt>
                <c:pt idx="29">
                  <c:v>139852</c:v>
                </c:pt>
                <c:pt idx="30">
                  <c:v>134865</c:v>
                </c:pt>
                <c:pt idx="31">
                  <c:v>129323</c:v>
                </c:pt>
                <c:pt idx="32">
                  <c:v>125268</c:v>
                </c:pt>
                <c:pt idx="33">
                  <c:v>114122</c:v>
                </c:pt>
                <c:pt idx="34">
                  <c:v>106843</c:v>
                </c:pt>
                <c:pt idx="35">
                  <c:v>98910</c:v>
                </c:pt>
                <c:pt idx="36">
                  <c:v>90805</c:v>
                </c:pt>
                <c:pt idx="37">
                  <c:v>80591</c:v>
                </c:pt>
              </c:numCache>
            </c:numRef>
          </c:val>
          <c:smooth val="0"/>
        </c:ser>
        <c:ser>
          <c:idx val="1"/>
          <c:order val="1"/>
          <c:tx>
            <c:strRef>
              <c:f>'Vývoj LTU'!$C$2</c:f>
              <c:strCache>
                <c:ptCount val="1"/>
                <c:pt idx="0">
                  <c:v>12-24M</c:v>
                </c:pt>
              </c:strCache>
            </c:strRef>
          </c:tx>
          <c:spPr>
            <a:ln>
              <a:solidFill>
                <a:srgbClr val="00B0F0"/>
              </a:solidFill>
            </a:ln>
          </c:spPr>
          <c:marker>
            <c:symbol val="none"/>
          </c:marker>
          <c:cat>
            <c:strRef>
              <c:f>'Vývoj LTU'!$A$3:$A$40</c:f>
              <c:strCache>
                <c:ptCount val="38"/>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pt idx="36">
                  <c:v>3/17</c:v>
                </c:pt>
                <c:pt idx="37">
                  <c:v>6/17</c:v>
                </c:pt>
              </c:strCache>
            </c:strRef>
          </c:cat>
          <c:val>
            <c:numRef>
              <c:f>'Vývoj LTU'!$C$3:$C$40</c:f>
              <c:numCache>
                <c:formatCode>General</c:formatCode>
                <c:ptCount val="38"/>
                <c:pt idx="0">
                  <c:v>42055</c:v>
                </c:pt>
                <c:pt idx="1">
                  <c:v>36410</c:v>
                </c:pt>
                <c:pt idx="2">
                  <c:v>34308</c:v>
                </c:pt>
                <c:pt idx="3">
                  <c:v>33701</c:v>
                </c:pt>
                <c:pt idx="4">
                  <c:v>38827</c:v>
                </c:pt>
                <c:pt idx="5">
                  <c:v>35844</c:v>
                </c:pt>
                <c:pt idx="6">
                  <c:v>48191</c:v>
                </c:pt>
                <c:pt idx="7">
                  <c:v>61442</c:v>
                </c:pt>
                <c:pt idx="8">
                  <c:v>85241</c:v>
                </c:pt>
                <c:pt idx="9">
                  <c:v>93581</c:v>
                </c:pt>
                <c:pt idx="10">
                  <c:v>99847</c:v>
                </c:pt>
                <c:pt idx="11">
                  <c:v>99160</c:v>
                </c:pt>
                <c:pt idx="12">
                  <c:v>93836</c:v>
                </c:pt>
                <c:pt idx="13">
                  <c:v>83704</c:v>
                </c:pt>
                <c:pt idx="14">
                  <c:v>79049</c:v>
                </c:pt>
                <c:pt idx="15">
                  <c:v>82347</c:v>
                </c:pt>
                <c:pt idx="16">
                  <c:v>80169</c:v>
                </c:pt>
                <c:pt idx="17">
                  <c:v>76995</c:v>
                </c:pt>
                <c:pt idx="18">
                  <c:v>80831</c:v>
                </c:pt>
                <c:pt idx="19">
                  <c:v>82070</c:v>
                </c:pt>
                <c:pt idx="20">
                  <c:v>92539</c:v>
                </c:pt>
                <c:pt idx="21">
                  <c:v>93558</c:v>
                </c:pt>
                <c:pt idx="22">
                  <c:v>101106</c:v>
                </c:pt>
                <c:pt idx="23">
                  <c:v>106175</c:v>
                </c:pt>
                <c:pt idx="24">
                  <c:v>112344</c:v>
                </c:pt>
                <c:pt idx="25">
                  <c:v>103052</c:v>
                </c:pt>
                <c:pt idx="26">
                  <c:v>98219</c:v>
                </c:pt>
                <c:pt idx="27">
                  <c:v>90688</c:v>
                </c:pt>
                <c:pt idx="28">
                  <c:v>82555</c:v>
                </c:pt>
                <c:pt idx="29">
                  <c:v>70538</c:v>
                </c:pt>
                <c:pt idx="30">
                  <c:v>64090</c:v>
                </c:pt>
                <c:pt idx="31">
                  <c:v>58232</c:v>
                </c:pt>
                <c:pt idx="32">
                  <c:v>55734</c:v>
                </c:pt>
                <c:pt idx="33">
                  <c:v>49266</c:v>
                </c:pt>
                <c:pt idx="34">
                  <c:v>47430</c:v>
                </c:pt>
                <c:pt idx="35">
                  <c:v>45253</c:v>
                </c:pt>
                <c:pt idx="36">
                  <c:v>41405</c:v>
                </c:pt>
                <c:pt idx="37">
                  <c:v>36100</c:v>
                </c:pt>
              </c:numCache>
            </c:numRef>
          </c:val>
          <c:smooth val="0"/>
        </c:ser>
        <c:ser>
          <c:idx val="2"/>
          <c:order val="2"/>
          <c:tx>
            <c:strRef>
              <c:f>'Vývoj LTU'!$D$2</c:f>
              <c:strCache>
                <c:ptCount val="1"/>
                <c:pt idx="0">
                  <c:v>do 12M</c:v>
                </c:pt>
              </c:strCache>
            </c:strRef>
          </c:tx>
          <c:marker>
            <c:symbol val="none"/>
          </c:marker>
          <c:cat>
            <c:strRef>
              <c:f>'Vývoj LTU'!$A$3:$A$40</c:f>
              <c:strCache>
                <c:ptCount val="38"/>
                <c:pt idx="0">
                  <c:v>3/08</c:v>
                </c:pt>
                <c:pt idx="1">
                  <c:v>6/08</c:v>
                </c:pt>
                <c:pt idx="2">
                  <c:v>9/08</c:v>
                </c:pt>
                <c:pt idx="3">
                  <c:v>12/08</c:v>
                </c:pt>
                <c:pt idx="4">
                  <c:v>3/09</c:v>
                </c:pt>
                <c:pt idx="5">
                  <c:v>6/09</c:v>
                </c:pt>
                <c:pt idx="6">
                  <c:v>9/09</c:v>
                </c:pt>
                <c:pt idx="7">
                  <c:v>12/09</c:v>
                </c:pt>
                <c:pt idx="8">
                  <c:v>3/10</c:v>
                </c:pt>
                <c:pt idx="9">
                  <c:v>6/10</c:v>
                </c:pt>
                <c:pt idx="10">
                  <c:v>9/10</c:v>
                </c:pt>
                <c:pt idx="11">
                  <c:v>12/10</c:v>
                </c:pt>
                <c:pt idx="12">
                  <c:v>3/11</c:v>
                </c:pt>
                <c:pt idx="13">
                  <c:v>6/11</c:v>
                </c:pt>
                <c:pt idx="14">
                  <c:v>9/11</c:v>
                </c:pt>
                <c:pt idx="15">
                  <c:v>12/11</c:v>
                </c:pt>
                <c:pt idx="16">
                  <c:v>3/12</c:v>
                </c:pt>
                <c:pt idx="17">
                  <c:v>6/12</c:v>
                </c:pt>
                <c:pt idx="18">
                  <c:v>9/12</c:v>
                </c:pt>
                <c:pt idx="19">
                  <c:v>12/12</c:v>
                </c:pt>
                <c:pt idx="20">
                  <c:v>3/13</c:v>
                </c:pt>
                <c:pt idx="21">
                  <c:v>6/13</c:v>
                </c:pt>
                <c:pt idx="22">
                  <c:v>9/13</c:v>
                </c:pt>
                <c:pt idx="23">
                  <c:v>12/13</c:v>
                </c:pt>
                <c:pt idx="24">
                  <c:v>3/14</c:v>
                </c:pt>
                <c:pt idx="25">
                  <c:v>6/14</c:v>
                </c:pt>
                <c:pt idx="26">
                  <c:v>9/14</c:v>
                </c:pt>
                <c:pt idx="27">
                  <c:v>12/14</c:v>
                </c:pt>
                <c:pt idx="28">
                  <c:v>3/15</c:v>
                </c:pt>
                <c:pt idx="29">
                  <c:v>6/15</c:v>
                </c:pt>
                <c:pt idx="30">
                  <c:v>9/15</c:v>
                </c:pt>
                <c:pt idx="31">
                  <c:v>12/15</c:v>
                </c:pt>
                <c:pt idx="32">
                  <c:v>3/16</c:v>
                </c:pt>
                <c:pt idx="33">
                  <c:v>6/16</c:v>
                </c:pt>
                <c:pt idx="34">
                  <c:v>9/16</c:v>
                </c:pt>
                <c:pt idx="35">
                  <c:v>12/16</c:v>
                </c:pt>
                <c:pt idx="36">
                  <c:v>3/17</c:v>
                </c:pt>
                <c:pt idx="37">
                  <c:v>6/17</c:v>
                </c:pt>
              </c:strCache>
            </c:strRef>
          </c:cat>
          <c:val>
            <c:numRef>
              <c:f>'Vývoj LTU'!$D$3:$D$40</c:f>
              <c:numCache>
                <c:formatCode>General</c:formatCode>
                <c:ptCount val="38"/>
                <c:pt idx="0">
                  <c:v>208927</c:v>
                </c:pt>
                <c:pt idx="1">
                  <c:v>184875</c:v>
                </c:pt>
                <c:pt idx="2">
                  <c:v>208918</c:v>
                </c:pt>
                <c:pt idx="3">
                  <c:v>250726</c:v>
                </c:pt>
                <c:pt idx="4">
                  <c:v>362258</c:v>
                </c:pt>
                <c:pt idx="5">
                  <c:v>347501</c:v>
                </c:pt>
                <c:pt idx="6">
                  <c:v>390607</c:v>
                </c:pt>
                <c:pt idx="7">
                  <c:v>415263</c:v>
                </c:pt>
                <c:pt idx="8">
                  <c:v>422617</c:v>
                </c:pt>
                <c:pt idx="9">
                  <c:v>339716</c:v>
                </c:pt>
                <c:pt idx="10">
                  <c:v>328124</c:v>
                </c:pt>
                <c:pt idx="11">
                  <c:v>383070</c:v>
                </c:pt>
                <c:pt idx="12">
                  <c:v>364476</c:v>
                </c:pt>
                <c:pt idx="13">
                  <c:v>300292</c:v>
                </c:pt>
                <c:pt idx="14">
                  <c:v>297428</c:v>
                </c:pt>
                <c:pt idx="15">
                  <c:v>324321</c:v>
                </c:pt>
                <c:pt idx="16">
                  <c:v>339529</c:v>
                </c:pt>
                <c:pt idx="17">
                  <c:v>293619</c:v>
                </c:pt>
                <c:pt idx="18">
                  <c:v>307098</c:v>
                </c:pt>
                <c:pt idx="19">
                  <c:v>353077</c:v>
                </c:pt>
                <c:pt idx="20">
                  <c:v>380555</c:v>
                </c:pt>
                <c:pt idx="21">
                  <c:v>329840</c:v>
                </c:pt>
                <c:pt idx="22">
                  <c:v>332261</c:v>
                </c:pt>
                <c:pt idx="23">
                  <c:v>359852</c:v>
                </c:pt>
                <c:pt idx="24">
                  <c:v>356746</c:v>
                </c:pt>
                <c:pt idx="25">
                  <c:v>293767</c:v>
                </c:pt>
                <c:pt idx="26">
                  <c:v>287481</c:v>
                </c:pt>
                <c:pt idx="27">
                  <c:v>304749</c:v>
                </c:pt>
                <c:pt idx="28">
                  <c:v>294374</c:v>
                </c:pt>
                <c:pt idx="29">
                  <c:v>241005</c:v>
                </c:pt>
                <c:pt idx="30">
                  <c:v>242937</c:v>
                </c:pt>
                <c:pt idx="31">
                  <c:v>265563</c:v>
                </c:pt>
                <c:pt idx="32">
                  <c:v>262107</c:v>
                </c:pt>
                <c:pt idx="33">
                  <c:v>220940</c:v>
                </c:pt>
                <c:pt idx="34">
                  <c:v>223985</c:v>
                </c:pt>
                <c:pt idx="35">
                  <c:v>237210</c:v>
                </c:pt>
                <c:pt idx="36">
                  <c:v>223902</c:v>
                </c:pt>
                <c:pt idx="37">
                  <c:v>180748</c:v>
                </c:pt>
              </c:numCache>
            </c:numRef>
          </c:val>
          <c:smooth val="0"/>
        </c:ser>
        <c:dLbls>
          <c:showLegendKey val="0"/>
          <c:showVal val="0"/>
          <c:showCatName val="0"/>
          <c:showSerName val="0"/>
          <c:showPercent val="0"/>
          <c:showBubbleSize val="0"/>
        </c:dLbls>
        <c:marker val="1"/>
        <c:smooth val="0"/>
        <c:axId val="127807488"/>
        <c:axId val="127809024"/>
      </c:lineChart>
      <c:catAx>
        <c:axId val="127807488"/>
        <c:scaling>
          <c:orientation val="minMax"/>
        </c:scaling>
        <c:delete val="0"/>
        <c:axPos val="b"/>
        <c:majorTickMark val="out"/>
        <c:minorTickMark val="none"/>
        <c:tickLblPos val="nextTo"/>
        <c:txPr>
          <a:bodyPr/>
          <a:lstStyle/>
          <a:p>
            <a:pPr>
              <a:defRPr sz="800"/>
            </a:pPr>
            <a:endParaRPr lang="cs-CZ"/>
          </a:p>
        </c:txPr>
        <c:crossAx val="127809024"/>
        <c:crosses val="autoZero"/>
        <c:auto val="1"/>
        <c:lblAlgn val="ctr"/>
        <c:lblOffset val="100"/>
        <c:noMultiLvlLbl val="0"/>
      </c:catAx>
      <c:valAx>
        <c:axId val="127809024"/>
        <c:scaling>
          <c:orientation val="minMax"/>
        </c:scaling>
        <c:delete val="0"/>
        <c:axPos val="l"/>
        <c:majorGridlines/>
        <c:numFmt formatCode="General" sourceLinked="1"/>
        <c:majorTickMark val="out"/>
        <c:minorTickMark val="none"/>
        <c:tickLblPos val="nextTo"/>
        <c:txPr>
          <a:bodyPr/>
          <a:lstStyle/>
          <a:p>
            <a:pPr>
              <a:defRPr sz="800"/>
            </a:pPr>
            <a:endParaRPr lang="cs-CZ"/>
          </a:p>
        </c:txPr>
        <c:crossAx val="127807488"/>
        <c:crosses val="autoZero"/>
        <c:crossBetween val="between"/>
      </c:valAx>
    </c:plotArea>
    <c:legend>
      <c:legendPos val="r"/>
      <c:layout>
        <c:manualLayout>
          <c:xMode val="edge"/>
          <c:yMode val="edge"/>
          <c:x val="0.85895929563981133"/>
          <c:y val="0.23786543081417746"/>
          <c:w val="0.12782403852411012"/>
          <c:h val="0.38919982975101086"/>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924620080635949E-2"/>
          <c:y val="8.9300781491393616E-2"/>
          <c:w val="0.87790693837973077"/>
          <c:h val="0.78944505316898561"/>
        </c:manualLayout>
      </c:layout>
      <c:barChart>
        <c:barDir val="col"/>
        <c:grouping val="clustered"/>
        <c:varyColors val="0"/>
        <c:ser>
          <c:idx val="0"/>
          <c:order val="0"/>
          <c:tx>
            <c:strRef>
              <c:f>'Vývoj LTU'!$I$2</c:f>
              <c:strCache>
                <c:ptCount val="1"/>
                <c:pt idx="0">
                  <c:v>nad 24M</c:v>
                </c:pt>
              </c:strCache>
            </c:strRef>
          </c:tx>
          <c:spPr>
            <a:solidFill>
              <a:srgbClr val="FF6969"/>
            </a:solidFill>
          </c:spPr>
          <c:invertIfNegative val="0"/>
          <c:cat>
            <c:strRef>
              <c:f>'Vývoj LTU'!$H$20:$H$40</c:f>
              <c:strCache>
                <c:ptCount val="21"/>
                <c:pt idx="0">
                  <c:v>6/12</c:v>
                </c:pt>
                <c:pt idx="1">
                  <c:v>9/12</c:v>
                </c:pt>
                <c:pt idx="2">
                  <c:v>12/12</c:v>
                </c:pt>
                <c:pt idx="3">
                  <c:v>3/13</c:v>
                </c:pt>
                <c:pt idx="4">
                  <c:v>6/13</c:v>
                </c:pt>
                <c:pt idx="5">
                  <c:v>9/13</c:v>
                </c:pt>
                <c:pt idx="6">
                  <c:v>12/13</c:v>
                </c:pt>
                <c:pt idx="7">
                  <c:v>3/14</c:v>
                </c:pt>
                <c:pt idx="8">
                  <c:v>6/14</c:v>
                </c:pt>
                <c:pt idx="9">
                  <c:v>9/14</c:v>
                </c:pt>
                <c:pt idx="10">
                  <c:v>12/14</c:v>
                </c:pt>
                <c:pt idx="11">
                  <c:v>3/15</c:v>
                </c:pt>
                <c:pt idx="12">
                  <c:v>6/15</c:v>
                </c:pt>
                <c:pt idx="13">
                  <c:v>9/15</c:v>
                </c:pt>
                <c:pt idx="14">
                  <c:v>12/15</c:v>
                </c:pt>
                <c:pt idx="15">
                  <c:v>3/16</c:v>
                </c:pt>
                <c:pt idx="16">
                  <c:v>6/16</c:v>
                </c:pt>
                <c:pt idx="17">
                  <c:v>9/16</c:v>
                </c:pt>
                <c:pt idx="18">
                  <c:v>12/16</c:v>
                </c:pt>
                <c:pt idx="19">
                  <c:v>3/17</c:v>
                </c:pt>
                <c:pt idx="20">
                  <c:v>6/17</c:v>
                </c:pt>
              </c:strCache>
            </c:strRef>
          </c:cat>
          <c:val>
            <c:numRef>
              <c:f>'Vývoj LTU'!$I$20:$I$40</c:f>
              <c:numCache>
                <c:formatCode>0.00</c:formatCode>
                <c:ptCount val="21"/>
                <c:pt idx="0">
                  <c:v>-1.4315238618911283</c:v>
                </c:pt>
                <c:pt idx="1">
                  <c:v>1.2349478705805408</c:v>
                </c:pt>
                <c:pt idx="2">
                  <c:v>4.6629170783613292</c:v>
                </c:pt>
                <c:pt idx="3">
                  <c:v>4.0938963726807298</c:v>
                </c:pt>
                <c:pt idx="4">
                  <c:v>2.0937614454889513</c:v>
                </c:pt>
                <c:pt idx="5">
                  <c:v>5.6510783685671582</c:v>
                </c:pt>
                <c:pt idx="6">
                  <c:v>5.752237430370843</c:v>
                </c:pt>
                <c:pt idx="7">
                  <c:v>6.4362491017231624</c:v>
                </c:pt>
                <c:pt idx="8">
                  <c:v>0.81522715029628301</c:v>
                </c:pt>
                <c:pt idx="9">
                  <c:v>2.1644343117697349</c:v>
                </c:pt>
                <c:pt idx="10">
                  <c:v>2.1471708113083863</c:v>
                </c:pt>
                <c:pt idx="11">
                  <c:v>1.3032762822832253</c:v>
                </c:pt>
                <c:pt idx="12">
                  <c:v>-5.7512164220344237</c:v>
                </c:pt>
                <c:pt idx="13">
                  <c:v>-3.5659125361096016</c:v>
                </c:pt>
                <c:pt idx="14">
                  <c:v>-4.1092944796648494</c:v>
                </c:pt>
                <c:pt idx="15">
                  <c:v>-3.1355597998809182</c:v>
                </c:pt>
                <c:pt idx="16">
                  <c:v>-8.8977232812849252</c:v>
                </c:pt>
                <c:pt idx="17">
                  <c:v>-6.3782618601146144</c:v>
                </c:pt>
                <c:pt idx="18">
                  <c:v>-7.4249131903821493</c:v>
                </c:pt>
                <c:pt idx="19">
                  <c:v>-8.1943180669295312</c:v>
                </c:pt>
                <c:pt idx="20">
                  <c:v>-11.248279279775343</c:v>
                </c:pt>
              </c:numCache>
            </c:numRef>
          </c:val>
        </c:ser>
        <c:ser>
          <c:idx val="3"/>
          <c:order val="1"/>
          <c:tx>
            <c:strRef>
              <c:f>'Vývoj LTU'!$L$2</c:f>
              <c:strCache>
                <c:ptCount val="1"/>
                <c:pt idx="0">
                  <c:v>nad 12M</c:v>
                </c:pt>
              </c:strCache>
            </c:strRef>
          </c:tx>
          <c:spPr>
            <a:solidFill>
              <a:schemeClr val="accent2">
                <a:lumMod val="40000"/>
                <a:lumOff val="60000"/>
              </a:schemeClr>
            </a:solidFill>
          </c:spPr>
          <c:invertIfNegative val="0"/>
          <c:cat>
            <c:strRef>
              <c:f>'Vývoj LTU'!$H$20:$H$40</c:f>
              <c:strCache>
                <c:ptCount val="21"/>
                <c:pt idx="0">
                  <c:v>6/12</c:v>
                </c:pt>
                <c:pt idx="1">
                  <c:v>9/12</c:v>
                </c:pt>
                <c:pt idx="2">
                  <c:v>12/12</c:v>
                </c:pt>
                <c:pt idx="3">
                  <c:v>3/13</c:v>
                </c:pt>
                <c:pt idx="4">
                  <c:v>6/13</c:v>
                </c:pt>
                <c:pt idx="5">
                  <c:v>9/13</c:v>
                </c:pt>
                <c:pt idx="6">
                  <c:v>12/13</c:v>
                </c:pt>
                <c:pt idx="7">
                  <c:v>3/14</c:v>
                </c:pt>
                <c:pt idx="8">
                  <c:v>6/14</c:v>
                </c:pt>
                <c:pt idx="9">
                  <c:v>9/14</c:v>
                </c:pt>
                <c:pt idx="10">
                  <c:v>12/14</c:v>
                </c:pt>
                <c:pt idx="11">
                  <c:v>3/15</c:v>
                </c:pt>
                <c:pt idx="12">
                  <c:v>6/15</c:v>
                </c:pt>
                <c:pt idx="13">
                  <c:v>9/15</c:v>
                </c:pt>
                <c:pt idx="14">
                  <c:v>12/15</c:v>
                </c:pt>
                <c:pt idx="15">
                  <c:v>3/16</c:v>
                </c:pt>
                <c:pt idx="16">
                  <c:v>6/16</c:v>
                </c:pt>
                <c:pt idx="17">
                  <c:v>9/16</c:v>
                </c:pt>
                <c:pt idx="18">
                  <c:v>12/16</c:v>
                </c:pt>
                <c:pt idx="19">
                  <c:v>3/17</c:v>
                </c:pt>
                <c:pt idx="20">
                  <c:v>6/17</c:v>
                </c:pt>
              </c:strCache>
            </c:strRef>
          </c:cat>
          <c:val>
            <c:numRef>
              <c:f>'Vývoj LTU'!$L$20:$L$40</c:f>
              <c:numCache>
                <c:formatCode>0.00</c:formatCode>
                <c:ptCount val="21"/>
                <c:pt idx="0">
                  <c:v>-2.5230136115614781</c:v>
                </c:pt>
                <c:pt idx="1">
                  <c:v>2.829245110987086</c:v>
                </c:pt>
                <c:pt idx="2">
                  <c:v>3.3032936207257899</c:v>
                </c:pt>
                <c:pt idx="3">
                  <c:v>7.7920659196604145</c:v>
                </c:pt>
                <c:pt idx="4">
                  <c:v>1.6504755975735113</c:v>
                </c:pt>
                <c:pt idx="5">
                  <c:v>6.7244923634947993</c:v>
                </c:pt>
                <c:pt idx="6">
                  <c:v>5.4200011565990653</c:v>
                </c:pt>
                <c:pt idx="7">
                  <c:v>6.1557677619724789</c:v>
                </c:pt>
                <c:pt idx="8">
                  <c:v>-3.2424503814062939</c:v>
                </c:pt>
                <c:pt idx="9">
                  <c:v>-0.73743282993443215</c:v>
                </c:pt>
                <c:pt idx="10">
                  <c:v>-1.8425855796570605</c:v>
                </c:pt>
                <c:pt idx="11">
                  <c:v>-2.6243332700862267</c:v>
                </c:pt>
                <c:pt idx="12">
                  <c:v>-8.8988096526818552</c:v>
                </c:pt>
                <c:pt idx="13">
                  <c:v>-5.4351442559056986</c:v>
                </c:pt>
                <c:pt idx="14">
                  <c:v>-5.7299389309140256</c:v>
                </c:pt>
                <c:pt idx="15">
                  <c:v>-3.4939084535203007</c:v>
                </c:pt>
                <c:pt idx="16">
                  <c:v>-9.7313841836001806</c:v>
                </c:pt>
                <c:pt idx="17">
                  <c:v>-5.5787450730775818</c:v>
                </c:pt>
                <c:pt idx="18">
                  <c:v>-6.5533178197092168</c:v>
                </c:pt>
                <c:pt idx="19">
                  <c:v>-8.2913091431227155</c:v>
                </c:pt>
                <c:pt idx="20">
                  <c:v>-11.738143862037669</c:v>
                </c:pt>
              </c:numCache>
            </c:numRef>
          </c:val>
        </c:ser>
        <c:dLbls>
          <c:showLegendKey val="0"/>
          <c:showVal val="0"/>
          <c:showCatName val="0"/>
          <c:showSerName val="0"/>
          <c:showPercent val="0"/>
          <c:showBubbleSize val="0"/>
        </c:dLbls>
        <c:gapWidth val="150"/>
        <c:axId val="127840256"/>
        <c:axId val="127841792"/>
      </c:barChart>
      <c:catAx>
        <c:axId val="127840256"/>
        <c:scaling>
          <c:orientation val="minMax"/>
        </c:scaling>
        <c:delete val="0"/>
        <c:axPos val="b"/>
        <c:majorTickMark val="out"/>
        <c:minorTickMark val="none"/>
        <c:tickLblPos val="low"/>
        <c:txPr>
          <a:bodyPr/>
          <a:lstStyle/>
          <a:p>
            <a:pPr>
              <a:defRPr sz="800"/>
            </a:pPr>
            <a:endParaRPr lang="cs-CZ"/>
          </a:p>
        </c:txPr>
        <c:crossAx val="127841792"/>
        <c:crossesAt val="0"/>
        <c:auto val="1"/>
        <c:lblAlgn val="ctr"/>
        <c:lblOffset val="100"/>
        <c:noMultiLvlLbl val="0"/>
      </c:catAx>
      <c:valAx>
        <c:axId val="127841792"/>
        <c:scaling>
          <c:orientation val="minMax"/>
          <c:max val="20"/>
          <c:min val="-20"/>
        </c:scaling>
        <c:delete val="0"/>
        <c:axPos val="l"/>
        <c:majorGridlines/>
        <c:minorGridlines/>
        <c:numFmt formatCode="0" sourceLinked="0"/>
        <c:majorTickMark val="out"/>
        <c:minorTickMark val="none"/>
        <c:tickLblPos val="nextTo"/>
        <c:txPr>
          <a:bodyPr/>
          <a:lstStyle/>
          <a:p>
            <a:pPr>
              <a:defRPr sz="800"/>
            </a:pPr>
            <a:endParaRPr lang="cs-CZ"/>
          </a:p>
        </c:txPr>
        <c:crossAx val="127840256"/>
        <c:crosses val="autoZero"/>
        <c:crossBetween val="between"/>
      </c:valAx>
    </c:plotArea>
    <c:legend>
      <c:legendPos val="t"/>
      <c:overlay val="0"/>
      <c:txPr>
        <a:bodyPr/>
        <a:lstStyle/>
        <a:p>
          <a:pPr>
            <a:defRPr sz="800"/>
          </a:pPr>
          <a:endParaRPr lang="cs-CZ"/>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993492308365538E-3"/>
          <c:y val="8.5627821851298025E-2"/>
          <c:w val="0.95866375954117611"/>
          <c:h val="0.79297594568362906"/>
        </c:manualLayout>
      </c:layout>
      <c:barChart>
        <c:barDir val="col"/>
        <c:grouping val="clustered"/>
        <c:varyColors val="0"/>
        <c:ser>
          <c:idx val="2"/>
          <c:order val="0"/>
          <c:tx>
            <c:strRef>
              <c:f>'Vývoj LTU'!$K$2</c:f>
              <c:strCache>
                <c:ptCount val="1"/>
                <c:pt idx="0">
                  <c:v>do 12M</c:v>
                </c:pt>
              </c:strCache>
            </c:strRef>
          </c:tx>
          <c:invertIfNegative val="0"/>
          <c:cat>
            <c:strRef>
              <c:f>'Vývoj LTU'!$H$20:$H$40</c:f>
              <c:strCache>
                <c:ptCount val="21"/>
                <c:pt idx="0">
                  <c:v>6/12</c:v>
                </c:pt>
                <c:pt idx="1">
                  <c:v>9/12</c:v>
                </c:pt>
                <c:pt idx="2">
                  <c:v>12/12</c:v>
                </c:pt>
                <c:pt idx="3">
                  <c:v>3/13</c:v>
                </c:pt>
                <c:pt idx="4">
                  <c:v>6/13</c:v>
                </c:pt>
                <c:pt idx="5">
                  <c:v>9/13</c:v>
                </c:pt>
                <c:pt idx="6">
                  <c:v>12/13</c:v>
                </c:pt>
                <c:pt idx="7">
                  <c:v>3/14</c:v>
                </c:pt>
                <c:pt idx="8">
                  <c:v>6/14</c:v>
                </c:pt>
                <c:pt idx="9">
                  <c:v>9/14</c:v>
                </c:pt>
                <c:pt idx="10">
                  <c:v>12/14</c:v>
                </c:pt>
                <c:pt idx="11">
                  <c:v>3/15</c:v>
                </c:pt>
                <c:pt idx="12">
                  <c:v>6/15</c:v>
                </c:pt>
                <c:pt idx="13">
                  <c:v>9/15</c:v>
                </c:pt>
                <c:pt idx="14">
                  <c:v>12/15</c:v>
                </c:pt>
                <c:pt idx="15">
                  <c:v>3/16</c:v>
                </c:pt>
                <c:pt idx="16">
                  <c:v>6/16</c:v>
                </c:pt>
                <c:pt idx="17">
                  <c:v>9/16</c:v>
                </c:pt>
                <c:pt idx="18">
                  <c:v>12/16</c:v>
                </c:pt>
                <c:pt idx="19">
                  <c:v>3/17</c:v>
                </c:pt>
                <c:pt idx="20">
                  <c:v>6/17</c:v>
                </c:pt>
              </c:strCache>
            </c:strRef>
          </c:cat>
          <c:val>
            <c:numRef>
              <c:f>'Vývoj LTU'!$K$20:$K$40</c:f>
              <c:numCache>
                <c:formatCode>0.00</c:formatCode>
                <c:ptCount val="21"/>
                <c:pt idx="0">
                  <c:v>-13.5216726700812</c:v>
                </c:pt>
                <c:pt idx="1">
                  <c:v>4.5906429761016829</c:v>
                </c:pt>
                <c:pt idx="2">
                  <c:v>14.972093598786055</c:v>
                </c:pt>
                <c:pt idx="3">
                  <c:v>7.7824383916256226</c:v>
                </c:pt>
                <c:pt idx="4">
                  <c:v>-13.32658879793985</c:v>
                </c:pt>
                <c:pt idx="5">
                  <c:v>0.73399223866116903</c:v>
                </c:pt>
                <c:pt idx="6">
                  <c:v>8.3040140130800779</c:v>
                </c:pt>
                <c:pt idx="7">
                  <c:v>-0.86313262118871092</c:v>
                </c:pt>
                <c:pt idx="8">
                  <c:v>-17.653736832368129</c:v>
                </c:pt>
                <c:pt idx="9">
                  <c:v>-2.1397910589004212</c:v>
                </c:pt>
                <c:pt idx="10">
                  <c:v>6.0066578313001555</c:v>
                </c:pt>
                <c:pt idx="11">
                  <c:v>-3.4044410317999407</c:v>
                </c:pt>
                <c:pt idx="12">
                  <c:v>-18.129658189921667</c:v>
                </c:pt>
                <c:pt idx="13">
                  <c:v>0.801643119437356</c:v>
                </c:pt>
                <c:pt idx="14">
                  <c:v>9.3135257288926763</c:v>
                </c:pt>
                <c:pt idx="15">
                  <c:v>-1.3013861117700884</c:v>
                </c:pt>
                <c:pt idx="16">
                  <c:v>-15.706181063458816</c:v>
                </c:pt>
                <c:pt idx="17">
                  <c:v>1.3782022268489182</c:v>
                </c:pt>
                <c:pt idx="18">
                  <c:v>5.9044132419581672</c:v>
                </c:pt>
                <c:pt idx="19">
                  <c:v>-5.6102187934741368</c:v>
                </c:pt>
                <c:pt idx="20">
                  <c:v>-19.273610776143133</c:v>
                </c:pt>
              </c:numCache>
            </c:numRef>
          </c:val>
        </c:ser>
        <c:ser>
          <c:idx val="4"/>
          <c:order val="1"/>
          <c:tx>
            <c:strRef>
              <c:f>'Vývoj LTU'!$M$2</c:f>
              <c:strCache>
                <c:ptCount val="1"/>
                <c:pt idx="0">
                  <c:v>celkem</c:v>
                </c:pt>
              </c:strCache>
            </c:strRef>
          </c:tx>
          <c:invertIfNegative val="0"/>
          <c:cat>
            <c:strRef>
              <c:f>'Vývoj LTU'!$H$20:$H$40</c:f>
              <c:strCache>
                <c:ptCount val="21"/>
                <c:pt idx="0">
                  <c:v>6/12</c:v>
                </c:pt>
                <c:pt idx="1">
                  <c:v>9/12</c:v>
                </c:pt>
                <c:pt idx="2">
                  <c:v>12/12</c:v>
                </c:pt>
                <c:pt idx="3">
                  <c:v>3/13</c:v>
                </c:pt>
                <c:pt idx="4">
                  <c:v>6/13</c:v>
                </c:pt>
                <c:pt idx="5">
                  <c:v>9/13</c:v>
                </c:pt>
                <c:pt idx="6">
                  <c:v>12/13</c:v>
                </c:pt>
                <c:pt idx="7">
                  <c:v>3/14</c:v>
                </c:pt>
                <c:pt idx="8">
                  <c:v>6/14</c:v>
                </c:pt>
                <c:pt idx="9">
                  <c:v>9/14</c:v>
                </c:pt>
                <c:pt idx="10">
                  <c:v>12/14</c:v>
                </c:pt>
                <c:pt idx="11">
                  <c:v>3/15</c:v>
                </c:pt>
                <c:pt idx="12">
                  <c:v>6/15</c:v>
                </c:pt>
                <c:pt idx="13">
                  <c:v>9/15</c:v>
                </c:pt>
                <c:pt idx="14">
                  <c:v>12/15</c:v>
                </c:pt>
                <c:pt idx="15">
                  <c:v>3/16</c:v>
                </c:pt>
                <c:pt idx="16">
                  <c:v>6/16</c:v>
                </c:pt>
                <c:pt idx="17">
                  <c:v>9/16</c:v>
                </c:pt>
                <c:pt idx="18">
                  <c:v>12/16</c:v>
                </c:pt>
                <c:pt idx="19">
                  <c:v>3/17</c:v>
                </c:pt>
                <c:pt idx="20">
                  <c:v>6/17</c:v>
                </c:pt>
              </c:strCache>
            </c:strRef>
          </c:cat>
          <c:val>
            <c:numRef>
              <c:f>'Vývoj LTU'!$M$20:$M$40</c:f>
              <c:numCache>
                <c:formatCode>0.00</c:formatCode>
                <c:ptCount val="21"/>
                <c:pt idx="0">
                  <c:v>-9.6336494154385157</c:v>
                </c:pt>
                <c:pt idx="1">
                  <c:v>3.9189946606094579</c:v>
                </c:pt>
                <c:pt idx="2">
                  <c:v>10.569259000172348</c:v>
                </c:pt>
                <c:pt idx="3">
                  <c:v>7.7858323048682312</c:v>
                </c:pt>
                <c:pt idx="4">
                  <c:v>-8.0465421731023117</c:v>
                </c:pt>
                <c:pt idx="5">
                  <c:v>3.0686084226224071</c:v>
                </c:pt>
                <c:pt idx="6">
                  <c:v>7.1401900699747607</c:v>
                </c:pt>
                <c:pt idx="7">
                  <c:v>1.9238212364262701</c:v>
                </c:pt>
                <c:pt idx="8">
                  <c:v>-11.693941461249517</c:v>
                </c:pt>
                <c:pt idx="9">
                  <c:v>-1.5043402664661127</c:v>
                </c:pt>
                <c:pt idx="10">
                  <c:v>2.4222355782860645</c:v>
                </c:pt>
                <c:pt idx="11">
                  <c:v>-3.0630321416313286</c:v>
                </c:pt>
                <c:pt idx="12">
                  <c:v>-14.071557065760544</c:v>
                </c:pt>
                <c:pt idx="13">
                  <c:v>-2.1052514981335637</c:v>
                </c:pt>
                <c:pt idx="14">
                  <c:v>2.5404397454581664</c:v>
                </c:pt>
                <c:pt idx="15">
                  <c:v>-2.2089168825780479</c:v>
                </c:pt>
                <c:pt idx="16">
                  <c:v>-13.265584765825112</c:v>
                </c:pt>
                <c:pt idx="17">
                  <c:v>-1.5793801128202993</c:v>
                </c:pt>
                <c:pt idx="18">
                  <c:v>0.82351199445880852</c:v>
                </c:pt>
                <c:pt idx="19">
                  <c:v>-6.6236991082221346</c:v>
                </c:pt>
                <c:pt idx="20">
                  <c:v>-16.475996315765826</c:v>
                </c:pt>
              </c:numCache>
            </c:numRef>
          </c:val>
        </c:ser>
        <c:dLbls>
          <c:showLegendKey val="0"/>
          <c:showVal val="0"/>
          <c:showCatName val="0"/>
          <c:showSerName val="0"/>
          <c:showPercent val="0"/>
          <c:showBubbleSize val="0"/>
        </c:dLbls>
        <c:gapWidth val="150"/>
        <c:axId val="127854848"/>
        <c:axId val="132321280"/>
      </c:barChart>
      <c:catAx>
        <c:axId val="127854848"/>
        <c:scaling>
          <c:orientation val="minMax"/>
        </c:scaling>
        <c:delete val="0"/>
        <c:axPos val="b"/>
        <c:majorTickMark val="out"/>
        <c:minorTickMark val="none"/>
        <c:tickLblPos val="low"/>
        <c:txPr>
          <a:bodyPr/>
          <a:lstStyle/>
          <a:p>
            <a:pPr>
              <a:defRPr sz="800"/>
            </a:pPr>
            <a:endParaRPr lang="cs-CZ"/>
          </a:p>
        </c:txPr>
        <c:crossAx val="132321280"/>
        <c:crossesAt val="0"/>
        <c:auto val="1"/>
        <c:lblAlgn val="ctr"/>
        <c:lblOffset val="100"/>
        <c:noMultiLvlLbl val="0"/>
      </c:catAx>
      <c:valAx>
        <c:axId val="132321280"/>
        <c:scaling>
          <c:orientation val="minMax"/>
          <c:max val="20"/>
          <c:min val="-20"/>
        </c:scaling>
        <c:delete val="1"/>
        <c:axPos val="l"/>
        <c:majorGridlines/>
        <c:minorGridlines/>
        <c:numFmt formatCode="0.00" sourceLinked="1"/>
        <c:majorTickMark val="out"/>
        <c:minorTickMark val="none"/>
        <c:tickLblPos val="low"/>
        <c:crossAx val="127854848"/>
        <c:crosses val="autoZero"/>
        <c:crossBetween val="between"/>
        <c:majorUnit val="5"/>
      </c:valAx>
    </c:plotArea>
    <c:legend>
      <c:legendPos val="t"/>
      <c:overlay val="0"/>
      <c:txPr>
        <a:bodyPr/>
        <a:lstStyle/>
        <a:p>
          <a:pPr>
            <a:defRPr sz="800"/>
          </a:pPr>
          <a:endParaRPr lang="cs-CZ"/>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List1!$A$3</c:f>
              <c:strCache>
                <c:ptCount val="1"/>
                <c:pt idx="0">
                  <c:v>Slovensko</c:v>
                </c:pt>
              </c:strCache>
            </c:strRef>
          </c:tx>
          <c:spPr>
            <a:ln w="38100">
              <a:solidFill>
                <a:srgbClr val="00B0F0"/>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(List1!$B$3:$N$3;List1!$O$3)</c:f>
              <c:numCache>
                <c:formatCode>#,##0</c:formatCode>
                <c:ptCount val="14"/>
                <c:pt idx="0">
                  <c:v>59819</c:v>
                </c:pt>
                <c:pt idx="1">
                  <c:v>75297</c:v>
                </c:pt>
                <c:pt idx="2">
                  <c:v>91355</c:v>
                </c:pt>
                <c:pt idx="3">
                  <c:v>101233</c:v>
                </c:pt>
                <c:pt idx="4">
                  <c:v>100223</c:v>
                </c:pt>
                <c:pt idx="5">
                  <c:v>98192</c:v>
                </c:pt>
                <c:pt idx="6">
                  <c:v>100727</c:v>
                </c:pt>
                <c:pt idx="7">
                  <c:v>106425</c:v>
                </c:pt>
                <c:pt idx="8" formatCode="General">
                  <c:v>108445</c:v>
                </c:pt>
                <c:pt idx="9" formatCode="General">
                  <c:v>109602</c:v>
                </c:pt>
                <c:pt idx="10" formatCode="General">
                  <c:v>129203</c:v>
                </c:pt>
                <c:pt idx="11">
                  <c:v>150317</c:v>
                </c:pt>
                <c:pt idx="12" formatCode="General">
                  <c:v>161559</c:v>
                </c:pt>
                <c:pt idx="13" formatCode="General">
                  <c:v>165698</c:v>
                </c:pt>
              </c:numCache>
            </c:numRef>
          </c:val>
          <c:smooth val="1"/>
        </c:ser>
        <c:ser>
          <c:idx val="1"/>
          <c:order val="1"/>
          <c:tx>
            <c:strRef>
              <c:f>List1!$A$4</c:f>
              <c:strCache>
                <c:ptCount val="1"/>
                <c:pt idx="0">
                  <c:v>Ukrajina</c:v>
                </c:pt>
              </c:strCache>
            </c:strRef>
          </c:tx>
          <c:spPr>
            <a:ln w="38100" cmpd="sng">
              <a:solidFill>
                <a:srgbClr val="FFC000"/>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(List1!$B$4:$N$4;List1!$O$4)</c:f>
              <c:numCache>
                <c:formatCode>#,##0</c:formatCode>
                <c:ptCount val="14"/>
                <c:pt idx="0">
                  <c:v>22399</c:v>
                </c:pt>
                <c:pt idx="1">
                  <c:v>40060</c:v>
                </c:pt>
                <c:pt idx="2">
                  <c:v>46155</c:v>
                </c:pt>
                <c:pt idx="3">
                  <c:v>61592</c:v>
                </c:pt>
                <c:pt idx="4">
                  <c:v>81072</c:v>
                </c:pt>
                <c:pt idx="5">
                  <c:v>57478</c:v>
                </c:pt>
                <c:pt idx="6">
                  <c:v>42139</c:v>
                </c:pt>
                <c:pt idx="7">
                  <c:v>35250</c:v>
                </c:pt>
                <c:pt idx="8" formatCode="General">
                  <c:v>35815</c:v>
                </c:pt>
                <c:pt idx="9" formatCode="General">
                  <c:v>36198</c:v>
                </c:pt>
                <c:pt idx="10" formatCode="General">
                  <c:v>35319</c:v>
                </c:pt>
                <c:pt idx="11">
                  <c:v>41847</c:v>
                </c:pt>
                <c:pt idx="12" formatCode="General">
                  <c:v>54571</c:v>
                </c:pt>
                <c:pt idx="13" formatCode="General">
                  <c:v>69876</c:v>
                </c:pt>
              </c:numCache>
            </c:numRef>
          </c:val>
          <c:smooth val="1"/>
        </c:ser>
        <c:ser>
          <c:idx val="2"/>
          <c:order val="2"/>
          <c:tx>
            <c:strRef>
              <c:f>List1!$A$5</c:f>
              <c:strCache>
                <c:ptCount val="1"/>
                <c:pt idx="0">
                  <c:v>Polsko</c:v>
                </c:pt>
              </c:strCache>
            </c:strRef>
          </c:tx>
          <c:spPr>
            <a:ln w="28575" cmpd="dbl">
              <a:solidFill>
                <a:srgbClr val="FF5050"/>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(List1!$B$5:$N$5;List1!$O$5)</c:f>
              <c:numCache>
                <c:formatCode>#,##0</c:formatCode>
                <c:ptCount val="14"/>
                <c:pt idx="0">
                  <c:v>8882</c:v>
                </c:pt>
                <c:pt idx="1">
                  <c:v>12635</c:v>
                </c:pt>
                <c:pt idx="2">
                  <c:v>17149</c:v>
                </c:pt>
                <c:pt idx="3">
                  <c:v>23642</c:v>
                </c:pt>
                <c:pt idx="4">
                  <c:v>20680</c:v>
                </c:pt>
                <c:pt idx="5">
                  <c:v>20278</c:v>
                </c:pt>
                <c:pt idx="6">
                  <c:v>19049</c:v>
                </c:pt>
                <c:pt idx="7">
                  <c:v>19718</c:v>
                </c:pt>
                <c:pt idx="8" formatCode="General">
                  <c:v>6846</c:v>
                </c:pt>
                <c:pt idx="9" formatCode="General">
                  <c:v>6919</c:v>
                </c:pt>
                <c:pt idx="10" formatCode="General">
                  <c:v>13755</c:v>
                </c:pt>
                <c:pt idx="11">
                  <c:v>24982</c:v>
                </c:pt>
                <c:pt idx="12" formatCode="General">
                  <c:v>31522</c:v>
                </c:pt>
                <c:pt idx="13" formatCode="General">
                  <c:v>34778</c:v>
                </c:pt>
              </c:numCache>
            </c:numRef>
          </c:val>
          <c:smooth val="1"/>
        </c:ser>
        <c:ser>
          <c:idx val="3"/>
          <c:order val="3"/>
          <c:tx>
            <c:strRef>
              <c:f>List1!$A$6</c:f>
              <c:strCache>
                <c:ptCount val="1"/>
                <c:pt idx="0">
                  <c:v>Rumunsko</c:v>
                </c:pt>
              </c:strCache>
            </c:strRef>
          </c:tx>
          <c:spPr>
            <a:ln w="28575">
              <a:solidFill>
                <a:srgbClr val="990099"/>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List1!$B$6:$O$6</c:f>
              <c:numCache>
                <c:formatCode>General</c:formatCode>
                <c:ptCount val="14"/>
                <c:pt idx="0">
                  <c:v>590</c:v>
                </c:pt>
                <c:pt idx="1">
                  <c:v>929</c:v>
                </c:pt>
                <c:pt idx="2" formatCode="#,##0">
                  <c:v>1240</c:v>
                </c:pt>
                <c:pt idx="3" formatCode="#,##0">
                  <c:v>4313</c:v>
                </c:pt>
                <c:pt idx="4" formatCode="#,##0">
                  <c:v>3605</c:v>
                </c:pt>
                <c:pt idx="5" formatCode="#,##0">
                  <c:v>3780</c:v>
                </c:pt>
                <c:pt idx="6" formatCode="#,##0">
                  <c:v>4815</c:v>
                </c:pt>
                <c:pt idx="7" formatCode="#,##0">
                  <c:v>6372</c:v>
                </c:pt>
                <c:pt idx="8">
                  <c:v>20100</c:v>
                </c:pt>
                <c:pt idx="9">
                  <c:v>20316</c:v>
                </c:pt>
                <c:pt idx="10">
                  <c:v>19596</c:v>
                </c:pt>
                <c:pt idx="11" formatCode="#,##0">
                  <c:v>22861</c:v>
                </c:pt>
                <c:pt idx="12">
                  <c:v>31355</c:v>
                </c:pt>
                <c:pt idx="13">
                  <c:v>35783</c:v>
                </c:pt>
              </c:numCache>
            </c:numRef>
          </c:val>
          <c:smooth val="1"/>
        </c:ser>
        <c:ser>
          <c:idx val="4"/>
          <c:order val="4"/>
          <c:tx>
            <c:strRef>
              <c:f>List1!$A$7</c:f>
              <c:strCache>
                <c:ptCount val="1"/>
                <c:pt idx="0">
                  <c:v>Bulharsko</c:v>
                </c:pt>
              </c:strCache>
            </c:strRef>
          </c:tx>
          <c:spPr>
            <a:ln w="28575">
              <a:solidFill>
                <a:srgbClr val="00B050"/>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(List1!$B$7:$N$7;List1!$O$7)</c:f>
              <c:numCache>
                <c:formatCode>#,##0</c:formatCode>
                <c:ptCount val="14"/>
                <c:pt idx="0">
                  <c:v>1651</c:v>
                </c:pt>
                <c:pt idx="1">
                  <c:v>1732</c:v>
                </c:pt>
                <c:pt idx="2">
                  <c:v>1953</c:v>
                </c:pt>
                <c:pt idx="3">
                  <c:v>5393</c:v>
                </c:pt>
                <c:pt idx="4">
                  <c:v>5108</c:v>
                </c:pt>
                <c:pt idx="5">
                  <c:v>4578</c:v>
                </c:pt>
                <c:pt idx="6">
                  <c:v>5667</c:v>
                </c:pt>
                <c:pt idx="7">
                  <c:v>7007</c:v>
                </c:pt>
                <c:pt idx="8" formatCode="General">
                  <c:v>7315</c:v>
                </c:pt>
                <c:pt idx="9" formatCode="General">
                  <c:v>7394</c:v>
                </c:pt>
                <c:pt idx="10" formatCode="General">
                  <c:v>13685</c:v>
                </c:pt>
                <c:pt idx="11">
                  <c:v>19782</c:v>
                </c:pt>
                <c:pt idx="12" formatCode="General">
                  <c:v>25784</c:v>
                </c:pt>
                <c:pt idx="13" formatCode="General">
                  <c:v>28420</c:v>
                </c:pt>
              </c:numCache>
            </c:numRef>
          </c:val>
          <c:smooth val="1"/>
        </c:ser>
        <c:ser>
          <c:idx val="5"/>
          <c:order val="5"/>
          <c:tx>
            <c:strRef>
              <c:f>List1!$A$8</c:f>
              <c:strCache>
                <c:ptCount val="1"/>
                <c:pt idx="0">
                  <c:v>Rusko</c:v>
                </c:pt>
              </c:strCache>
            </c:strRef>
          </c:tx>
          <c:spPr>
            <a:ln w="28575">
              <a:solidFill>
                <a:srgbClr val="FF0000"/>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(List1!$B$8:$N$8;List1!$O$8)</c:f>
              <c:numCache>
                <c:formatCode>#,##0</c:formatCode>
                <c:ptCount val="14"/>
                <c:pt idx="0">
                  <c:v>1078</c:v>
                </c:pt>
                <c:pt idx="1">
                  <c:v>2447</c:v>
                </c:pt>
                <c:pt idx="2">
                  <c:v>2380</c:v>
                </c:pt>
                <c:pt idx="3">
                  <c:v>2488</c:v>
                </c:pt>
                <c:pt idx="4">
                  <c:v>3314</c:v>
                </c:pt>
                <c:pt idx="5">
                  <c:v>3612</c:v>
                </c:pt>
                <c:pt idx="6">
                  <c:v>3658</c:v>
                </c:pt>
                <c:pt idx="7">
                  <c:v>3931</c:v>
                </c:pt>
                <c:pt idx="8" formatCode="General">
                  <c:v>3950</c:v>
                </c:pt>
                <c:pt idx="9" formatCode="General">
                  <c:v>3992</c:v>
                </c:pt>
                <c:pt idx="10" formatCode="General">
                  <c:v>4720</c:v>
                </c:pt>
                <c:pt idx="11">
                  <c:v>6703</c:v>
                </c:pt>
                <c:pt idx="12" formatCode="General">
                  <c:v>8290</c:v>
                </c:pt>
                <c:pt idx="13" formatCode="General">
                  <c:v>8752</c:v>
                </c:pt>
              </c:numCache>
            </c:numRef>
          </c:val>
          <c:smooth val="1"/>
        </c:ser>
        <c:ser>
          <c:idx val="6"/>
          <c:order val="6"/>
          <c:tx>
            <c:strRef>
              <c:f>List1!$A$9</c:f>
              <c:strCache>
                <c:ptCount val="1"/>
                <c:pt idx="0">
                  <c:v>Vietnam</c:v>
                </c:pt>
              </c:strCache>
            </c:strRef>
          </c:tx>
          <c:spPr>
            <a:ln w="28575">
              <a:solidFill>
                <a:srgbClr val="FF9933"/>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(List1!$B$9:$N$9;List1!$O$9)</c:f>
              <c:numCache>
                <c:formatCode>General</c:formatCode>
                <c:ptCount val="14"/>
                <c:pt idx="0">
                  <c:v>183</c:v>
                </c:pt>
                <c:pt idx="1">
                  <c:v>256</c:v>
                </c:pt>
                <c:pt idx="2">
                  <c:v>692</c:v>
                </c:pt>
                <c:pt idx="3" formatCode="#,##0">
                  <c:v>5425</c:v>
                </c:pt>
                <c:pt idx="4" formatCode="#,##0">
                  <c:v>16254</c:v>
                </c:pt>
                <c:pt idx="5" formatCode="#,##0">
                  <c:v>3670</c:v>
                </c:pt>
                <c:pt idx="6" formatCode="#,##0">
                  <c:v>3132</c:v>
                </c:pt>
                <c:pt idx="7" formatCode="#,##0">
                  <c:v>2776</c:v>
                </c:pt>
                <c:pt idx="8">
                  <c:v>2868</c:v>
                </c:pt>
                <c:pt idx="9">
                  <c:v>2898</c:v>
                </c:pt>
                <c:pt idx="10">
                  <c:v>3981</c:v>
                </c:pt>
                <c:pt idx="11" formatCode="#,##0">
                  <c:v>5098</c:v>
                </c:pt>
                <c:pt idx="12">
                  <c:v>6565</c:v>
                </c:pt>
                <c:pt idx="13">
                  <c:v>8317</c:v>
                </c:pt>
              </c:numCache>
            </c:numRef>
          </c:val>
          <c:smooth val="1"/>
        </c:ser>
        <c:ser>
          <c:idx val="7"/>
          <c:order val="7"/>
          <c:tx>
            <c:strRef>
              <c:f>List1!$A$10</c:f>
              <c:strCache>
                <c:ptCount val="1"/>
                <c:pt idx="0">
                  <c:v>ostatní</c:v>
                </c:pt>
              </c:strCache>
            </c:strRef>
          </c:tx>
          <c:spPr>
            <a:ln w="38100">
              <a:solidFill>
                <a:schemeClr val="tx1">
                  <a:lumMod val="50000"/>
                  <a:lumOff val="50000"/>
                </a:schemeClr>
              </a:solidFill>
            </a:ln>
          </c:spPr>
          <c:marker>
            <c:symbol val="none"/>
          </c:marke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(List1!$B$10:$N$10;List1!$O$10)</c:f>
              <c:numCache>
                <c:formatCode>#,##0</c:formatCode>
                <c:ptCount val="14"/>
                <c:pt idx="0">
                  <c:v>13382</c:v>
                </c:pt>
                <c:pt idx="1">
                  <c:v>18380</c:v>
                </c:pt>
                <c:pt idx="2">
                  <c:v>24151</c:v>
                </c:pt>
                <c:pt idx="3">
                  <c:v>36156</c:v>
                </c:pt>
                <c:pt idx="4">
                  <c:v>54295</c:v>
                </c:pt>
                <c:pt idx="5">
                  <c:v>39121</c:v>
                </c:pt>
                <c:pt idx="6">
                  <c:v>36180</c:v>
                </c:pt>
                <c:pt idx="7">
                  <c:v>36383</c:v>
                </c:pt>
                <c:pt idx="8">
                  <c:v>36605</c:v>
                </c:pt>
                <c:pt idx="9">
                  <c:v>36965</c:v>
                </c:pt>
                <c:pt idx="10">
                  <c:v>40740</c:v>
                </c:pt>
                <c:pt idx="11">
                  <c:v>51654</c:v>
                </c:pt>
                <c:pt idx="12">
                  <c:v>63243</c:v>
                </c:pt>
                <c:pt idx="13">
                  <c:v>71480</c:v>
                </c:pt>
              </c:numCache>
            </c:numRef>
          </c:val>
          <c:smooth val="1"/>
        </c:ser>
        <c:dLbls>
          <c:showLegendKey val="0"/>
          <c:showVal val="0"/>
          <c:showCatName val="0"/>
          <c:showSerName val="0"/>
          <c:showPercent val="0"/>
          <c:showBubbleSize val="0"/>
        </c:dLbls>
        <c:marker val="1"/>
        <c:smooth val="0"/>
        <c:axId val="132376064"/>
        <c:axId val="132377600"/>
      </c:lineChart>
      <c:catAx>
        <c:axId val="132376064"/>
        <c:scaling>
          <c:orientation val="minMax"/>
        </c:scaling>
        <c:delete val="0"/>
        <c:axPos val="b"/>
        <c:numFmt formatCode="General" sourceLinked="1"/>
        <c:majorTickMark val="out"/>
        <c:minorTickMark val="none"/>
        <c:tickLblPos val="nextTo"/>
        <c:txPr>
          <a:bodyPr/>
          <a:lstStyle/>
          <a:p>
            <a:pPr>
              <a:defRPr sz="800"/>
            </a:pPr>
            <a:endParaRPr lang="cs-CZ"/>
          </a:p>
        </c:txPr>
        <c:crossAx val="132377600"/>
        <c:crosses val="autoZero"/>
        <c:auto val="1"/>
        <c:lblAlgn val="ctr"/>
        <c:lblOffset val="100"/>
        <c:noMultiLvlLbl val="0"/>
      </c:catAx>
      <c:valAx>
        <c:axId val="132377600"/>
        <c:scaling>
          <c:orientation val="minMax"/>
        </c:scaling>
        <c:delete val="0"/>
        <c:axPos val="l"/>
        <c:majorGridlines/>
        <c:numFmt formatCode="#,##0" sourceLinked="1"/>
        <c:majorTickMark val="out"/>
        <c:minorTickMark val="none"/>
        <c:tickLblPos val="nextTo"/>
        <c:txPr>
          <a:bodyPr/>
          <a:lstStyle/>
          <a:p>
            <a:pPr>
              <a:defRPr sz="800"/>
            </a:pPr>
            <a:endParaRPr lang="cs-CZ"/>
          </a:p>
        </c:txPr>
        <c:crossAx val="132376064"/>
        <c:crosses val="autoZero"/>
        <c:crossBetween val="between"/>
      </c:valAx>
    </c:plotArea>
    <c:legend>
      <c:legendPos val="b"/>
      <c:layout>
        <c:manualLayout>
          <c:xMode val="edge"/>
          <c:yMode val="edge"/>
          <c:x val="4.8786610007082447E-2"/>
          <c:y val="0.8617757158368704"/>
          <c:w val="0.9111702948212923"/>
          <c:h val="0.11508060046014017"/>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7"/>
          <c:order val="0"/>
          <c:tx>
            <c:strRef>
              <c:f>List1!$A$10</c:f>
              <c:strCache>
                <c:ptCount val="1"/>
                <c:pt idx="0">
                  <c:v>ostatní</c:v>
                </c:pt>
              </c:strCache>
            </c:strRef>
          </c:tx>
          <c:spPr>
            <a:solidFill>
              <a:schemeClr val="bg1">
                <a:lumMod val="75000"/>
              </a:schemeClr>
            </a:solidFill>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List1!$B$10:$O$10</c:f>
              <c:numCache>
                <c:formatCode>#,##0</c:formatCode>
                <c:ptCount val="14"/>
                <c:pt idx="0">
                  <c:v>13382</c:v>
                </c:pt>
                <c:pt idx="1">
                  <c:v>18380</c:v>
                </c:pt>
                <c:pt idx="2">
                  <c:v>24151</c:v>
                </c:pt>
                <c:pt idx="3">
                  <c:v>36156</c:v>
                </c:pt>
                <c:pt idx="4">
                  <c:v>54295</c:v>
                </c:pt>
                <c:pt idx="5">
                  <c:v>39121</c:v>
                </c:pt>
                <c:pt idx="6">
                  <c:v>36180</c:v>
                </c:pt>
                <c:pt idx="7">
                  <c:v>36383</c:v>
                </c:pt>
                <c:pt idx="8">
                  <c:v>36605</c:v>
                </c:pt>
                <c:pt idx="9">
                  <c:v>36965</c:v>
                </c:pt>
                <c:pt idx="10">
                  <c:v>40740</c:v>
                </c:pt>
                <c:pt idx="11">
                  <c:v>51654</c:v>
                </c:pt>
                <c:pt idx="12">
                  <c:v>63243</c:v>
                </c:pt>
                <c:pt idx="13">
                  <c:v>71480</c:v>
                </c:pt>
              </c:numCache>
            </c:numRef>
          </c:val>
        </c:ser>
        <c:ser>
          <c:idx val="5"/>
          <c:order val="1"/>
          <c:tx>
            <c:strRef>
              <c:f>List1!$A$8</c:f>
              <c:strCache>
                <c:ptCount val="1"/>
                <c:pt idx="0">
                  <c:v>Rusko</c:v>
                </c:pt>
              </c:strCache>
            </c:strRef>
          </c:tx>
          <c:spPr>
            <a:solidFill>
              <a:srgbClr val="FF0000"/>
            </a:solidFill>
            <a:ln w="25400">
              <a:noFill/>
            </a:ln>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List1!$B$8:$O$8</c:f>
              <c:numCache>
                <c:formatCode>#,##0</c:formatCode>
                <c:ptCount val="14"/>
                <c:pt idx="0">
                  <c:v>1078</c:v>
                </c:pt>
                <c:pt idx="1">
                  <c:v>2447</c:v>
                </c:pt>
                <c:pt idx="2">
                  <c:v>2380</c:v>
                </c:pt>
                <c:pt idx="3">
                  <c:v>2488</c:v>
                </c:pt>
                <c:pt idx="4">
                  <c:v>3314</c:v>
                </c:pt>
                <c:pt idx="5">
                  <c:v>3612</c:v>
                </c:pt>
                <c:pt idx="6">
                  <c:v>3658</c:v>
                </c:pt>
                <c:pt idx="7">
                  <c:v>3931</c:v>
                </c:pt>
                <c:pt idx="8" formatCode="General">
                  <c:v>3950</c:v>
                </c:pt>
                <c:pt idx="9" formatCode="General">
                  <c:v>3992</c:v>
                </c:pt>
                <c:pt idx="10" formatCode="General">
                  <c:v>4720</c:v>
                </c:pt>
                <c:pt idx="11">
                  <c:v>6703</c:v>
                </c:pt>
                <c:pt idx="12" formatCode="General">
                  <c:v>8290</c:v>
                </c:pt>
                <c:pt idx="13" formatCode="General">
                  <c:v>8752</c:v>
                </c:pt>
              </c:numCache>
            </c:numRef>
          </c:val>
        </c:ser>
        <c:ser>
          <c:idx val="6"/>
          <c:order val="2"/>
          <c:tx>
            <c:strRef>
              <c:f>List1!$A$9</c:f>
              <c:strCache>
                <c:ptCount val="1"/>
                <c:pt idx="0">
                  <c:v>Vietnam</c:v>
                </c:pt>
              </c:strCache>
            </c:strRef>
          </c:tx>
          <c:spPr>
            <a:pattFill prst="pct90">
              <a:fgClr>
                <a:srgbClr val="FF0000"/>
              </a:fgClr>
              <a:bgClr>
                <a:srgbClr val="FFFF00"/>
              </a:bgClr>
            </a:pattFill>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List1!$B$9:$O$9</c:f>
              <c:numCache>
                <c:formatCode>General</c:formatCode>
                <c:ptCount val="14"/>
                <c:pt idx="0">
                  <c:v>183</c:v>
                </c:pt>
                <c:pt idx="1">
                  <c:v>256</c:v>
                </c:pt>
                <c:pt idx="2">
                  <c:v>692</c:v>
                </c:pt>
                <c:pt idx="3" formatCode="#,##0">
                  <c:v>5425</c:v>
                </c:pt>
                <c:pt idx="4" formatCode="#,##0">
                  <c:v>16254</c:v>
                </c:pt>
                <c:pt idx="5" formatCode="#,##0">
                  <c:v>3670</c:v>
                </c:pt>
                <c:pt idx="6" formatCode="#,##0">
                  <c:v>3132</c:v>
                </c:pt>
                <c:pt idx="7" formatCode="#,##0">
                  <c:v>2776</c:v>
                </c:pt>
                <c:pt idx="8">
                  <c:v>2868</c:v>
                </c:pt>
                <c:pt idx="9">
                  <c:v>2898</c:v>
                </c:pt>
                <c:pt idx="10">
                  <c:v>3981</c:v>
                </c:pt>
                <c:pt idx="11" formatCode="#,##0">
                  <c:v>5098</c:v>
                </c:pt>
                <c:pt idx="12">
                  <c:v>6565</c:v>
                </c:pt>
                <c:pt idx="13">
                  <c:v>8317</c:v>
                </c:pt>
              </c:numCache>
            </c:numRef>
          </c:val>
        </c:ser>
        <c:ser>
          <c:idx val="3"/>
          <c:order val="3"/>
          <c:tx>
            <c:strRef>
              <c:f>List1!$A$6</c:f>
              <c:strCache>
                <c:ptCount val="1"/>
                <c:pt idx="0">
                  <c:v>Rumunsko</c:v>
                </c:pt>
              </c:strCache>
            </c:strRef>
          </c:tx>
          <c:spPr>
            <a:pattFill prst="dkVert">
              <a:fgClr>
                <a:srgbClr val="FF0000"/>
              </a:fgClr>
              <a:bgClr>
                <a:srgbClr val="FFFF00"/>
              </a:bgClr>
            </a:pattFill>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List1!$B$6:$O$6</c:f>
              <c:numCache>
                <c:formatCode>General</c:formatCode>
                <c:ptCount val="14"/>
                <c:pt idx="0">
                  <c:v>590</c:v>
                </c:pt>
                <c:pt idx="1">
                  <c:v>929</c:v>
                </c:pt>
                <c:pt idx="2" formatCode="#,##0">
                  <c:v>1240</c:v>
                </c:pt>
                <c:pt idx="3" formatCode="#,##0">
                  <c:v>4313</c:v>
                </c:pt>
                <c:pt idx="4" formatCode="#,##0">
                  <c:v>3605</c:v>
                </c:pt>
                <c:pt idx="5" formatCode="#,##0">
                  <c:v>3780</c:v>
                </c:pt>
                <c:pt idx="6" formatCode="#,##0">
                  <c:v>4815</c:v>
                </c:pt>
                <c:pt idx="7" formatCode="#,##0">
                  <c:v>6372</c:v>
                </c:pt>
                <c:pt idx="8">
                  <c:v>20100</c:v>
                </c:pt>
                <c:pt idx="9">
                  <c:v>20316</c:v>
                </c:pt>
                <c:pt idx="10">
                  <c:v>19596</c:v>
                </c:pt>
                <c:pt idx="11" formatCode="#,##0">
                  <c:v>22861</c:v>
                </c:pt>
                <c:pt idx="12">
                  <c:v>31355</c:v>
                </c:pt>
                <c:pt idx="13">
                  <c:v>35783</c:v>
                </c:pt>
              </c:numCache>
            </c:numRef>
          </c:val>
        </c:ser>
        <c:ser>
          <c:idx val="4"/>
          <c:order val="4"/>
          <c:tx>
            <c:strRef>
              <c:f>List1!$A$7</c:f>
              <c:strCache>
                <c:ptCount val="1"/>
                <c:pt idx="0">
                  <c:v>Bulharsko</c:v>
                </c:pt>
              </c:strCache>
            </c:strRef>
          </c:tx>
          <c:spPr>
            <a:pattFill prst="dkHorz">
              <a:fgClr>
                <a:schemeClr val="accent3">
                  <a:lumMod val="75000"/>
                </a:schemeClr>
              </a:fgClr>
              <a:bgClr>
                <a:schemeClr val="bg1"/>
              </a:bgClr>
            </a:pattFill>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List1!$B$7:$O$7</c:f>
              <c:numCache>
                <c:formatCode>#,##0</c:formatCode>
                <c:ptCount val="14"/>
                <c:pt idx="0">
                  <c:v>1651</c:v>
                </c:pt>
                <c:pt idx="1">
                  <c:v>1732</c:v>
                </c:pt>
                <c:pt idx="2">
                  <c:v>1953</c:v>
                </c:pt>
                <c:pt idx="3">
                  <c:v>5393</c:v>
                </c:pt>
                <c:pt idx="4">
                  <c:v>5108</c:v>
                </c:pt>
                <c:pt idx="5">
                  <c:v>4578</c:v>
                </c:pt>
                <c:pt idx="6">
                  <c:v>5667</c:v>
                </c:pt>
                <c:pt idx="7">
                  <c:v>7007</c:v>
                </c:pt>
                <c:pt idx="8" formatCode="General">
                  <c:v>7315</c:v>
                </c:pt>
                <c:pt idx="9" formatCode="General">
                  <c:v>7394</c:v>
                </c:pt>
                <c:pt idx="10" formatCode="General">
                  <c:v>13685</c:v>
                </c:pt>
                <c:pt idx="11">
                  <c:v>19782</c:v>
                </c:pt>
                <c:pt idx="12" formatCode="General">
                  <c:v>25784</c:v>
                </c:pt>
                <c:pt idx="13" formatCode="General">
                  <c:v>28420</c:v>
                </c:pt>
              </c:numCache>
            </c:numRef>
          </c:val>
        </c:ser>
        <c:ser>
          <c:idx val="2"/>
          <c:order val="5"/>
          <c:tx>
            <c:strRef>
              <c:f>List1!$A$5</c:f>
              <c:strCache>
                <c:ptCount val="1"/>
                <c:pt idx="0">
                  <c:v>Polsko</c:v>
                </c:pt>
              </c:strCache>
            </c:strRef>
          </c:tx>
          <c:spPr>
            <a:pattFill prst="dkHorz">
              <a:fgClr>
                <a:srgbClr val="FF0000"/>
              </a:fgClr>
              <a:bgClr>
                <a:schemeClr val="bg1"/>
              </a:bgClr>
            </a:pattFill>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List1!$B$5:$O$5</c:f>
              <c:numCache>
                <c:formatCode>#,##0</c:formatCode>
                <c:ptCount val="14"/>
                <c:pt idx="0">
                  <c:v>8882</c:v>
                </c:pt>
                <c:pt idx="1">
                  <c:v>12635</c:v>
                </c:pt>
                <c:pt idx="2">
                  <c:v>17149</c:v>
                </c:pt>
                <c:pt idx="3">
                  <c:v>23642</c:v>
                </c:pt>
                <c:pt idx="4">
                  <c:v>20680</c:v>
                </c:pt>
                <c:pt idx="5">
                  <c:v>20278</c:v>
                </c:pt>
                <c:pt idx="6">
                  <c:v>19049</c:v>
                </c:pt>
                <c:pt idx="7">
                  <c:v>19718</c:v>
                </c:pt>
                <c:pt idx="8" formatCode="General">
                  <c:v>6846</c:v>
                </c:pt>
                <c:pt idx="9" formatCode="General">
                  <c:v>6919</c:v>
                </c:pt>
                <c:pt idx="10" formatCode="General">
                  <c:v>13755</c:v>
                </c:pt>
                <c:pt idx="11">
                  <c:v>24982</c:v>
                </c:pt>
                <c:pt idx="12" formatCode="General">
                  <c:v>31522</c:v>
                </c:pt>
                <c:pt idx="13" formatCode="General">
                  <c:v>34778</c:v>
                </c:pt>
              </c:numCache>
            </c:numRef>
          </c:val>
        </c:ser>
        <c:ser>
          <c:idx val="1"/>
          <c:order val="6"/>
          <c:tx>
            <c:strRef>
              <c:f>List1!$A$4</c:f>
              <c:strCache>
                <c:ptCount val="1"/>
                <c:pt idx="0">
                  <c:v>Ukrajina</c:v>
                </c:pt>
              </c:strCache>
            </c:strRef>
          </c:tx>
          <c:spPr>
            <a:pattFill prst="ltHorz">
              <a:fgClr>
                <a:srgbClr val="0070C0"/>
              </a:fgClr>
              <a:bgClr>
                <a:srgbClr val="FFFF00"/>
              </a:bgClr>
            </a:pattFill>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List1!$B$4:$O$4</c:f>
              <c:numCache>
                <c:formatCode>#,##0</c:formatCode>
                <c:ptCount val="14"/>
                <c:pt idx="0">
                  <c:v>22399</c:v>
                </c:pt>
                <c:pt idx="1">
                  <c:v>40060</c:v>
                </c:pt>
                <c:pt idx="2">
                  <c:v>46155</c:v>
                </c:pt>
                <c:pt idx="3">
                  <c:v>61592</c:v>
                </c:pt>
                <c:pt idx="4">
                  <c:v>81072</c:v>
                </c:pt>
                <c:pt idx="5">
                  <c:v>57478</c:v>
                </c:pt>
                <c:pt idx="6">
                  <c:v>42139</c:v>
                </c:pt>
                <c:pt idx="7">
                  <c:v>35250</c:v>
                </c:pt>
                <c:pt idx="8" formatCode="General">
                  <c:v>35815</c:v>
                </c:pt>
                <c:pt idx="9" formatCode="General">
                  <c:v>36198</c:v>
                </c:pt>
                <c:pt idx="10" formatCode="General">
                  <c:v>35319</c:v>
                </c:pt>
                <c:pt idx="11">
                  <c:v>41847</c:v>
                </c:pt>
                <c:pt idx="12" formatCode="General">
                  <c:v>54571</c:v>
                </c:pt>
                <c:pt idx="13" formatCode="General">
                  <c:v>69876</c:v>
                </c:pt>
              </c:numCache>
            </c:numRef>
          </c:val>
        </c:ser>
        <c:ser>
          <c:idx val="0"/>
          <c:order val="7"/>
          <c:tx>
            <c:strRef>
              <c:f>List1!$A$3</c:f>
              <c:strCache>
                <c:ptCount val="1"/>
                <c:pt idx="0">
                  <c:v>Slovensko</c:v>
                </c:pt>
              </c:strCache>
            </c:strRef>
          </c:tx>
          <c:spPr>
            <a:solidFill>
              <a:srgbClr val="00B0F0"/>
            </a:solidFill>
            <a:ln>
              <a:noFill/>
            </a:ln>
          </c:spPr>
          <c:cat>
            <c:strRef>
              <c:f>List1!$B$2:$O$2</c:f>
              <c:strCache>
                <c:ptCount val="14"/>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30_6_17</c:v>
                </c:pt>
              </c:strCache>
            </c:strRef>
          </c:cat>
          <c:val>
            <c:numRef>
              <c:f>List1!$B$3:$O$3</c:f>
              <c:numCache>
                <c:formatCode>#,##0</c:formatCode>
                <c:ptCount val="14"/>
                <c:pt idx="0">
                  <c:v>59819</c:v>
                </c:pt>
                <c:pt idx="1">
                  <c:v>75297</c:v>
                </c:pt>
                <c:pt idx="2">
                  <c:v>91355</c:v>
                </c:pt>
                <c:pt idx="3">
                  <c:v>101233</c:v>
                </c:pt>
                <c:pt idx="4">
                  <c:v>100223</c:v>
                </c:pt>
                <c:pt idx="5">
                  <c:v>98192</c:v>
                </c:pt>
                <c:pt idx="6">
                  <c:v>100727</c:v>
                </c:pt>
                <c:pt idx="7">
                  <c:v>106425</c:v>
                </c:pt>
                <c:pt idx="8" formatCode="General">
                  <c:v>108445</c:v>
                </c:pt>
                <c:pt idx="9" formatCode="General">
                  <c:v>109602</c:v>
                </c:pt>
                <c:pt idx="10" formatCode="General">
                  <c:v>129203</c:v>
                </c:pt>
                <c:pt idx="11">
                  <c:v>150317</c:v>
                </c:pt>
                <c:pt idx="12" formatCode="General">
                  <c:v>161559</c:v>
                </c:pt>
                <c:pt idx="13" formatCode="General">
                  <c:v>165698</c:v>
                </c:pt>
              </c:numCache>
            </c:numRef>
          </c:val>
        </c:ser>
        <c:dLbls>
          <c:showLegendKey val="0"/>
          <c:showVal val="0"/>
          <c:showCatName val="0"/>
          <c:showSerName val="0"/>
          <c:showPercent val="0"/>
          <c:showBubbleSize val="0"/>
        </c:dLbls>
        <c:axId val="132933120"/>
        <c:axId val="132934656"/>
      </c:areaChart>
      <c:catAx>
        <c:axId val="132933120"/>
        <c:scaling>
          <c:orientation val="minMax"/>
        </c:scaling>
        <c:delete val="0"/>
        <c:axPos val="b"/>
        <c:numFmt formatCode="General" sourceLinked="1"/>
        <c:majorTickMark val="out"/>
        <c:minorTickMark val="none"/>
        <c:tickLblPos val="nextTo"/>
        <c:txPr>
          <a:bodyPr/>
          <a:lstStyle/>
          <a:p>
            <a:pPr>
              <a:defRPr sz="800"/>
            </a:pPr>
            <a:endParaRPr lang="cs-CZ"/>
          </a:p>
        </c:txPr>
        <c:crossAx val="132934656"/>
        <c:crosses val="autoZero"/>
        <c:auto val="1"/>
        <c:lblAlgn val="ctr"/>
        <c:lblOffset val="100"/>
        <c:noMultiLvlLbl val="0"/>
      </c:catAx>
      <c:valAx>
        <c:axId val="132934656"/>
        <c:scaling>
          <c:orientation val="minMax"/>
        </c:scaling>
        <c:delete val="0"/>
        <c:axPos val="l"/>
        <c:majorGridlines/>
        <c:numFmt formatCode="#,##0" sourceLinked="1"/>
        <c:majorTickMark val="out"/>
        <c:minorTickMark val="none"/>
        <c:tickLblPos val="nextTo"/>
        <c:txPr>
          <a:bodyPr/>
          <a:lstStyle/>
          <a:p>
            <a:pPr>
              <a:defRPr sz="800"/>
            </a:pPr>
            <a:endParaRPr lang="cs-CZ"/>
          </a:p>
        </c:txPr>
        <c:crossAx val="132933120"/>
        <c:crosses val="autoZero"/>
        <c:crossBetween val="midCat"/>
      </c:valAx>
    </c:plotArea>
    <c:legend>
      <c:legendPos val="b"/>
      <c:overlay val="0"/>
      <c:txPr>
        <a:bodyPr/>
        <a:lstStyle/>
        <a:p>
          <a:pPr>
            <a:defRPr sz="800"/>
          </a:pPr>
          <a:endParaRPr lang="cs-CZ"/>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650324672718666E-2"/>
          <c:y val="0.13245510433302649"/>
          <c:w val="0.90569481567097687"/>
          <c:h val="0.66106163453706213"/>
        </c:manualLayout>
      </c:layout>
      <c:barChart>
        <c:barDir val="col"/>
        <c:grouping val="percentStacked"/>
        <c:varyColors val="0"/>
        <c:ser>
          <c:idx val="3"/>
          <c:order val="0"/>
          <c:tx>
            <c:strRef>
              <c:f>'Neobsazenost podle vzdělání'!$X$24</c:f>
              <c:strCache>
                <c:ptCount val="1"/>
                <c:pt idx="0">
                  <c:v>nad 12M</c:v>
                </c:pt>
              </c:strCache>
            </c:strRef>
          </c:tx>
          <c:spPr>
            <a:solidFill>
              <a:schemeClr val="accent2">
                <a:lumMod val="75000"/>
              </a:schemeClr>
            </a:solidFill>
          </c:spPr>
          <c:invertIfNegative val="0"/>
          <c:cat>
            <c:strRef>
              <c:f>'\\s-mpa-cls3-spo1.mpsvnet.mpsv.cz\spoldisk\SD_o410\o401\Dudek Pavel\=Strategie=\=MPSV=\Analýza nabídky a poptávky na TP (2016)\=Zprávy=\data sledování\[struktura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vzdělání'!$AO$25:$AO$36</c:f>
              <c:numCache>
                <c:formatCode>#,##0</c:formatCode>
                <c:ptCount val="12"/>
                <c:pt idx="0">
                  <c:v>1485</c:v>
                </c:pt>
                <c:pt idx="1">
                  <c:v>15965</c:v>
                </c:pt>
                <c:pt idx="2">
                  <c:v>389</c:v>
                </c:pt>
                <c:pt idx="3">
                  <c:v>1842</c:v>
                </c:pt>
                <c:pt idx="4">
                  <c:v>9531</c:v>
                </c:pt>
                <c:pt idx="5">
                  <c:v>280</c:v>
                </c:pt>
                <c:pt idx="6">
                  <c:v>991</c:v>
                </c:pt>
                <c:pt idx="7">
                  <c:v>770</c:v>
                </c:pt>
                <c:pt idx="8">
                  <c:v>2095</c:v>
                </c:pt>
                <c:pt idx="9">
                  <c:v>452</c:v>
                </c:pt>
                <c:pt idx="10">
                  <c:v>954</c:v>
                </c:pt>
                <c:pt idx="11">
                  <c:v>1708</c:v>
                </c:pt>
              </c:numCache>
            </c:numRef>
          </c:val>
        </c:ser>
        <c:ser>
          <c:idx val="2"/>
          <c:order val="1"/>
          <c:tx>
            <c:strRef>
              <c:f>'Neobsazenost podle vzdělání'!$W$24</c:f>
              <c:strCache>
                <c:ptCount val="1"/>
                <c:pt idx="0">
                  <c:v>6-12M</c:v>
                </c:pt>
              </c:strCache>
            </c:strRef>
          </c:tx>
          <c:spPr>
            <a:solidFill>
              <a:schemeClr val="accent2">
                <a:lumMod val="60000"/>
                <a:lumOff val="40000"/>
              </a:schemeClr>
            </a:solidFill>
          </c:spPr>
          <c:invertIfNegative val="0"/>
          <c:cat>
            <c:strRef>
              <c:f>'\\s-mpa-cls3-spo1.mpsvnet.mpsv.cz\spoldisk\SD_o410\o401\Dudek Pavel\=Strategie=\=MPSV=\Analýza nabídky a poptávky na TP (2016)\=Zprávy=\data sledování\[struktura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vzdělání'!$AN$25:$AN$36</c:f>
              <c:numCache>
                <c:formatCode>#,##0</c:formatCode>
                <c:ptCount val="12"/>
                <c:pt idx="0">
                  <c:v>259</c:v>
                </c:pt>
                <c:pt idx="1">
                  <c:v>13341</c:v>
                </c:pt>
                <c:pt idx="2">
                  <c:v>227</c:v>
                </c:pt>
                <c:pt idx="3">
                  <c:v>1451</c:v>
                </c:pt>
                <c:pt idx="4">
                  <c:v>7172</c:v>
                </c:pt>
                <c:pt idx="5">
                  <c:v>154</c:v>
                </c:pt>
                <c:pt idx="6">
                  <c:v>505</c:v>
                </c:pt>
                <c:pt idx="7">
                  <c:v>682</c:v>
                </c:pt>
                <c:pt idx="8">
                  <c:v>1445</c:v>
                </c:pt>
                <c:pt idx="9">
                  <c:v>209</c:v>
                </c:pt>
                <c:pt idx="10">
                  <c:v>474</c:v>
                </c:pt>
                <c:pt idx="11">
                  <c:v>1016</c:v>
                </c:pt>
              </c:numCache>
            </c:numRef>
          </c:val>
        </c:ser>
        <c:ser>
          <c:idx val="1"/>
          <c:order val="2"/>
          <c:tx>
            <c:strRef>
              <c:f>'Neobsazenost podle vzdělání'!$V$24</c:f>
              <c:strCache>
                <c:ptCount val="1"/>
                <c:pt idx="0">
                  <c:v>3-6M</c:v>
                </c:pt>
              </c:strCache>
            </c:strRef>
          </c:tx>
          <c:spPr>
            <a:solidFill>
              <a:schemeClr val="tx2">
                <a:lumMod val="60000"/>
                <a:lumOff val="40000"/>
              </a:schemeClr>
            </a:solidFill>
          </c:spPr>
          <c:invertIfNegative val="0"/>
          <c:cat>
            <c:strRef>
              <c:f>'\\s-mpa-cls3-spo1.mpsvnet.mpsv.cz\spoldisk\SD_o410\o401\Dudek Pavel\=Strategie=\=MPSV=\Analýza nabídky a poptávky na TP (2016)\=Zprávy=\data sledování\[struktura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vzdělání'!$AM$25:$AM$36</c:f>
              <c:numCache>
                <c:formatCode>#,##0</c:formatCode>
                <c:ptCount val="12"/>
                <c:pt idx="0">
                  <c:v>432</c:v>
                </c:pt>
                <c:pt idx="1">
                  <c:v>13992</c:v>
                </c:pt>
                <c:pt idx="2">
                  <c:v>336</c:v>
                </c:pt>
                <c:pt idx="3">
                  <c:v>1844</c:v>
                </c:pt>
                <c:pt idx="4">
                  <c:v>9430</c:v>
                </c:pt>
                <c:pt idx="5">
                  <c:v>200</c:v>
                </c:pt>
                <c:pt idx="6">
                  <c:v>809</c:v>
                </c:pt>
                <c:pt idx="7">
                  <c:v>917</c:v>
                </c:pt>
                <c:pt idx="8">
                  <c:v>1867</c:v>
                </c:pt>
                <c:pt idx="9">
                  <c:v>343</c:v>
                </c:pt>
                <c:pt idx="10">
                  <c:v>321</c:v>
                </c:pt>
                <c:pt idx="11">
                  <c:v>1132</c:v>
                </c:pt>
              </c:numCache>
            </c:numRef>
          </c:val>
        </c:ser>
        <c:ser>
          <c:idx val="0"/>
          <c:order val="3"/>
          <c:tx>
            <c:strRef>
              <c:f>'Neobsazenost podle vzdělání'!$U$24</c:f>
              <c:strCache>
                <c:ptCount val="1"/>
                <c:pt idx="0">
                  <c:v>0-3M</c:v>
                </c:pt>
              </c:strCache>
            </c:strRef>
          </c:tx>
          <c:spPr>
            <a:solidFill>
              <a:schemeClr val="tx2">
                <a:lumMod val="20000"/>
                <a:lumOff val="80000"/>
              </a:schemeClr>
            </a:solidFill>
          </c:spPr>
          <c:invertIfNegative val="0"/>
          <c:cat>
            <c:strRef>
              <c:f>'\\s-mpa-cls3-spo1.mpsvnet.mpsv.cz\spoldisk\SD_o410\o401\Dudek Pavel\=Strategie=\=MPSV=\Analýza nabídky a poptávky na TP (2016)\=Zprávy=\data sledování\[struktura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vzdělání'!$AL$25:$AL$36</c:f>
              <c:numCache>
                <c:formatCode>#,##0</c:formatCode>
                <c:ptCount val="12"/>
                <c:pt idx="0">
                  <c:v>4218</c:v>
                </c:pt>
                <c:pt idx="1">
                  <c:v>44457</c:v>
                </c:pt>
                <c:pt idx="2">
                  <c:v>807</c:v>
                </c:pt>
                <c:pt idx="3">
                  <c:v>5012</c:v>
                </c:pt>
                <c:pt idx="4">
                  <c:v>19431</c:v>
                </c:pt>
                <c:pt idx="5">
                  <c:v>962</c:v>
                </c:pt>
                <c:pt idx="6">
                  <c:v>2619</c:v>
                </c:pt>
                <c:pt idx="7">
                  <c:v>2024</c:v>
                </c:pt>
                <c:pt idx="8">
                  <c:v>4815</c:v>
                </c:pt>
                <c:pt idx="9">
                  <c:v>619</c:v>
                </c:pt>
                <c:pt idx="10">
                  <c:v>1002</c:v>
                </c:pt>
                <c:pt idx="11">
                  <c:v>2513</c:v>
                </c:pt>
              </c:numCache>
            </c:numRef>
          </c:val>
        </c:ser>
        <c:dLbls>
          <c:showLegendKey val="0"/>
          <c:showVal val="0"/>
          <c:showCatName val="0"/>
          <c:showSerName val="0"/>
          <c:showPercent val="0"/>
          <c:showBubbleSize val="0"/>
        </c:dLbls>
        <c:gapWidth val="150"/>
        <c:overlap val="100"/>
        <c:axId val="115665536"/>
        <c:axId val="115667328"/>
      </c:barChart>
      <c:lineChart>
        <c:grouping val="standard"/>
        <c:varyColors val="0"/>
        <c:ser>
          <c:idx val="4"/>
          <c:order val="4"/>
          <c:tx>
            <c:strRef>
              <c:f>'Neobsazenost podle vzdělání'!$T$22:$T$24</c:f>
              <c:strCache>
                <c:ptCount val="1"/>
                <c:pt idx="0">
                  <c:v>celkem</c:v>
                </c:pt>
              </c:strCache>
            </c:strRef>
          </c:tx>
          <c:spPr>
            <a:ln w="19050">
              <a:solidFill>
                <a:srgbClr val="00B050"/>
              </a:solidFill>
            </a:ln>
          </c:spPr>
          <c:marker>
            <c:symbol val="none"/>
          </c:marker>
          <c:cat>
            <c:strRef>
              <c:f>'\\s-mpa-cls3-spo1.mpsvnet.mpsv.cz\spoldisk\SD_o410\o401\Dudek Pavel\=Strategie=\=MPSV=\Analýza nabídky a poptávky na TP (2016)\=Zprávy=\data sledování\[struktura UoZ.xlsx]List2'!$B$70:$B$81</c:f>
              <c:strCache>
                <c:ptCount val="12"/>
                <c:pt idx="0">
                  <c:v>Bez + neúpl. ZŠ</c:v>
                </c:pt>
                <c:pt idx="1">
                  <c:v>ZŠ + praktická škola</c:v>
                </c:pt>
                <c:pt idx="2">
                  <c:v>Nižší střední</c:v>
                </c:pt>
                <c:pt idx="3">
                  <c:v>Nižší střední odborné</c:v>
                </c:pt>
                <c:pt idx="4">
                  <c:v>Střední odb. (vyučen)</c:v>
                </c:pt>
                <c:pt idx="5">
                  <c:v>Střední odb. bez mat. a vyuč.</c:v>
                </c:pt>
                <c:pt idx="6">
                  <c:v>ÚSV</c:v>
                </c:pt>
                <c:pt idx="7">
                  <c:v>ÚSO (vyuč.+ mat.)</c:v>
                </c:pt>
                <c:pt idx="8">
                  <c:v>ÚSO s maturitou (bez vyučení)</c:v>
                </c:pt>
                <c:pt idx="9">
                  <c:v>VOŠ (vč. Konz.)</c:v>
                </c:pt>
                <c:pt idx="10">
                  <c:v>Bakalář.</c:v>
                </c:pt>
                <c:pt idx="11">
                  <c:v>VŠ (vč. doktor.)</c:v>
                </c:pt>
              </c:strCache>
            </c:strRef>
          </c:cat>
          <c:val>
            <c:numRef>
              <c:f>'Neobsazenost podle vzdělání'!$AK$25:$AK$36</c:f>
              <c:numCache>
                <c:formatCode>#,##0</c:formatCode>
                <c:ptCount val="12"/>
                <c:pt idx="0">
                  <c:v>6394</c:v>
                </c:pt>
                <c:pt idx="1">
                  <c:v>87755</c:v>
                </c:pt>
                <c:pt idx="2">
                  <c:v>1759</c:v>
                </c:pt>
                <c:pt idx="3">
                  <c:v>10149</c:v>
                </c:pt>
                <c:pt idx="4">
                  <c:v>45564</c:v>
                </c:pt>
                <c:pt idx="5">
                  <c:v>1596</c:v>
                </c:pt>
                <c:pt idx="6">
                  <c:v>4924</c:v>
                </c:pt>
                <c:pt idx="7">
                  <c:v>4393</c:v>
                </c:pt>
                <c:pt idx="8">
                  <c:v>10222</c:v>
                </c:pt>
                <c:pt idx="9">
                  <c:v>1623</c:v>
                </c:pt>
                <c:pt idx="10">
                  <c:v>2751</c:v>
                </c:pt>
                <c:pt idx="11">
                  <c:v>6369</c:v>
                </c:pt>
              </c:numCache>
            </c:numRef>
          </c:val>
          <c:smooth val="0"/>
        </c:ser>
        <c:dLbls>
          <c:showLegendKey val="0"/>
          <c:showVal val="0"/>
          <c:showCatName val="0"/>
          <c:showSerName val="0"/>
          <c:showPercent val="0"/>
          <c:showBubbleSize val="0"/>
        </c:dLbls>
        <c:marker val="1"/>
        <c:smooth val="0"/>
        <c:axId val="115675136"/>
        <c:axId val="115668864"/>
      </c:lineChart>
      <c:catAx>
        <c:axId val="115665536"/>
        <c:scaling>
          <c:orientation val="minMax"/>
        </c:scaling>
        <c:delete val="0"/>
        <c:axPos val="b"/>
        <c:majorTickMark val="out"/>
        <c:minorTickMark val="none"/>
        <c:tickLblPos val="nextTo"/>
        <c:txPr>
          <a:bodyPr/>
          <a:lstStyle/>
          <a:p>
            <a:pPr>
              <a:defRPr sz="800"/>
            </a:pPr>
            <a:endParaRPr lang="cs-CZ"/>
          </a:p>
        </c:txPr>
        <c:crossAx val="115667328"/>
        <c:crosses val="autoZero"/>
        <c:auto val="1"/>
        <c:lblAlgn val="ctr"/>
        <c:lblOffset val="100"/>
        <c:noMultiLvlLbl val="0"/>
      </c:catAx>
      <c:valAx>
        <c:axId val="115667328"/>
        <c:scaling>
          <c:orientation val="minMax"/>
        </c:scaling>
        <c:delete val="0"/>
        <c:axPos val="l"/>
        <c:majorGridlines/>
        <c:numFmt formatCode="0%" sourceLinked="1"/>
        <c:majorTickMark val="out"/>
        <c:minorTickMark val="none"/>
        <c:tickLblPos val="nextTo"/>
        <c:txPr>
          <a:bodyPr rot="-5400000" vert="horz"/>
          <a:lstStyle/>
          <a:p>
            <a:pPr>
              <a:defRPr sz="800"/>
            </a:pPr>
            <a:endParaRPr lang="cs-CZ"/>
          </a:p>
        </c:txPr>
        <c:crossAx val="115665536"/>
        <c:crosses val="autoZero"/>
        <c:crossBetween val="between"/>
        <c:majorUnit val="0.2"/>
        <c:minorUnit val="5.000000000000001E-2"/>
      </c:valAx>
      <c:valAx>
        <c:axId val="115668864"/>
        <c:scaling>
          <c:orientation val="minMax"/>
          <c:max val="100000"/>
          <c:min val="0"/>
        </c:scaling>
        <c:delete val="0"/>
        <c:axPos val="r"/>
        <c:majorGridlines/>
        <c:minorGridlines/>
        <c:numFmt formatCode="#,##0" sourceLinked="1"/>
        <c:majorTickMark val="out"/>
        <c:minorTickMark val="none"/>
        <c:tickLblPos val="nextTo"/>
        <c:txPr>
          <a:bodyPr/>
          <a:lstStyle/>
          <a:p>
            <a:pPr>
              <a:defRPr sz="800"/>
            </a:pPr>
            <a:endParaRPr lang="cs-CZ"/>
          </a:p>
        </c:txPr>
        <c:crossAx val="115675136"/>
        <c:crosses val="max"/>
        <c:crossBetween val="between"/>
        <c:majorUnit val="20000"/>
        <c:dispUnits>
          <c:builtInUnit val="thousands"/>
          <c:dispUnitsLbl>
            <c:layout>
              <c:manualLayout>
                <c:xMode val="edge"/>
                <c:yMode val="edge"/>
                <c:x val="0.92563415270264848"/>
                <c:y val="5.0506531511147312E-2"/>
              </c:manualLayout>
            </c:layout>
            <c:txPr>
              <a:bodyPr rot="0" vert="horz"/>
              <a:lstStyle/>
              <a:p>
                <a:pPr>
                  <a:defRPr sz="800"/>
                </a:pPr>
                <a:endParaRPr lang="cs-CZ"/>
              </a:p>
            </c:txPr>
          </c:dispUnitsLbl>
        </c:dispUnits>
      </c:valAx>
      <c:catAx>
        <c:axId val="115675136"/>
        <c:scaling>
          <c:orientation val="minMax"/>
        </c:scaling>
        <c:delete val="1"/>
        <c:axPos val="b"/>
        <c:majorTickMark val="out"/>
        <c:minorTickMark val="none"/>
        <c:tickLblPos val="nextTo"/>
        <c:crossAx val="115668864"/>
        <c:crosses val="autoZero"/>
        <c:auto val="1"/>
        <c:lblAlgn val="ctr"/>
        <c:lblOffset val="100"/>
        <c:noMultiLvlLbl val="0"/>
      </c:catAx>
    </c:plotArea>
    <c:legend>
      <c:legendPos val="t"/>
      <c:overlay val="0"/>
      <c:txPr>
        <a:bodyPr/>
        <a:lstStyle/>
        <a:p>
          <a:pPr>
            <a:defRPr sz="800"/>
          </a:pPr>
          <a:endParaRPr lang="cs-CZ"/>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k 30. 6. 2017</a:t>
            </a:r>
          </a:p>
        </c:rich>
      </c:tx>
      <c:layout>
        <c:manualLayout>
          <c:xMode val="edge"/>
          <c:yMode val="edge"/>
          <c:x val="0.58383809918497032"/>
          <c:y val="2.564102564102564E-2"/>
        </c:manualLayout>
      </c:layout>
      <c:overlay val="0"/>
    </c:title>
    <c:autoTitleDeleted val="0"/>
    <c:plotArea>
      <c:layout/>
      <c:doughnutChart>
        <c:varyColors val="1"/>
        <c:ser>
          <c:idx val="0"/>
          <c:order val="0"/>
          <c:dPt>
            <c:idx val="0"/>
            <c:bubble3D val="0"/>
            <c:spPr>
              <a:solidFill>
                <a:schemeClr val="accent2">
                  <a:lumMod val="40000"/>
                  <a:lumOff val="60000"/>
                </a:schemeClr>
              </a:solidFill>
            </c:spPr>
          </c:dPt>
          <c:dPt>
            <c:idx val="1"/>
            <c:bubble3D val="0"/>
            <c:spPr>
              <a:solidFill>
                <a:srgbClr val="FF7C80"/>
              </a:solidFill>
            </c:spPr>
          </c:dPt>
          <c:dPt>
            <c:idx val="2"/>
            <c:bubble3D val="0"/>
            <c:spPr>
              <a:solidFill>
                <a:schemeClr val="accent4">
                  <a:lumMod val="40000"/>
                  <a:lumOff val="60000"/>
                </a:schemeClr>
              </a:solidFill>
            </c:spPr>
          </c:dPt>
          <c:dPt>
            <c:idx val="3"/>
            <c:bubble3D val="0"/>
            <c:spPr>
              <a:solidFill>
                <a:schemeClr val="accent4">
                  <a:lumMod val="75000"/>
                </a:schemeClr>
              </a:solidFill>
            </c:spPr>
          </c:dPt>
          <c:dPt>
            <c:idx val="4"/>
            <c:bubble3D val="0"/>
            <c:spPr>
              <a:solidFill>
                <a:schemeClr val="tx2">
                  <a:lumMod val="40000"/>
                  <a:lumOff val="60000"/>
                </a:schemeClr>
              </a:solidFill>
            </c:spPr>
          </c:dPt>
          <c:dPt>
            <c:idx val="5"/>
            <c:bubble3D val="0"/>
            <c:spPr>
              <a:solidFill>
                <a:schemeClr val="tx2">
                  <a:lumMod val="60000"/>
                  <a:lumOff val="40000"/>
                </a:schemeClr>
              </a:solidFill>
            </c:spPr>
          </c:dPt>
          <c:dPt>
            <c:idx val="6"/>
            <c:bubble3D val="0"/>
            <c:spPr>
              <a:solidFill>
                <a:srgbClr val="00B0F0"/>
              </a:solidFill>
            </c:spPr>
          </c:dPt>
          <c:dPt>
            <c:idx val="7"/>
            <c:bubble3D val="0"/>
            <c:spPr>
              <a:pattFill prst="pct50">
                <a:fgClr>
                  <a:schemeClr val="accent5">
                    <a:lumMod val="60000"/>
                    <a:lumOff val="40000"/>
                  </a:schemeClr>
                </a:fgClr>
                <a:bgClr>
                  <a:schemeClr val="bg1"/>
                </a:bgClr>
              </a:pattFill>
            </c:spPr>
          </c:dPt>
          <c:dPt>
            <c:idx val="8"/>
            <c:bubble3D val="0"/>
            <c:spPr>
              <a:pattFill prst="dkDnDiag">
                <a:fgClr>
                  <a:schemeClr val="tx2">
                    <a:lumMod val="60000"/>
                    <a:lumOff val="40000"/>
                  </a:schemeClr>
                </a:fgClr>
                <a:bgClr>
                  <a:schemeClr val="bg1"/>
                </a:bgClr>
              </a:pattFill>
            </c:spPr>
          </c:dPt>
          <c:dPt>
            <c:idx val="9"/>
            <c:bubble3D val="0"/>
            <c:spPr>
              <a:solidFill>
                <a:schemeClr val="accent3">
                  <a:lumMod val="40000"/>
                  <a:lumOff val="60000"/>
                </a:schemeClr>
              </a:solidFill>
            </c:spPr>
          </c:dPt>
          <c:dPt>
            <c:idx val="10"/>
            <c:bubble3D val="0"/>
            <c:spPr>
              <a:solidFill>
                <a:srgbClr val="92D050"/>
              </a:solidFill>
            </c:spPr>
          </c:dPt>
          <c:dPt>
            <c:idx val="11"/>
            <c:bubble3D val="0"/>
            <c:spPr>
              <a:solidFill>
                <a:schemeClr val="accent3">
                  <a:lumMod val="75000"/>
                </a:schemeClr>
              </a:solidFill>
            </c:spPr>
          </c:dPt>
          <c:cat>
            <c:strRef>
              <c:f>'Neobsazenost podle vzdělání'!$AJ$41:$AJ$52</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vzdělání'!$AK$41:$AK$52</c:f>
              <c:numCache>
                <c:formatCode>0.00%</c:formatCode>
                <c:ptCount val="12"/>
                <c:pt idx="0">
                  <c:v>3.4844876538836722E-2</c:v>
                </c:pt>
                <c:pt idx="1">
                  <c:v>0.47823148899994006</c:v>
                </c:pt>
                <c:pt idx="2">
                  <c:v>9.5858833018163583E-3</c:v>
                </c:pt>
                <c:pt idx="3">
                  <c:v>5.530820331445948E-2</c:v>
                </c:pt>
                <c:pt idx="4">
                  <c:v>0.24830653028081898</c:v>
                </c:pt>
                <c:pt idx="5">
                  <c:v>8.6975950822620295E-3</c:v>
                </c:pt>
                <c:pt idx="6">
                  <c:v>2.6833933699911171E-2</c:v>
                </c:pt>
                <c:pt idx="7">
                  <c:v>2.3940184960136023E-2</c:v>
                </c:pt>
                <c:pt idx="8">
                  <c:v>5.5706025645916327E-2</c:v>
                </c:pt>
                <c:pt idx="9">
                  <c:v>8.8447348486912734E-3</c:v>
                </c:pt>
                <c:pt idx="10">
                  <c:v>1.4991907312846392E-2</c:v>
                </c:pt>
                <c:pt idx="11">
                  <c:v>3.4708636014365198E-2</c:v>
                </c:pt>
              </c:numCache>
            </c:numRef>
          </c:val>
        </c:ser>
        <c:dLbls>
          <c:showLegendKey val="0"/>
          <c:showVal val="0"/>
          <c:showCatName val="0"/>
          <c:showSerName val="0"/>
          <c:showPercent val="0"/>
          <c:showBubbleSize val="0"/>
          <c:showLeaderLines val="1"/>
        </c:dLbls>
        <c:firstSliceAng val="0"/>
        <c:holeSize val="50"/>
      </c:doughnutChart>
    </c:plotArea>
    <c:legend>
      <c:legendPos val="l"/>
      <c:layout>
        <c:manualLayout>
          <c:xMode val="edge"/>
          <c:yMode val="edge"/>
          <c:x val="2.1052631578947368E-2"/>
          <c:y val="1.7510936132983383E-2"/>
          <c:w val="0.31629396325459319"/>
          <c:h val="0.94021300222087623"/>
        </c:manualLayout>
      </c:layout>
      <c:overlay val="0"/>
      <c:txPr>
        <a:bodyPr/>
        <a:lstStyle/>
        <a:p>
          <a:pPr>
            <a:defRPr sz="800"/>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k 31. 12. 2016</a:t>
            </a:r>
          </a:p>
        </c:rich>
      </c:tx>
      <c:overlay val="0"/>
    </c:title>
    <c:autoTitleDeleted val="0"/>
    <c:plotArea>
      <c:layout/>
      <c:doughnutChart>
        <c:varyColors val="1"/>
        <c:ser>
          <c:idx val="0"/>
          <c:order val="0"/>
          <c:dPt>
            <c:idx val="0"/>
            <c:bubble3D val="0"/>
            <c:spPr>
              <a:solidFill>
                <a:schemeClr val="accent2">
                  <a:lumMod val="40000"/>
                  <a:lumOff val="60000"/>
                </a:schemeClr>
              </a:solidFill>
            </c:spPr>
          </c:dPt>
          <c:dPt>
            <c:idx val="1"/>
            <c:bubble3D val="0"/>
            <c:spPr>
              <a:solidFill>
                <a:srgbClr val="FF7C80"/>
              </a:solidFill>
            </c:spPr>
          </c:dPt>
          <c:dPt>
            <c:idx val="2"/>
            <c:bubble3D val="0"/>
            <c:spPr>
              <a:solidFill>
                <a:schemeClr val="accent4">
                  <a:lumMod val="40000"/>
                  <a:lumOff val="60000"/>
                </a:schemeClr>
              </a:solidFill>
            </c:spPr>
          </c:dPt>
          <c:dPt>
            <c:idx val="3"/>
            <c:bubble3D val="0"/>
            <c:spPr>
              <a:solidFill>
                <a:schemeClr val="accent4">
                  <a:lumMod val="75000"/>
                </a:schemeClr>
              </a:solidFill>
            </c:spPr>
          </c:dPt>
          <c:dPt>
            <c:idx val="4"/>
            <c:bubble3D val="0"/>
            <c:spPr>
              <a:solidFill>
                <a:schemeClr val="tx2">
                  <a:lumMod val="40000"/>
                  <a:lumOff val="60000"/>
                </a:schemeClr>
              </a:solidFill>
            </c:spPr>
          </c:dPt>
          <c:dPt>
            <c:idx val="5"/>
            <c:bubble3D val="0"/>
            <c:spPr>
              <a:solidFill>
                <a:schemeClr val="tx2">
                  <a:lumMod val="60000"/>
                  <a:lumOff val="40000"/>
                </a:schemeClr>
              </a:solidFill>
            </c:spPr>
          </c:dPt>
          <c:dPt>
            <c:idx val="6"/>
            <c:bubble3D val="0"/>
            <c:spPr>
              <a:solidFill>
                <a:srgbClr val="00B0F0"/>
              </a:solidFill>
            </c:spPr>
          </c:dPt>
          <c:dPt>
            <c:idx val="7"/>
            <c:bubble3D val="0"/>
            <c:spPr>
              <a:pattFill prst="pct50">
                <a:fgClr>
                  <a:schemeClr val="accent5">
                    <a:lumMod val="60000"/>
                    <a:lumOff val="40000"/>
                  </a:schemeClr>
                </a:fgClr>
                <a:bgClr>
                  <a:schemeClr val="bg1"/>
                </a:bgClr>
              </a:pattFill>
            </c:spPr>
          </c:dPt>
          <c:dPt>
            <c:idx val="8"/>
            <c:bubble3D val="0"/>
            <c:spPr>
              <a:pattFill prst="dkDnDiag">
                <a:fgClr>
                  <a:schemeClr val="tx2">
                    <a:lumMod val="60000"/>
                    <a:lumOff val="40000"/>
                  </a:schemeClr>
                </a:fgClr>
                <a:bgClr>
                  <a:schemeClr val="bg1"/>
                </a:bgClr>
              </a:pattFill>
            </c:spPr>
          </c:dPt>
          <c:dPt>
            <c:idx val="9"/>
            <c:bubble3D val="0"/>
            <c:spPr>
              <a:solidFill>
                <a:schemeClr val="accent3">
                  <a:lumMod val="40000"/>
                  <a:lumOff val="60000"/>
                </a:schemeClr>
              </a:solidFill>
            </c:spPr>
          </c:dPt>
          <c:dPt>
            <c:idx val="10"/>
            <c:bubble3D val="0"/>
            <c:spPr>
              <a:solidFill>
                <a:srgbClr val="92D050"/>
              </a:solidFill>
            </c:spPr>
          </c:dPt>
          <c:dPt>
            <c:idx val="11"/>
            <c:bubble3D val="0"/>
            <c:spPr>
              <a:solidFill>
                <a:schemeClr val="accent3">
                  <a:lumMod val="75000"/>
                </a:schemeClr>
              </a:solidFill>
            </c:spPr>
          </c:dPt>
          <c:cat>
            <c:strRef>
              <c:f>'Neobsazenost podle vzdělání'!$S$41:$S$52</c:f>
              <c:strCache>
                <c:ptCount val="12"/>
                <c:pt idx="0">
                  <c:v>bez a neúplné ZŠ</c:v>
                </c:pt>
                <c:pt idx="1">
                  <c:v>ZŠ</c:v>
                </c:pt>
                <c:pt idx="2">
                  <c:v>nižší střední</c:v>
                </c:pt>
                <c:pt idx="3">
                  <c:v>nižší střední odborné</c:v>
                </c:pt>
                <c:pt idx="4">
                  <c:v>Střední odb. (vyučen)</c:v>
                </c:pt>
                <c:pt idx="5">
                  <c:v>Střední odb. bez mat. a vyuč.</c:v>
                </c:pt>
                <c:pt idx="6">
                  <c:v> ÚSV</c:v>
                </c:pt>
                <c:pt idx="7">
                  <c:v>ÚSO (vyuč.+ mat.)</c:v>
                </c:pt>
                <c:pt idx="8">
                  <c:v>ÚSO s maturitou (bez vyučení)</c:v>
                </c:pt>
                <c:pt idx="9">
                  <c:v>VOŠ</c:v>
                </c:pt>
                <c:pt idx="10">
                  <c:v>bakalář.</c:v>
                </c:pt>
                <c:pt idx="11">
                  <c:v>VŠ (vč. doktor.)</c:v>
                </c:pt>
              </c:strCache>
            </c:strRef>
          </c:cat>
          <c:val>
            <c:numRef>
              <c:f>'Neobsazenost podle vzdělání'!$T$41:$T$52</c:f>
              <c:numCache>
                <c:formatCode>0.00%</c:formatCode>
                <c:ptCount val="12"/>
                <c:pt idx="0">
                  <c:v>3.2491792143099739E-2</c:v>
                </c:pt>
                <c:pt idx="1">
                  <c:v>0.43403147288576926</c:v>
                </c:pt>
                <c:pt idx="2">
                  <c:v>1.1864598664100532E-2</c:v>
                </c:pt>
                <c:pt idx="3">
                  <c:v>5.2952941620438509E-2</c:v>
                </c:pt>
                <c:pt idx="4">
                  <c:v>0.28472772557455001</c:v>
                </c:pt>
                <c:pt idx="5">
                  <c:v>6.7625193403524665E-3</c:v>
                </c:pt>
                <c:pt idx="6">
                  <c:v>2.5759462621230991E-2</c:v>
                </c:pt>
                <c:pt idx="7">
                  <c:v>2.741235518321446E-2</c:v>
                </c:pt>
                <c:pt idx="8">
                  <c:v>6.4432620098871657E-2</c:v>
                </c:pt>
                <c:pt idx="9">
                  <c:v>9.4569606400241521E-3</c:v>
                </c:pt>
                <c:pt idx="10">
                  <c:v>1.6219479980376619E-2</c:v>
                </c:pt>
                <c:pt idx="11">
                  <c:v>3.3888071247971621E-2</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5324380464715E-2"/>
          <c:y val="0.14351851851851852"/>
          <c:w val="0.88543242677487399"/>
          <c:h val="0.4127606445027705"/>
        </c:manualLayout>
      </c:layout>
      <c:barChart>
        <c:barDir val="bar"/>
        <c:grouping val="percentStacked"/>
        <c:varyColors val="0"/>
        <c:ser>
          <c:idx val="0"/>
          <c:order val="0"/>
          <c:tx>
            <c:strRef>
              <c:f>'Neobsazenost podle vzdělání'!$AJ$25</c:f>
              <c:strCache>
                <c:ptCount val="1"/>
                <c:pt idx="0">
                  <c:v>bez a neúplné ZŠ</c:v>
                </c:pt>
              </c:strCache>
            </c:strRef>
          </c:tx>
          <c:spPr>
            <a:solidFill>
              <a:schemeClr val="accent2">
                <a:lumMod val="20000"/>
                <a:lumOff val="8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vzdělání'!$AL$25,'Neobsazenost podle vzdělání'!$AO$25)</c:f>
              <c:numCache>
                <c:formatCode>#,##0</c:formatCode>
                <c:ptCount val="2"/>
                <c:pt idx="0">
                  <c:v>4218</c:v>
                </c:pt>
                <c:pt idx="1">
                  <c:v>1485</c:v>
                </c:pt>
              </c:numCache>
            </c:numRef>
          </c:val>
        </c:ser>
        <c:ser>
          <c:idx val="1"/>
          <c:order val="1"/>
          <c:tx>
            <c:strRef>
              <c:f>'Neobsazenost podle vzdělání'!$AJ$26</c:f>
              <c:strCache>
                <c:ptCount val="1"/>
                <c:pt idx="0">
                  <c:v>ZŠ</c:v>
                </c:pt>
              </c:strCache>
            </c:strRef>
          </c:tx>
          <c:spPr>
            <a:solidFill>
              <a:schemeClr val="accent2">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vzdělání'!$AL$26,'Neobsazenost podle vzdělání'!$AO$26)</c:f>
              <c:numCache>
                <c:formatCode>#,##0</c:formatCode>
                <c:ptCount val="2"/>
                <c:pt idx="0">
                  <c:v>44457</c:v>
                </c:pt>
                <c:pt idx="1">
                  <c:v>15965</c:v>
                </c:pt>
              </c:numCache>
            </c:numRef>
          </c:val>
        </c:ser>
        <c:ser>
          <c:idx val="2"/>
          <c:order val="2"/>
          <c:tx>
            <c:strRef>
              <c:f>'Neobsazenost podle vzdělání'!$AJ$27</c:f>
              <c:strCache>
                <c:ptCount val="1"/>
                <c:pt idx="0">
                  <c:v>nižší střední</c:v>
                </c:pt>
              </c:strCache>
            </c:strRef>
          </c:tx>
          <c:spPr>
            <a:solidFill>
              <a:schemeClr val="accent4">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vzdělání'!$AL$27,'Neobsazenost podle vzdělání'!$AO$27)</c:f>
              <c:numCache>
                <c:formatCode>#,##0</c:formatCode>
                <c:ptCount val="2"/>
                <c:pt idx="0">
                  <c:v>807</c:v>
                </c:pt>
                <c:pt idx="1">
                  <c:v>389</c:v>
                </c:pt>
              </c:numCache>
            </c:numRef>
          </c:val>
        </c:ser>
        <c:ser>
          <c:idx val="3"/>
          <c:order val="3"/>
          <c:tx>
            <c:strRef>
              <c:f>'Neobsazenost podle vzdělání'!$AJ$28</c:f>
              <c:strCache>
                <c:ptCount val="1"/>
                <c:pt idx="0">
                  <c:v>nižší střední odborné</c:v>
                </c:pt>
              </c:strCache>
            </c:strRef>
          </c:tx>
          <c:spPr>
            <a:solidFill>
              <a:srgbClr val="CC99FF"/>
            </a:solidFill>
          </c:spPr>
          <c:invertIfNegative val="0"/>
          <c:cat>
            <c:strRef>
              <c:f>('Neobsazenost podle vzdělání'!$U$24,'Neobsazenost podle vzdělání'!$X$24)</c:f>
              <c:strCache>
                <c:ptCount val="2"/>
                <c:pt idx="0">
                  <c:v>0-3M</c:v>
                </c:pt>
                <c:pt idx="1">
                  <c:v>nad 12M</c:v>
                </c:pt>
              </c:strCache>
            </c:strRef>
          </c:cat>
          <c:val>
            <c:numRef>
              <c:f>('Neobsazenost podle vzdělání'!$AL$28,'Neobsazenost podle vzdělání'!$AO$28)</c:f>
              <c:numCache>
                <c:formatCode>#,##0</c:formatCode>
                <c:ptCount val="2"/>
                <c:pt idx="0">
                  <c:v>5012</c:v>
                </c:pt>
                <c:pt idx="1">
                  <c:v>1842</c:v>
                </c:pt>
              </c:numCache>
            </c:numRef>
          </c:val>
        </c:ser>
        <c:ser>
          <c:idx val="4"/>
          <c:order val="4"/>
          <c:tx>
            <c:strRef>
              <c:f>'Neobsazenost podle vzdělání'!$AJ$29</c:f>
              <c:strCache>
                <c:ptCount val="1"/>
                <c:pt idx="0">
                  <c:v>Střední odb. (vyučen)</c:v>
                </c:pt>
              </c:strCache>
            </c:strRef>
          </c:tx>
          <c:spPr>
            <a:solidFill>
              <a:schemeClr val="accent1">
                <a:lumMod val="40000"/>
                <a:lumOff val="6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vzdělání'!$AL$29,'Neobsazenost podle vzdělání'!$AO$29)</c:f>
              <c:numCache>
                <c:formatCode>#,##0</c:formatCode>
                <c:ptCount val="2"/>
                <c:pt idx="0">
                  <c:v>19431</c:v>
                </c:pt>
                <c:pt idx="1">
                  <c:v>9531</c:v>
                </c:pt>
              </c:numCache>
            </c:numRef>
          </c:val>
        </c:ser>
        <c:ser>
          <c:idx val="5"/>
          <c:order val="5"/>
          <c:tx>
            <c:strRef>
              <c:f>'Neobsazenost podle vzdělání'!$AJ$30</c:f>
              <c:strCache>
                <c:ptCount val="1"/>
                <c:pt idx="0">
                  <c:v>Střední odb. bez mat. a vyuč.</c:v>
                </c:pt>
              </c:strCache>
            </c:strRef>
          </c:tx>
          <c:spPr>
            <a:solidFill>
              <a:schemeClr val="accent1">
                <a:lumMod val="75000"/>
              </a:schemeClr>
            </a:solidFill>
          </c:spPr>
          <c:invertIfNegative val="0"/>
          <c:cat>
            <c:strRef>
              <c:f>('Neobsazenost podle vzdělání'!$U$24,'Neobsazenost podle vzdělání'!$X$24)</c:f>
              <c:strCache>
                <c:ptCount val="2"/>
                <c:pt idx="0">
                  <c:v>0-3M</c:v>
                </c:pt>
                <c:pt idx="1">
                  <c:v>nad 12M</c:v>
                </c:pt>
              </c:strCache>
            </c:strRef>
          </c:cat>
          <c:val>
            <c:numRef>
              <c:f>('Neobsazenost podle vzdělání'!$AL$30,'Neobsazenost podle vzdělání'!$AO$30)</c:f>
              <c:numCache>
                <c:formatCode>#,##0</c:formatCode>
                <c:ptCount val="2"/>
                <c:pt idx="0">
                  <c:v>962</c:v>
                </c:pt>
                <c:pt idx="1">
                  <c:v>280</c:v>
                </c:pt>
              </c:numCache>
            </c:numRef>
          </c:val>
        </c:ser>
        <c:ser>
          <c:idx val="6"/>
          <c:order val="6"/>
          <c:tx>
            <c:strRef>
              <c:f>'Neobsazenost podle vzdělání'!$AJ$31</c:f>
              <c:strCache>
                <c:ptCount val="1"/>
                <c:pt idx="0">
                  <c:v> ÚSV</c:v>
                </c:pt>
              </c:strCache>
            </c:strRef>
          </c:tx>
          <c:spPr>
            <a:solidFill>
              <a:srgbClr val="99CCFF"/>
            </a:solidFill>
          </c:spPr>
          <c:invertIfNegative val="0"/>
          <c:cat>
            <c:strRef>
              <c:f>('Neobsazenost podle vzdělání'!$U$24,'Neobsazenost podle vzdělání'!$X$24)</c:f>
              <c:strCache>
                <c:ptCount val="2"/>
                <c:pt idx="0">
                  <c:v>0-3M</c:v>
                </c:pt>
                <c:pt idx="1">
                  <c:v>nad 12M</c:v>
                </c:pt>
              </c:strCache>
            </c:strRef>
          </c:cat>
          <c:val>
            <c:numRef>
              <c:f>('Neobsazenost podle vzdělání'!$AL$31,'Neobsazenost podle vzdělání'!$AO$31)</c:f>
              <c:numCache>
                <c:formatCode>#,##0</c:formatCode>
                <c:ptCount val="2"/>
                <c:pt idx="0">
                  <c:v>2619</c:v>
                </c:pt>
                <c:pt idx="1">
                  <c:v>991</c:v>
                </c:pt>
              </c:numCache>
            </c:numRef>
          </c:val>
        </c:ser>
        <c:ser>
          <c:idx val="7"/>
          <c:order val="7"/>
          <c:tx>
            <c:strRef>
              <c:f>'Neobsazenost podle vzdělání'!$AJ$32</c:f>
              <c:strCache>
                <c:ptCount val="1"/>
                <c:pt idx="0">
                  <c:v>ÚSO (vyuč.+ mat.)</c:v>
                </c:pt>
              </c:strCache>
            </c:strRef>
          </c:tx>
          <c:spPr>
            <a:solidFill>
              <a:srgbClr val="00B0F0"/>
            </a:solidFill>
          </c:spPr>
          <c:invertIfNegative val="0"/>
          <c:cat>
            <c:strRef>
              <c:f>('Neobsazenost podle vzdělání'!$U$24,'Neobsazenost podle vzdělání'!$X$24)</c:f>
              <c:strCache>
                <c:ptCount val="2"/>
                <c:pt idx="0">
                  <c:v>0-3M</c:v>
                </c:pt>
                <c:pt idx="1">
                  <c:v>nad 12M</c:v>
                </c:pt>
              </c:strCache>
            </c:strRef>
          </c:cat>
          <c:val>
            <c:numRef>
              <c:f>('Neobsazenost podle vzdělání'!$AL$32,'Neobsazenost podle vzdělání'!$AO$32)</c:f>
              <c:numCache>
                <c:formatCode>#,##0</c:formatCode>
                <c:ptCount val="2"/>
                <c:pt idx="0">
                  <c:v>2024</c:v>
                </c:pt>
                <c:pt idx="1">
                  <c:v>770</c:v>
                </c:pt>
              </c:numCache>
            </c:numRef>
          </c:val>
        </c:ser>
        <c:ser>
          <c:idx val="8"/>
          <c:order val="8"/>
          <c:tx>
            <c:strRef>
              <c:f>'Neobsazenost podle vzdělání'!$AJ$33</c:f>
              <c:strCache>
                <c:ptCount val="1"/>
                <c:pt idx="0">
                  <c:v>ÚSO s maturitou (bez vyučení)</c:v>
                </c:pt>
              </c:strCache>
            </c:strRef>
          </c:tx>
          <c:spPr>
            <a:solidFill>
              <a:schemeClr val="tx2"/>
            </a:solidFill>
          </c:spPr>
          <c:invertIfNegative val="0"/>
          <c:cat>
            <c:strRef>
              <c:f>('Neobsazenost podle vzdělání'!$U$24,'Neobsazenost podle vzdělání'!$X$24)</c:f>
              <c:strCache>
                <c:ptCount val="2"/>
                <c:pt idx="0">
                  <c:v>0-3M</c:v>
                </c:pt>
                <c:pt idx="1">
                  <c:v>nad 12M</c:v>
                </c:pt>
              </c:strCache>
            </c:strRef>
          </c:cat>
          <c:val>
            <c:numRef>
              <c:f>('Neobsazenost podle vzdělání'!$AL$33,'Neobsazenost podle vzdělání'!$AO$33)</c:f>
              <c:numCache>
                <c:formatCode>#,##0</c:formatCode>
                <c:ptCount val="2"/>
                <c:pt idx="0">
                  <c:v>4815</c:v>
                </c:pt>
                <c:pt idx="1">
                  <c:v>2095</c:v>
                </c:pt>
              </c:numCache>
            </c:numRef>
          </c:val>
        </c:ser>
        <c:ser>
          <c:idx val="9"/>
          <c:order val="9"/>
          <c:tx>
            <c:strRef>
              <c:f>'Neobsazenost podle vzdělání'!$AJ$34</c:f>
              <c:strCache>
                <c:ptCount val="1"/>
                <c:pt idx="0">
                  <c:v>VOŠ</c:v>
                </c:pt>
              </c:strCache>
            </c:strRef>
          </c:tx>
          <c:spPr>
            <a:solidFill>
              <a:schemeClr val="accent5">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vzdělání'!$AL$34,'Neobsazenost podle vzdělání'!$AO$34)</c:f>
              <c:numCache>
                <c:formatCode>#,##0</c:formatCode>
                <c:ptCount val="2"/>
                <c:pt idx="0">
                  <c:v>619</c:v>
                </c:pt>
                <c:pt idx="1">
                  <c:v>452</c:v>
                </c:pt>
              </c:numCache>
            </c:numRef>
          </c:val>
        </c:ser>
        <c:ser>
          <c:idx val="10"/>
          <c:order val="10"/>
          <c:tx>
            <c:strRef>
              <c:f>'Neobsazenost podle vzdělání'!$AJ$35</c:f>
              <c:strCache>
                <c:ptCount val="1"/>
                <c:pt idx="0">
                  <c:v>bakalář.</c:v>
                </c:pt>
              </c:strCache>
            </c:strRef>
          </c:tx>
          <c:spPr>
            <a:solidFill>
              <a:schemeClr val="accent3">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vzdělání'!$AL$35,'Neobsazenost podle vzdělání'!$AO$35)</c:f>
              <c:numCache>
                <c:formatCode>#,##0</c:formatCode>
                <c:ptCount val="2"/>
                <c:pt idx="0">
                  <c:v>1002</c:v>
                </c:pt>
                <c:pt idx="1">
                  <c:v>954</c:v>
                </c:pt>
              </c:numCache>
            </c:numRef>
          </c:val>
        </c:ser>
        <c:ser>
          <c:idx val="11"/>
          <c:order val="11"/>
          <c:tx>
            <c:strRef>
              <c:f>'Neobsazenost podle vzdělání'!$AJ$36</c:f>
              <c:strCache>
                <c:ptCount val="1"/>
                <c:pt idx="0">
                  <c:v>VŠ (vč. doktor.)</c:v>
                </c:pt>
              </c:strCache>
            </c:strRef>
          </c:tx>
          <c:spPr>
            <a:solidFill>
              <a:schemeClr val="accent3">
                <a:lumMod val="50000"/>
              </a:schemeClr>
            </a:solidFill>
          </c:spPr>
          <c:invertIfNegative val="0"/>
          <c:cat>
            <c:strRef>
              <c:f>('Neobsazenost podle vzdělání'!$U$24,'Neobsazenost podle vzdělání'!$X$24)</c:f>
              <c:strCache>
                <c:ptCount val="2"/>
                <c:pt idx="0">
                  <c:v>0-3M</c:v>
                </c:pt>
                <c:pt idx="1">
                  <c:v>nad 12M</c:v>
                </c:pt>
              </c:strCache>
            </c:strRef>
          </c:cat>
          <c:val>
            <c:numRef>
              <c:f>('Neobsazenost podle vzdělání'!$AL$36,'Neobsazenost podle vzdělání'!$AO$36)</c:f>
              <c:numCache>
                <c:formatCode>#,##0</c:formatCode>
                <c:ptCount val="2"/>
                <c:pt idx="0">
                  <c:v>2513</c:v>
                </c:pt>
                <c:pt idx="1">
                  <c:v>1708</c:v>
                </c:pt>
              </c:numCache>
            </c:numRef>
          </c:val>
        </c:ser>
        <c:dLbls>
          <c:showLegendKey val="0"/>
          <c:showVal val="0"/>
          <c:showCatName val="0"/>
          <c:showSerName val="0"/>
          <c:showPercent val="0"/>
          <c:showBubbleSize val="0"/>
        </c:dLbls>
        <c:gapWidth val="150"/>
        <c:overlap val="100"/>
        <c:axId val="135937408"/>
        <c:axId val="159057024"/>
      </c:barChart>
      <c:catAx>
        <c:axId val="135937408"/>
        <c:scaling>
          <c:orientation val="minMax"/>
        </c:scaling>
        <c:delete val="0"/>
        <c:axPos val="l"/>
        <c:majorTickMark val="out"/>
        <c:minorTickMark val="none"/>
        <c:tickLblPos val="nextTo"/>
        <c:txPr>
          <a:bodyPr/>
          <a:lstStyle/>
          <a:p>
            <a:pPr>
              <a:defRPr sz="800"/>
            </a:pPr>
            <a:endParaRPr lang="cs-CZ"/>
          </a:p>
        </c:txPr>
        <c:crossAx val="159057024"/>
        <c:crosses val="autoZero"/>
        <c:auto val="1"/>
        <c:lblAlgn val="ctr"/>
        <c:lblOffset val="100"/>
        <c:noMultiLvlLbl val="0"/>
      </c:catAx>
      <c:valAx>
        <c:axId val="159057024"/>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135937408"/>
        <c:crosses val="autoZero"/>
        <c:crossBetween val="between"/>
        <c:minorUnit val="1.0000000000000002E-2"/>
      </c:valAx>
    </c:plotArea>
    <c:legend>
      <c:legendPos val="b"/>
      <c:layout>
        <c:manualLayout>
          <c:xMode val="edge"/>
          <c:yMode val="edge"/>
          <c:x val="6.1803455549651387E-2"/>
          <c:y val="0.70137977544473606"/>
          <c:w val="0.87639308890069723"/>
          <c:h val="0.23843503937007873"/>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785324380464715E-2"/>
          <c:y val="0.14351851851851852"/>
          <c:w val="0.88543242677487399"/>
          <c:h val="0.4127606445027705"/>
        </c:manualLayout>
      </c:layout>
      <c:barChart>
        <c:barDir val="bar"/>
        <c:grouping val="percentStacked"/>
        <c:varyColors val="0"/>
        <c:ser>
          <c:idx val="0"/>
          <c:order val="0"/>
          <c:tx>
            <c:strRef>
              <c:f>'Neobsazenost podle vzdělání'!$S$25</c:f>
              <c:strCache>
                <c:ptCount val="1"/>
                <c:pt idx="0">
                  <c:v>bez a neúplné ZŠ</c:v>
                </c:pt>
              </c:strCache>
            </c:strRef>
          </c:tx>
          <c:spPr>
            <a:solidFill>
              <a:schemeClr val="accent2">
                <a:lumMod val="20000"/>
                <a:lumOff val="8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vzdělání'!$U$25,'Neobsazenost podle vzdělání'!$X$25)</c:f>
              <c:numCache>
                <c:formatCode>#,##0</c:formatCode>
                <c:ptCount val="2"/>
                <c:pt idx="0">
                  <c:v>2105</c:v>
                </c:pt>
                <c:pt idx="1">
                  <c:v>1242</c:v>
                </c:pt>
              </c:numCache>
            </c:numRef>
          </c:val>
        </c:ser>
        <c:ser>
          <c:idx val="1"/>
          <c:order val="1"/>
          <c:tx>
            <c:strRef>
              <c:f>'Neobsazenost podle vzdělání'!$S$26</c:f>
              <c:strCache>
                <c:ptCount val="1"/>
                <c:pt idx="0">
                  <c:v>ZŠ</c:v>
                </c:pt>
              </c:strCache>
            </c:strRef>
          </c:tx>
          <c:spPr>
            <a:solidFill>
              <a:schemeClr val="accent2">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vzdělání'!$U$26,'Neobsazenost podle vzdělání'!$X$26)</c:f>
              <c:numCache>
                <c:formatCode>#,##0</c:formatCode>
                <c:ptCount val="2"/>
                <c:pt idx="0">
                  <c:v>23762</c:v>
                </c:pt>
                <c:pt idx="1">
                  <c:v>11132</c:v>
                </c:pt>
              </c:numCache>
            </c:numRef>
          </c:val>
        </c:ser>
        <c:ser>
          <c:idx val="2"/>
          <c:order val="2"/>
          <c:tx>
            <c:strRef>
              <c:f>'Neobsazenost podle vzdělání'!$S$27</c:f>
              <c:strCache>
                <c:ptCount val="1"/>
                <c:pt idx="0">
                  <c:v>nižší střední</c:v>
                </c:pt>
              </c:strCache>
            </c:strRef>
          </c:tx>
          <c:spPr>
            <a:solidFill>
              <a:schemeClr val="accent4">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vzdělání'!$U$27,'Neobsazenost podle vzdělání'!$X$27)</c:f>
              <c:numCache>
                <c:formatCode>#,##0</c:formatCode>
                <c:ptCount val="2"/>
                <c:pt idx="0">
                  <c:v>523</c:v>
                </c:pt>
                <c:pt idx="1">
                  <c:v>313</c:v>
                </c:pt>
              </c:numCache>
            </c:numRef>
          </c:val>
        </c:ser>
        <c:ser>
          <c:idx val="3"/>
          <c:order val="3"/>
          <c:tx>
            <c:strRef>
              <c:f>'Neobsazenost podle vzdělání'!$S$28</c:f>
              <c:strCache>
                <c:ptCount val="1"/>
                <c:pt idx="0">
                  <c:v>nižší střední odborné</c:v>
                </c:pt>
              </c:strCache>
            </c:strRef>
          </c:tx>
          <c:spPr>
            <a:solidFill>
              <a:srgbClr val="CC99FF"/>
            </a:solidFill>
          </c:spPr>
          <c:invertIfNegative val="0"/>
          <c:cat>
            <c:strRef>
              <c:f>('Neobsazenost podle vzdělání'!$U$24,'Neobsazenost podle vzdělání'!$X$24)</c:f>
              <c:strCache>
                <c:ptCount val="2"/>
                <c:pt idx="0">
                  <c:v>0-3M</c:v>
                </c:pt>
                <c:pt idx="1">
                  <c:v>nad 12M</c:v>
                </c:pt>
              </c:strCache>
            </c:strRef>
          </c:cat>
          <c:val>
            <c:numRef>
              <c:f>('Neobsazenost podle vzdělání'!$U$28,'Neobsazenost podle vzdělání'!$X$28)</c:f>
              <c:numCache>
                <c:formatCode>#,##0</c:formatCode>
                <c:ptCount val="2"/>
                <c:pt idx="0">
                  <c:v>3052</c:v>
                </c:pt>
                <c:pt idx="1">
                  <c:v>1141</c:v>
                </c:pt>
              </c:numCache>
            </c:numRef>
          </c:val>
        </c:ser>
        <c:ser>
          <c:idx val="4"/>
          <c:order val="4"/>
          <c:tx>
            <c:strRef>
              <c:f>'Neobsazenost podle vzdělání'!$S$29</c:f>
              <c:strCache>
                <c:ptCount val="1"/>
                <c:pt idx="0">
                  <c:v>Střední odb. (vyučen)</c:v>
                </c:pt>
              </c:strCache>
            </c:strRef>
          </c:tx>
          <c:spPr>
            <a:solidFill>
              <a:schemeClr val="accent1">
                <a:lumMod val="40000"/>
                <a:lumOff val="60000"/>
              </a:schemeClr>
            </a:solidFill>
          </c:spPr>
          <c:invertIfNegative val="0"/>
          <c:cat>
            <c:strRef>
              <c:f>('Neobsazenost podle vzdělání'!$U$24,'Neobsazenost podle vzdělání'!$X$24)</c:f>
              <c:strCache>
                <c:ptCount val="2"/>
                <c:pt idx="0">
                  <c:v>0-3M</c:v>
                </c:pt>
                <c:pt idx="1">
                  <c:v>nad 12M</c:v>
                </c:pt>
              </c:strCache>
            </c:strRef>
          </c:cat>
          <c:val>
            <c:numRef>
              <c:f>('Neobsazenost podle vzdělání'!$U$29,'Neobsazenost podle vzdělání'!$X$29)</c:f>
              <c:numCache>
                <c:formatCode>#,##0</c:formatCode>
                <c:ptCount val="2"/>
                <c:pt idx="0">
                  <c:v>14905</c:v>
                </c:pt>
                <c:pt idx="1">
                  <c:v>7275</c:v>
                </c:pt>
              </c:numCache>
            </c:numRef>
          </c:val>
        </c:ser>
        <c:ser>
          <c:idx val="5"/>
          <c:order val="5"/>
          <c:tx>
            <c:strRef>
              <c:f>'Neobsazenost podle vzdělání'!$S$30</c:f>
              <c:strCache>
                <c:ptCount val="1"/>
                <c:pt idx="0">
                  <c:v>Střední odb. bez mat. a vyuč.</c:v>
                </c:pt>
              </c:strCache>
            </c:strRef>
          </c:tx>
          <c:spPr>
            <a:solidFill>
              <a:schemeClr val="accent1">
                <a:lumMod val="75000"/>
              </a:schemeClr>
            </a:solidFill>
          </c:spPr>
          <c:invertIfNegative val="0"/>
          <c:cat>
            <c:strRef>
              <c:f>('Neobsazenost podle vzdělání'!$U$24,'Neobsazenost podle vzdělání'!$X$24)</c:f>
              <c:strCache>
                <c:ptCount val="2"/>
                <c:pt idx="0">
                  <c:v>0-3M</c:v>
                </c:pt>
                <c:pt idx="1">
                  <c:v>nad 12M</c:v>
                </c:pt>
              </c:strCache>
            </c:strRef>
          </c:cat>
          <c:val>
            <c:numRef>
              <c:f>('Neobsazenost podle vzdělání'!$U$30,'Neobsazenost podle vzdělání'!$X$30)</c:f>
              <c:numCache>
                <c:formatCode>#,##0</c:formatCode>
                <c:ptCount val="2"/>
                <c:pt idx="0">
                  <c:v>360</c:v>
                </c:pt>
                <c:pt idx="1">
                  <c:v>154</c:v>
                </c:pt>
              </c:numCache>
            </c:numRef>
          </c:val>
        </c:ser>
        <c:ser>
          <c:idx val="6"/>
          <c:order val="6"/>
          <c:tx>
            <c:strRef>
              <c:f>'Neobsazenost podle vzdělání'!$S$31</c:f>
              <c:strCache>
                <c:ptCount val="1"/>
                <c:pt idx="0">
                  <c:v> ÚSV</c:v>
                </c:pt>
              </c:strCache>
            </c:strRef>
          </c:tx>
          <c:spPr>
            <a:solidFill>
              <a:srgbClr val="99CCFF"/>
            </a:solidFill>
          </c:spPr>
          <c:invertIfNegative val="0"/>
          <c:cat>
            <c:strRef>
              <c:f>('Neobsazenost podle vzdělání'!$U$24,'Neobsazenost podle vzdělání'!$X$24)</c:f>
              <c:strCache>
                <c:ptCount val="2"/>
                <c:pt idx="0">
                  <c:v>0-3M</c:v>
                </c:pt>
                <c:pt idx="1">
                  <c:v>nad 12M</c:v>
                </c:pt>
              </c:strCache>
            </c:strRef>
          </c:cat>
          <c:val>
            <c:numRef>
              <c:f>('Neobsazenost podle vzdělání'!$U$31,'Neobsazenost podle vzdělání'!$X$31)</c:f>
              <c:numCache>
                <c:formatCode>#,##0</c:formatCode>
                <c:ptCount val="2"/>
                <c:pt idx="0">
                  <c:v>1445</c:v>
                </c:pt>
                <c:pt idx="1">
                  <c:v>742</c:v>
                </c:pt>
              </c:numCache>
            </c:numRef>
          </c:val>
        </c:ser>
        <c:ser>
          <c:idx val="7"/>
          <c:order val="7"/>
          <c:tx>
            <c:strRef>
              <c:f>'Neobsazenost podle vzdělání'!$S$32</c:f>
              <c:strCache>
                <c:ptCount val="1"/>
                <c:pt idx="0">
                  <c:v>ÚSO (vyuč.+ mat.)</c:v>
                </c:pt>
              </c:strCache>
            </c:strRef>
          </c:tx>
          <c:spPr>
            <a:solidFill>
              <a:srgbClr val="00B0F0"/>
            </a:solidFill>
          </c:spPr>
          <c:invertIfNegative val="0"/>
          <c:cat>
            <c:strRef>
              <c:f>('Neobsazenost podle vzdělání'!$U$24,'Neobsazenost podle vzdělání'!$X$24)</c:f>
              <c:strCache>
                <c:ptCount val="2"/>
                <c:pt idx="0">
                  <c:v>0-3M</c:v>
                </c:pt>
                <c:pt idx="1">
                  <c:v>nad 12M</c:v>
                </c:pt>
              </c:strCache>
            </c:strRef>
          </c:cat>
          <c:val>
            <c:numRef>
              <c:f>('Neobsazenost podle vzdělání'!$U$32,'Neobsazenost podle vzdělání'!$X$32)</c:f>
              <c:numCache>
                <c:formatCode>#,##0</c:formatCode>
                <c:ptCount val="2"/>
                <c:pt idx="0">
                  <c:v>1624</c:v>
                </c:pt>
                <c:pt idx="1">
                  <c:v>587</c:v>
                </c:pt>
              </c:numCache>
            </c:numRef>
          </c:val>
        </c:ser>
        <c:ser>
          <c:idx val="8"/>
          <c:order val="8"/>
          <c:tx>
            <c:strRef>
              <c:f>'Neobsazenost podle vzdělání'!$S$33</c:f>
              <c:strCache>
                <c:ptCount val="1"/>
                <c:pt idx="0">
                  <c:v>ÚSO s maturitou (bez vyučení)</c:v>
                </c:pt>
              </c:strCache>
            </c:strRef>
          </c:tx>
          <c:spPr>
            <a:solidFill>
              <a:schemeClr val="tx2"/>
            </a:solidFill>
          </c:spPr>
          <c:invertIfNegative val="0"/>
          <c:cat>
            <c:strRef>
              <c:f>('Neobsazenost podle vzdělání'!$U$24,'Neobsazenost podle vzdělání'!$X$24)</c:f>
              <c:strCache>
                <c:ptCount val="2"/>
                <c:pt idx="0">
                  <c:v>0-3M</c:v>
                </c:pt>
                <c:pt idx="1">
                  <c:v>nad 12M</c:v>
                </c:pt>
              </c:strCache>
            </c:strRef>
          </c:cat>
          <c:val>
            <c:numRef>
              <c:f>('Neobsazenost podle vzdělání'!$U$33,'Neobsazenost podle vzdělání'!$X$33)</c:f>
              <c:numCache>
                <c:formatCode>#,##0</c:formatCode>
                <c:ptCount val="2"/>
                <c:pt idx="0">
                  <c:v>3657</c:v>
                </c:pt>
                <c:pt idx="1">
                  <c:v>1433</c:v>
                </c:pt>
              </c:numCache>
            </c:numRef>
          </c:val>
        </c:ser>
        <c:ser>
          <c:idx val="9"/>
          <c:order val="9"/>
          <c:tx>
            <c:strRef>
              <c:f>'Neobsazenost podle vzdělání'!$S$34</c:f>
              <c:strCache>
                <c:ptCount val="1"/>
                <c:pt idx="0">
                  <c:v>VOŠ</c:v>
                </c:pt>
              </c:strCache>
            </c:strRef>
          </c:tx>
          <c:spPr>
            <a:solidFill>
              <a:schemeClr val="accent5">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vzdělání'!$U$34,'Neobsazenost podle vzdělání'!$X$34)</c:f>
              <c:numCache>
                <c:formatCode>#,##0</c:formatCode>
                <c:ptCount val="2"/>
                <c:pt idx="0">
                  <c:v>534</c:v>
                </c:pt>
                <c:pt idx="1">
                  <c:v>241</c:v>
                </c:pt>
              </c:numCache>
            </c:numRef>
          </c:val>
        </c:ser>
        <c:ser>
          <c:idx val="10"/>
          <c:order val="10"/>
          <c:tx>
            <c:strRef>
              <c:f>'Neobsazenost podle vzdělání'!$S$35</c:f>
              <c:strCache>
                <c:ptCount val="1"/>
                <c:pt idx="0">
                  <c:v>bakalář.</c:v>
                </c:pt>
              </c:strCache>
            </c:strRef>
          </c:tx>
          <c:spPr>
            <a:solidFill>
              <a:schemeClr val="accent3">
                <a:lumMod val="60000"/>
                <a:lumOff val="40000"/>
              </a:schemeClr>
            </a:solidFill>
          </c:spPr>
          <c:invertIfNegative val="0"/>
          <c:cat>
            <c:strRef>
              <c:f>('Neobsazenost podle vzdělání'!$U$24,'Neobsazenost podle vzdělání'!$X$24)</c:f>
              <c:strCache>
                <c:ptCount val="2"/>
                <c:pt idx="0">
                  <c:v>0-3M</c:v>
                </c:pt>
                <c:pt idx="1">
                  <c:v>nad 12M</c:v>
                </c:pt>
              </c:strCache>
            </c:strRef>
          </c:cat>
          <c:val>
            <c:numRef>
              <c:f>('Neobsazenost podle vzdělání'!$U$35,'Neobsazenost podle vzdělání'!$X$35)</c:f>
              <c:numCache>
                <c:formatCode>#,##0</c:formatCode>
                <c:ptCount val="2"/>
                <c:pt idx="0">
                  <c:v>597</c:v>
                </c:pt>
                <c:pt idx="1">
                  <c:v>578</c:v>
                </c:pt>
              </c:numCache>
            </c:numRef>
          </c:val>
        </c:ser>
        <c:ser>
          <c:idx val="11"/>
          <c:order val="11"/>
          <c:tx>
            <c:strRef>
              <c:f>'Neobsazenost podle vzdělání'!$S$36</c:f>
              <c:strCache>
                <c:ptCount val="1"/>
                <c:pt idx="0">
                  <c:v>VŠ (vč. doktor.)</c:v>
                </c:pt>
              </c:strCache>
            </c:strRef>
          </c:tx>
          <c:spPr>
            <a:solidFill>
              <a:schemeClr val="accent3">
                <a:lumMod val="50000"/>
              </a:schemeClr>
            </a:solidFill>
          </c:spPr>
          <c:invertIfNegative val="0"/>
          <c:cat>
            <c:strRef>
              <c:f>('Neobsazenost podle vzdělání'!$U$24,'Neobsazenost podle vzdělání'!$X$24)</c:f>
              <c:strCache>
                <c:ptCount val="2"/>
                <c:pt idx="0">
                  <c:v>0-3M</c:v>
                </c:pt>
                <c:pt idx="1">
                  <c:v>nad 12M</c:v>
                </c:pt>
              </c:strCache>
            </c:strRef>
          </c:cat>
          <c:val>
            <c:numRef>
              <c:f>('Neobsazenost podle vzdělání'!$U$36,'Neobsazenost podle vzdělání'!$X$36)</c:f>
              <c:numCache>
                <c:formatCode>#,##0</c:formatCode>
                <c:ptCount val="2"/>
                <c:pt idx="0">
                  <c:v>1376</c:v>
                </c:pt>
                <c:pt idx="1">
                  <c:v>1203</c:v>
                </c:pt>
              </c:numCache>
            </c:numRef>
          </c:val>
        </c:ser>
        <c:dLbls>
          <c:showLegendKey val="0"/>
          <c:showVal val="0"/>
          <c:showCatName val="0"/>
          <c:showSerName val="0"/>
          <c:showPercent val="0"/>
          <c:showBubbleSize val="0"/>
        </c:dLbls>
        <c:gapWidth val="150"/>
        <c:overlap val="100"/>
        <c:axId val="159110656"/>
        <c:axId val="159112192"/>
      </c:barChart>
      <c:catAx>
        <c:axId val="159110656"/>
        <c:scaling>
          <c:orientation val="minMax"/>
        </c:scaling>
        <c:delete val="0"/>
        <c:axPos val="l"/>
        <c:majorTickMark val="out"/>
        <c:minorTickMark val="none"/>
        <c:tickLblPos val="nextTo"/>
        <c:txPr>
          <a:bodyPr/>
          <a:lstStyle/>
          <a:p>
            <a:pPr>
              <a:defRPr sz="800"/>
            </a:pPr>
            <a:endParaRPr lang="cs-CZ"/>
          </a:p>
        </c:txPr>
        <c:crossAx val="159112192"/>
        <c:crosses val="autoZero"/>
        <c:auto val="1"/>
        <c:lblAlgn val="ctr"/>
        <c:lblOffset val="100"/>
        <c:noMultiLvlLbl val="0"/>
      </c:catAx>
      <c:valAx>
        <c:axId val="159112192"/>
        <c:scaling>
          <c:orientation val="minMax"/>
        </c:scaling>
        <c:delete val="0"/>
        <c:axPos val="b"/>
        <c:majorGridlines/>
        <c:minorGridlines/>
        <c:numFmt formatCode="0%" sourceLinked="1"/>
        <c:majorTickMark val="out"/>
        <c:minorTickMark val="none"/>
        <c:tickLblPos val="nextTo"/>
        <c:txPr>
          <a:bodyPr/>
          <a:lstStyle/>
          <a:p>
            <a:pPr>
              <a:defRPr sz="800"/>
            </a:pPr>
            <a:endParaRPr lang="cs-CZ"/>
          </a:p>
        </c:txPr>
        <c:crossAx val="159110656"/>
        <c:crosses val="autoZero"/>
        <c:crossBetween val="between"/>
        <c:minorUnit val="1.0000000000000002E-2"/>
      </c:valAx>
    </c:plotArea>
    <c:legend>
      <c:legendPos val="b"/>
      <c:layout>
        <c:manualLayout>
          <c:xMode val="edge"/>
          <c:yMode val="edge"/>
          <c:x val="6.1803455549651387E-2"/>
          <c:y val="0.70137977544473606"/>
          <c:w val="0.87639308890069723"/>
          <c:h val="0.23843503937007873"/>
        </c:manualLayout>
      </c:layout>
      <c:overlay val="0"/>
      <c:txPr>
        <a:bodyPr/>
        <a:lstStyle/>
        <a:p>
          <a:pPr>
            <a:defRPr sz="800"/>
          </a:pPr>
          <a:endParaRPr lang="cs-CZ"/>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'Nabídka a poptávka'!$BJ$4:$BJ$8</c:f>
              <c:strCache>
                <c:ptCount val="1"/>
                <c:pt idx="0">
                  <c:v>% pro cizince</c:v>
                </c:pt>
              </c:strCache>
            </c:strRef>
          </c:tx>
          <c:spPr>
            <a:solidFill>
              <a:schemeClr val="accent2">
                <a:lumMod val="40000"/>
                <a:lumOff val="60000"/>
              </a:schemeClr>
            </a:solidFill>
          </c:spPr>
          <c:invertIfNegative val="0"/>
          <c:dPt>
            <c:idx val="0"/>
            <c:invertIfNegative val="0"/>
            <c:bubble3D val="0"/>
            <c:spPr>
              <a:solidFill>
                <a:schemeClr val="accent2">
                  <a:lumMod val="60000"/>
                  <a:lumOff val="40000"/>
                </a:schemeClr>
              </a:solidFill>
            </c:spPr>
          </c:dPt>
          <c:cat>
            <c:strRef>
              <c:f>'Nabídka a poptávka'!$AA$9:$AA$19</c:f>
              <c:strCache>
                <c:ptCount val="11"/>
                <c:pt idx="0">
                  <c:v>Celkem</c:v>
                </c:pt>
                <c:pt idx="1">
                  <c:v>Zaměst. v ozbr. silách</c:v>
                </c:pt>
                <c:pt idx="2">
                  <c:v>Zákonodár. a řídící prac.</c:v>
                </c:pt>
                <c:pt idx="3">
                  <c:v>Specialisté</c:v>
                </c:pt>
                <c:pt idx="4">
                  <c:v>Techničtí a odborní prac.</c:v>
                </c:pt>
                <c:pt idx="5">
                  <c:v>Úředníci</c:v>
                </c:pt>
                <c:pt idx="6">
                  <c:v>Prac. ve službách a prodeji</c:v>
                </c:pt>
                <c:pt idx="7">
                  <c:v>Kvalifik. prac. v zem., les., ryb.</c:v>
                </c:pt>
                <c:pt idx="8">
                  <c:v>Řemeslníci a opraváři</c:v>
                </c:pt>
                <c:pt idx="9">
                  <c:v>Obsluha strojů, zaříz., montéři</c:v>
                </c:pt>
                <c:pt idx="10">
                  <c:v>Pomoc. a nekvalifik. prac.</c:v>
                </c:pt>
              </c:strCache>
            </c:strRef>
          </c:cat>
          <c:val>
            <c:numRef>
              <c:f>'Nabídka a poptávka'!$BE$9:$BE$19</c:f>
              <c:numCache>
                <c:formatCode>General</c:formatCode>
                <c:ptCount val="11"/>
                <c:pt idx="0" formatCode="#,##0">
                  <c:v>67913</c:v>
                </c:pt>
                <c:pt idx="1">
                  <c:v>0</c:v>
                </c:pt>
                <c:pt idx="2">
                  <c:v>747</c:v>
                </c:pt>
                <c:pt idx="3" formatCode="#,##0">
                  <c:v>6389</c:v>
                </c:pt>
                <c:pt idx="4" formatCode="#,##0">
                  <c:v>2808</c:v>
                </c:pt>
                <c:pt idx="5" formatCode="#,##0">
                  <c:v>1543</c:v>
                </c:pt>
                <c:pt idx="6" formatCode="#,##0">
                  <c:v>5769</c:v>
                </c:pt>
                <c:pt idx="7">
                  <c:v>645</c:v>
                </c:pt>
                <c:pt idx="8" formatCode="#,##0">
                  <c:v>15312</c:v>
                </c:pt>
                <c:pt idx="9" formatCode="#,##0">
                  <c:v>19535</c:v>
                </c:pt>
                <c:pt idx="10" formatCode="#,##0">
                  <c:v>15165</c:v>
                </c:pt>
              </c:numCache>
            </c:numRef>
          </c:val>
        </c:ser>
        <c:ser>
          <c:idx val="1"/>
          <c:order val="1"/>
          <c:tx>
            <c:strRef>
              <c:f>'Nabídka a poptávka'!$BL$4:$BL$8</c:f>
              <c:strCache>
                <c:ptCount val="1"/>
                <c:pt idx="0">
                  <c:v>VPM bez cizinců</c:v>
                </c:pt>
              </c:strCache>
            </c:strRef>
          </c:tx>
          <c:spPr>
            <a:solidFill>
              <a:schemeClr val="tx2">
                <a:lumMod val="20000"/>
                <a:lumOff val="80000"/>
              </a:schemeClr>
            </a:solidFill>
          </c:spPr>
          <c:invertIfNegative val="0"/>
          <c:dPt>
            <c:idx val="0"/>
            <c:invertIfNegative val="0"/>
            <c:bubble3D val="0"/>
            <c:spPr>
              <a:solidFill>
                <a:schemeClr val="tx2">
                  <a:lumMod val="40000"/>
                  <a:lumOff val="60000"/>
                </a:schemeClr>
              </a:solidFill>
            </c:spPr>
          </c:dPt>
          <c:cat>
            <c:strRef>
              <c:f>'Nabídka a poptávka'!$AA$9:$AA$19</c:f>
              <c:strCache>
                <c:ptCount val="11"/>
                <c:pt idx="0">
                  <c:v>Celkem</c:v>
                </c:pt>
                <c:pt idx="1">
                  <c:v>Zaměst. v ozbr. silách</c:v>
                </c:pt>
                <c:pt idx="2">
                  <c:v>Zákonodár. a řídící prac.</c:v>
                </c:pt>
                <c:pt idx="3">
                  <c:v>Specialisté</c:v>
                </c:pt>
                <c:pt idx="4">
                  <c:v>Techničtí a odborní prac.</c:v>
                </c:pt>
                <c:pt idx="5">
                  <c:v>Úředníci</c:v>
                </c:pt>
                <c:pt idx="6">
                  <c:v>Prac. ve službách a prodeji</c:v>
                </c:pt>
                <c:pt idx="7">
                  <c:v>Kvalifik. prac. v zem., les., ryb.</c:v>
                </c:pt>
                <c:pt idx="8">
                  <c:v>Řemeslníci a opraváři</c:v>
                </c:pt>
                <c:pt idx="9">
                  <c:v>Obsluha strojů, zaříz., montéři</c:v>
                </c:pt>
                <c:pt idx="10">
                  <c:v>Pomoc. a nekvalifik. prac.</c:v>
                </c:pt>
              </c:strCache>
            </c:strRef>
          </c:cat>
          <c:val>
            <c:numRef>
              <c:f>'Nabídka a poptávka'!$BL$9:$BL$19</c:f>
              <c:numCache>
                <c:formatCode>#,##0</c:formatCode>
                <c:ptCount val="11"/>
                <c:pt idx="0">
                  <c:v>115641</c:v>
                </c:pt>
                <c:pt idx="1">
                  <c:v>331</c:v>
                </c:pt>
                <c:pt idx="2">
                  <c:v>868</c:v>
                </c:pt>
                <c:pt idx="3">
                  <c:v>7246</c:v>
                </c:pt>
                <c:pt idx="4">
                  <c:v>9435</c:v>
                </c:pt>
                <c:pt idx="5">
                  <c:v>4399</c:v>
                </c:pt>
                <c:pt idx="6">
                  <c:v>19387</c:v>
                </c:pt>
                <c:pt idx="7">
                  <c:v>853</c:v>
                </c:pt>
                <c:pt idx="8">
                  <c:v>22348</c:v>
                </c:pt>
                <c:pt idx="9">
                  <c:v>21587</c:v>
                </c:pt>
                <c:pt idx="10">
                  <c:v>29187</c:v>
                </c:pt>
              </c:numCache>
            </c:numRef>
          </c:val>
        </c:ser>
        <c:dLbls>
          <c:showLegendKey val="0"/>
          <c:showVal val="0"/>
          <c:showCatName val="0"/>
          <c:showSerName val="0"/>
          <c:showPercent val="0"/>
          <c:showBubbleSize val="0"/>
        </c:dLbls>
        <c:gapWidth val="150"/>
        <c:overlap val="100"/>
        <c:axId val="159373952"/>
        <c:axId val="159376128"/>
      </c:barChart>
      <c:scatterChart>
        <c:scatterStyle val="lineMarker"/>
        <c:varyColors val="0"/>
        <c:ser>
          <c:idx val="2"/>
          <c:order val="2"/>
          <c:tx>
            <c:strRef>
              <c:f>'Nabídka a poptávka'!$BI$4:$BI$8</c:f>
              <c:strCache>
                <c:ptCount val="1"/>
                <c:pt idx="0">
                  <c:v>UoZ/VPM (bez APZ)</c:v>
                </c:pt>
              </c:strCache>
            </c:strRef>
          </c:tx>
          <c:spPr>
            <a:ln w="28575">
              <a:noFill/>
            </a:ln>
          </c:spPr>
          <c:marker>
            <c:symbol val="triangle"/>
            <c:size val="10"/>
            <c:spPr>
              <a:solidFill>
                <a:srgbClr val="00B050"/>
              </a:solidFill>
            </c:spPr>
          </c:marker>
          <c:yVal>
            <c:numRef>
              <c:f>'Nabídka a poptávka'!$BI$9:$BI$19</c:f>
              <c:numCache>
                <c:formatCode>0.00</c:formatCode>
                <c:ptCount val="11"/>
                <c:pt idx="0">
                  <c:v>1.620444119986489</c:v>
                </c:pt>
                <c:pt idx="1">
                  <c:v>0.21148036253776434</c:v>
                </c:pt>
                <c:pt idx="2">
                  <c:v>2.2965944272445822</c:v>
                </c:pt>
                <c:pt idx="3">
                  <c:v>1.1488082141547489</c:v>
                </c:pt>
                <c:pt idx="4">
                  <c:v>1.6848811565792698</c:v>
                </c:pt>
                <c:pt idx="5">
                  <c:v>5.9993268259845172</c:v>
                </c:pt>
                <c:pt idx="6">
                  <c:v>2.5430513595166162</c:v>
                </c:pt>
                <c:pt idx="7">
                  <c:v>1.6935914552736984</c:v>
                </c:pt>
                <c:pt idx="8">
                  <c:v>0.78728093467870419</c:v>
                </c:pt>
                <c:pt idx="9">
                  <c:v>0.64872817469967414</c:v>
                </c:pt>
                <c:pt idx="10">
                  <c:v>2.0745851370851369</c:v>
                </c:pt>
              </c:numCache>
            </c:numRef>
          </c:yVal>
          <c:smooth val="0"/>
        </c:ser>
        <c:dLbls>
          <c:showLegendKey val="0"/>
          <c:showVal val="0"/>
          <c:showCatName val="0"/>
          <c:showSerName val="0"/>
          <c:showPercent val="0"/>
          <c:showBubbleSize val="0"/>
        </c:dLbls>
        <c:axId val="159379456"/>
        <c:axId val="159377664"/>
      </c:scatterChart>
      <c:catAx>
        <c:axId val="159373952"/>
        <c:scaling>
          <c:orientation val="minMax"/>
        </c:scaling>
        <c:delete val="0"/>
        <c:axPos val="b"/>
        <c:majorTickMark val="out"/>
        <c:minorTickMark val="none"/>
        <c:tickLblPos val="nextTo"/>
        <c:txPr>
          <a:bodyPr/>
          <a:lstStyle/>
          <a:p>
            <a:pPr>
              <a:defRPr sz="800"/>
            </a:pPr>
            <a:endParaRPr lang="cs-CZ"/>
          </a:p>
        </c:txPr>
        <c:crossAx val="159376128"/>
        <c:crosses val="autoZero"/>
        <c:auto val="1"/>
        <c:lblAlgn val="ctr"/>
        <c:lblOffset val="100"/>
        <c:noMultiLvlLbl val="0"/>
      </c:catAx>
      <c:valAx>
        <c:axId val="159376128"/>
        <c:scaling>
          <c:orientation val="minMax"/>
        </c:scaling>
        <c:delete val="0"/>
        <c:axPos val="l"/>
        <c:majorGridlines/>
        <c:numFmt formatCode="0%" sourceLinked="1"/>
        <c:majorTickMark val="out"/>
        <c:minorTickMark val="none"/>
        <c:tickLblPos val="nextTo"/>
        <c:txPr>
          <a:bodyPr/>
          <a:lstStyle/>
          <a:p>
            <a:pPr>
              <a:defRPr sz="800"/>
            </a:pPr>
            <a:endParaRPr lang="cs-CZ"/>
          </a:p>
        </c:txPr>
        <c:crossAx val="159373952"/>
        <c:crosses val="autoZero"/>
        <c:crossBetween val="between"/>
      </c:valAx>
      <c:valAx>
        <c:axId val="159377664"/>
        <c:scaling>
          <c:orientation val="minMax"/>
          <c:max val="10"/>
          <c:min val="0"/>
        </c:scaling>
        <c:delete val="0"/>
        <c:axPos val="r"/>
        <c:numFmt formatCode="#,##0" sourceLinked="0"/>
        <c:majorTickMark val="out"/>
        <c:minorTickMark val="none"/>
        <c:tickLblPos val="nextTo"/>
        <c:txPr>
          <a:bodyPr/>
          <a:lstStyle/>
          <a:p>
            <a:pPr>
              <a:defRPr sz="800"/>
            </a:pPr>
            <a:endParaRPr lang="cs-CZ"/>
          </a:p>
        </c:txPr>
        <c:crossAx val="159379456"/>
        <c:crosses val="max"/>
        <c:crossBetween val="midCat"/>
        <c:minorUnit val="2.0000000000000004E-2"/>
      </c:valAx>
      <c:valAx>
        <c:axId val="159379456"/>
        <c:scaling>
          <c:orientation val="minMax"/>
        </c:scaling>
        <c:delete val="1"/>
        <c:axPos val="b"/>
        <c:majorTickMark val="out"/>
        <c:minorTickMark val="none"/>
        <c:tickLblPos val="nextTo"/>
        <c:crossAx val="159377664"/>
        <c:crosses val="autoZero"/>
        <c:crossBetween val="midCat"/>
      </c:valAx>
    </c:plotArea>
    <c:legend>
      <c:legendPos val="b"/>
      <c:overlay val="0"/>
      <c:txPr>
        <a:bodyPr/>
        <a:lstStyle/>
        <a:p>
          <a:pPr>
            <a:defRPr sz="800"/>
          </a:pPr>
          <a:endParaRPr lang="cs-CZ"/>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'Průměrné výdělky'!$B$7</c:f>
              <c:strCache>
                <c:ptCount val="1"/>
                <c:pt idx="0">
                  <c:v>Minimální mzda</c:v>
                </c:pt>
              </c:strCache>
            </c:strRef>
          </c:tx>
          <c:spPr>
            <a:solidFill>
              <a:srgbClr val="FF0000"/>
            </a:solidFill>
          </c:spPr>
          <c:invertIfNegative val="0"/>
          <c:cat>
            <c:strRef>
              <c:f>'Průměrné výdělky'!$C$6:$F$6</c:f>
              <c:strCache>
                <c:ptCount val="4"/>
                <c:pt idx="0">
                  <c:v>2015</c:v>
                </c:pt>
                <c:pt idx="1">
                  <c:v>1p2016</c:v>
                </c:pt>
                <c:pt idx="2">
                  <c:v>2016</c:v>
                </c:pt>
                <c:pt idx="3">
                  <c:v>1q2017</c:v>
                </c:pt>
              </c:strCache>
            </c:strRef>
          </c:cat>
          <c:val>
            <c:numRef>
              <c:f>'Průměrné výdělky'!$C$7:$F$7</c:f>
              <c:numCache>
                <c:formatCode>#,##0</c:formatCode>
                <c:ptCount val="4"/>
                <c:pt idx="0">
                  <c:v>9200</c:v>
                </c:pt>
                <c:pt idx="1">
                  <c:v>9900</c:v>
                </c:pt>
                <c:pt idx="2">
                  <c:v>9900</c:v>
                </c:pt>
                <c:pt idx="3">
                  <c:v>11000</c:v>
                </c:pt>
              </c:numCache>
            </c:numRef>
          </c:val>
        </c:ser>
        <c:ser>
          <c:idx val="1"/>
          <c:order val="1"/>
          <c:tx>
            <c:strRef>
              <c:f>'Průměrné výdělky'!$B$8</c:f>
              <c:strCache>
                <c:ptCount val="1"/>
                <c:pt idx="0">
                  <c:v>Průměrná mzda</c:v>
                </c:pt>
              </c:strCache>
            </c:strRef>
          </c:tx>
          <c:spPr>
            <a:solidFill>
              <a:schemeClr val="accent6">
                <a:lumMod val="60000"/>
                <a:lumOff val="40000"/>
              </a:schemeClr>
            </a:solidFill>
          </c:spPr>
          <c:invertIfNegative val="0"/>
          <c:cat>
            <c:strRef>
              <c:f>'Průměrné výdělky'!$C$6:$F$6</c:f>
              <c:strCache>
                <c:ptCount val="4"/>
                <c:pt idx="0">
                  <c:v>2015</c:v>
                </c:pt>
                <c:pt idx="1">
                  <c:v>1p2016</c:v>
                </c:pt>
                <c:pt idx="2">
                  <c:v>2016</c:v>
                </c:pt>
                <c:pt idx="3">
                  <c:v>1q2017</c:v>
                </c:pt>
              </c:strCache>
            </c:strRef>
          </c:cat>
          <c:val>
            <c:numRef>
              <c:f>'Průměrné výdělky'!$C$8:$F$8</c:f>
              <c:numCache>
                <c:formatCode>#,##0</c:formatCode>
                <c:ptCount val="4"/>
                <c:pt idx="0">
                  <c:v>27825</c:v>
                </c:pt>
                <c:pt idx="1">
                  <c:v>28556</c:v>
                </c:pt>
                <c:pt idx="2">
                  <c:v>28969</c:v>
                </c:pt>
                <c:pt idx="3">
                  <c:v>29607</c:v>
                </c:pt>
              </c:numCache>
            </c:numRef>
          </c:val>
        </c:ser>
        <c:ser>
          <c:idx val="2"/>
          <c:order val="2"/>
          <c:tx>
            <c:strRef>
              <c:f>'Průměrné výdělky'!$B$9</c:f>
              <c:strCache>
                <c:ptCount val="1"/>
                <c:pt idx="0">
                  <c:v>Mediánová mzda</c:v>
                </c:pt>
              </c:strCache>
            </c:strRef>
          </c:tx>
          <c:spPr>
            <a:pattFill prst="pct50">
              <a:fgClr>
                <a:schemeClr val="accent6">
                  <a:lumMod val="60000"/>
                  <a:lumOff val="40000"/>
                </a:schemeClr>
              </a:fgClr>
              <a:bgClr>
                <a:schemeClr val="bg1"/>
              </a:bgClr>
            </a:pattFill>
          </c:spPr>
          <c:invertIfNegative val="0"/>
          <c:cat>
            <c:strRef>
              <c:f>'Průměrné výdělky'!$C$6:$F$6</c:f>
              <c:strCache>
                <c:ptCount val="4"/>
                <c:pt idx="0">
                  <c:v>2015</c:v>
                </c:pt>
                <c:pt idx="1">
                  <c:v>1p2016</c:v>
                </c:pt>
                <c:pt idx="2">
                  <c:v>2016</c:v>
                </c:pt>
                <c:pt idx="3">
                  <c:v>1q2017</c:v>
                </c:pt>
              </c:strCache>
            </c:strRef>
          </c:cat>
          <c:val>
            <c:numRef>
              <c:f>'Průměrné výdělky'!$C$9:$F$9</c:f>
              <c:numCache>
                <c:formatCode>#,##0</c:formatCode>
                <c:ptCount val="4"/>
                <c:pt idx="0">
                  <c:v>23062</c:v>
                </c:pt>
                <c:pt idx="1">
                  <c:v>23409</c:v>
                </c:pt>
                <c:pt idx="2">
                  <c:v>24178</c:v>
                </c:pt>
                <c:pt idx="3">
                  <c:v>24151</c:v>
                </c:pt>
              </c:numCache>
            </c:numRef>
          </c:val>
        </c:ser>
        <c:ser>
          <c:idx val="3"/>
          <c:order val="3"/>
          <c:tx>
            <c:strRef>
              <c:f>'Průměrné výdělky'!$B$10</c:f>
              <c:strCache>
                <c:ptCount val="1"/>
                <c:pt idx="0">
                  <c:v>Průměrný plat</c:v>
                </c:pt>
              </c:strCache>
            </c:strRef>
          </c:tx>
          <c:spPr>
            <a:solidFill>
              <a:schemeClr val="bg1">
                <a:lumMod val="50000"/>
              </a:schemeClr>
            </a:solidFill>
          </c:spPr>
          <c:invertIfNegative val="0"/>
          <c:cat>
            <c:strRef>
              <c:f>'Průměrné výdělky'!$C$6:$F$6</c:f>
              <c:strCache>
                <c:ptCount val="4"/>
                <c:pt idx="0">
                  <c:v>2015</c:v>
                </c:pt>
                <c:pt idx="1">
                  <c:v>1p2016</c:v>
                </c:pt>
                <c:pt idx="2">
                  <c:v>2016</c:v>
                </c:pt>
                <c:pt idx="3">
                  <c:v>1q2017</c:v>
                </c:pt>
              </c:strCache>
            </c:strRef>
          </c:cat>
          <c:val>
            <c:numRef>
              <c:f>'Průměrné výdělky'!$C$10:$F$10</c:f>
              <c:numCache>
                <c:formatCode>#,##0</c:formatCode>
                <c:ptCount val="4"/>
                <c:pt idx="0">
                  <c:v>27959</c:v>
                </c:pt>
                <c:pt idx="1">
                  <c:v>28219</c:v>
                </c:pt>
                <c:pt idx="2">
                  <c:v>29501</c:v>
                </c:pt>
                <c:pt idx="3">
                  <c:v>28798</c:v>
                </c:pt>
              </c:numCache>
            </c:numRef>
          </c:val>
        </c:ser>
        <c:ser>
          <c:idx val="4"/>
          <c:order val="4"/>
          <c:tx>
            <c:strRef>
              <c:f>'Průměrné výdělky'!$B$11</c:f>
              <c:strCache>
                <c:ptCount val="1"/>
                <c:pt idx="0">
                  <c:v>Mediánový plat</c:v>
                </c:pt>
              </c:strCache>
            </c:strRef>
          </c:tx>
          <c:spPr>
            <a:pattFill prst="pct50">
              <a:fgClr>
                <a:schemeClr val="bg1">
                  <a:lumMod val="50000"/>
                </a:schemeClr>
              </a:fgClr>
              <a:bgClr>
                <a:schemeClr val="bg1"/>
              </a:bgClr>
            </a:pattFill>
          </c:spPr>
          <c:invertIfNegative val="0"/>
          <c:cat>
            <c:strRef>
              <c:f>'Průměrné výdělky'!$C$6:$F$6</c:f>
              <c:strCache>
                <c:ptCount val="4"/>
                <c:pt idx="0">
                  <c:v>2015</c:v>
                </c:pt>
                <c:pt idx="1">
                  <c:v>1p2016</c:v>
                </c:pt>
                <c:pt idx="2">
                  <c:v>2016</c:v>
                </c:pt>
                <c:pt idx="3">
                  <c:v>1q2017</c:v>
                </c:pt>
              </c:strCache>
            </c:strRef>
          </c:cat>
          <c:val>
            <c:numRef>
              <c:f>'Průměrné výdělky'!$C$11:$F$11</c:f>
              <c:numCache>
                <c:formatCode>#,##0</c:formatCode>
                <c:ptCount val="4"/>
                <c:pt idx="0">
                  <c:v>26338</c:v>
                </c:pt>
                <c:pt idx="1">
                  <c:v>26478</c:v>
                </c:pt>
                <c:pt idx="2">
                  <c:v>27724</c:v>
                </c:pt>
                <c:pt idx="3">
                  <c:v>26920</c:v>
                </c:pt>
              </c:numCache>
            </c:numRef>
          </c:val>
        </c:ser>
        <c:dLbls>
          <c:showLegendKey val="0"/>
          <c:showVal val="0"/>
          <c:showCatName val="0"/>
          <c:showSerName val="0"/>
          <c:showPercent val="0"/>
          <c:showBubbleSize val="0"/>
        </c:dLbls>
        <c:gapWidth val="150"/>
        <c:axId val="159573120"/>
        <c:axId val="159574656"/>
      </c:barChart>
      <c:lineChart>
        <c:grouping val="standard"/>
        <c:varyColors val="0"/>
        <c:ser>
          <c:idx val="5"/>
          <c:order val="5"/>
          <c:tx>
            <c:strRef>
              <c:f>'Průměrné výdělky'!$B$13</c:f>
              <c:strCache>
                <c:ptCount val="1"/>
                <c:pt idx="0">
                  <c:v>Poměr minimální/průměrné mzdy (pravá osa)</c:v>
                </c:pt>
              </c:strCache>
            </c:strRef>
          </c:tx>
          <c:spPr>
            <a:ln>
              <a:solidFill>
                <a:srgbClr val="FF0000"/>
              </a:solidFill>
            </a:ln>
          </c:spPr>
          <c:marker>
            <c:symbol val="none"/>
          </c:marker>
          <c:cat>
            <c:strRef>
              <c:f>'Průměrné výdělky'!$C$6:$F$6</c:f>
              <c:strCache>
                <c:ptCount val="4"/>
                <c:pt idx="0">
                  <c:v>2015</c:v>
                </c:pt>
                <c:pt idx="1">
                  <c:v>1p2016</c:v>
                </c:pt>
                <c:pt idx="2">
                  <c:v>2016</c:v>
                </c:pt>
                <c:pt idx="3">
                  <c:v>1q2017</c:v>
                </c:pt>
              </c:strCache>
            </c:strRef>
          </c:cat>
          <c:val>
            <c:numRef>
              <c:f>'Průměrné výdělky'!$C$13:$F$13</c:f>
              <c:numCache>
                <c:formatCode>0.00%</c:formatCode>
                <c:ptCount val="4"/>
                <c:pt idx="0">
                  <c:v>0.33063791554357591</c:v>
                </c:pt>
                <c:pt idx="1">
                  <c:v>0.34668721109399075</c:v>
                </c:pt>
                <c:pt idx="2">
                  <c:v>0.34174462356311919</c:v>
                </c:pt>
                <c:pt idx="3">
                  <c:v>0.37153375890836626</c:v>
                </c:pt>
              </c:numCache>
            </c:numRef>
          </c:val>
          <c:smooth val="0"/>
        </c:ser>
        <c:dLbls>
          <c:showLegendKey val="0"/>
          <c:showVal val="0"/>
          <c:showCatName val="0"/>
          <c:showSerName val="0"/>
          <c:showPercent val="0"/>
          <c:showBubbleSize val="0"/>
        </c:dLbls>
        <c:marker val="1"/>
        <c:smooth val="0"/>
        <c:axId val="159577984"/>
        <c:axId val="159576448"/>
      </c:lineChart>
      <c:catAx>
        <c:axId val="159573120"/>
        <c:scaling>
          <c:orientation val="minMax"/>
        </c:scaling>
        <c:delete val="0"/>
        <c:axPos val="b"/>
        <c:majorTickMark val="out"/>
        <c:minorTickMark val="none"/>
        <c:tickLblPos val="nextTo"/>
        <c:txPr>
          <a:bodyPr/>
          <a:lstStyle/>
          <a:p>
            <a:pPr>
              <a:defRPr sz="800"/>
            </a:pPr>
            <a:endParaRPr lang="cs-CZ"/>
          </a:p>
        </c:txPr>
        <c:crossAx val="159574656"/>
        <c:crosses val="autoZero"/>
        <c:auto val="1"/>
        <c:lblAlgn val="ctr"/>
        <c:lblOffset val="100"/>
        <c:noMultiLvlLbl val="0"/>
      </c:catAx>
      <c:valAx>
        <c:axId val="159574656"/>
        <c:scaling>
          <c:orientation val="minMax"/>
        </c:scaling>
        <c:delete val="0"/>
        <c:axPos val="l"/>
        <c:majorGridlines/>
        <c:numFmt formatCode="#,##0" sourceLinked="1"/>
        <c:majorTickMark val="out"/>
        <c:minorTickMark val="none"/>
        <c:tickLblPos val="nextTo"/>
        <c:txPr>
          <a:bodyPr/>
          <a:lstStyle/>
          <a:p>
            <a:pPr>
              <a:defRPr sz="800"/>
            </a:pPr>
            <a:endParaRPr lang="cs-CZ"/>
          </a:p>
        </c:txPr>
        <c:crossAx val="159573120"/>
        <c:crosses val="autoZero"/>
        <c:crossBetween val="between"/>
      </c:valAx>
      <c:valAx>
        <c:axId val="159576448"/>
        <c:scaling>
          <c:orientation val="minMax"/>
          <c:max val="0.4"/>
          <c:min val="0.33000000000000007"/>
        </c:scaling>
        <c:delete val="0"/>
        <c:axPos val="r"/>
        <c:numFmt formatCode="0.00%" sourceLinked="1"/>
        <c:majorTickMark val="out"/>
        <c:minorTickMark val="none"/>
        <c:tickLblPos val="nextTo"/>
        <c:txPr>
          <a:bodyPr/>
          <a:lstStyle/>
          <a:p>
            <a:pPr>
              <a:defRPr sz="800"/>
            </a:pPr>
            <a:endParaRPr lang="cs-CZ"/>
          </a:p>
        </c:txPr>
        <c:crossAx val="159577984"/>
        <c:crosses val="max"/>
        <c:crossBetween val="between"/>
        <c:majorUnit val="1.0000000000000002E-2"/>
      </c:valAx>
      <c:catAx>
        <c:axId val="159577984"/>
        <c:scaling>
          <c:orientation val="minMax"/>
        </c:scaling>
        <c:delete val="1"/>
        <c:axPos val="b"/>
        <c:majorTickMark val="out"/>
        <c:minorTickMark val="none"/>
        <c:tickLblPos val="nextTo"/>
        <c:crossAx val="159576448"/>
        <c:crosses val="autoZero"/>
        <c:auto val="1"/>
        <c:lblAlgn val="ctr"/>
        <c:lblOffset val="100"/>
        <c:noMultiLvlLbl val="0"/>
      </c:catAx>
    </c:plotArea>
    <c:legend>
      <c:legendPos val="r"/>
      <c:layout>
        <c:manualLayout>
          <c:xMode val="edge"/>
          <c:yMode val="edge"/>
          <c:x val="0.70005555555555554"/>
          <c:y val="2.8385803733747307E-2"/>
          <c:w val="0.28327777777777779"/>
          <c:h val="0.94704306533997717"/>
        </c:manualLayout>
      </c:layout>
      <c:overlay val="0"/>
      <c:txPr>
        <a:bodyPr/>
        <a:lstStyle/>
        <a:p>
          <a:pPr>
            <a:defRPr sz="800"/>
          </a:pPr>
          <a:endParaRPr lang="cs-C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0.83323</cdr:x>
      <cdr:y>0.37438</cdr:y>
    </cdr:from>
    <cdr:to>
      <cdr:x>1</cdr:x>
      <cdr:y>0.89251</cdr:y>
    </cdr:to>
    <cdr:sp macro="" textlink="">
      <cdr:nvSpPr>
        <cdr:cNvPr id="2" name="Textové pole 2"/>
        <cdr:cNvSpPr txBox="1">
          <a:spLocks xmlns:a="http://schemas.openxmlformats.org/drawingml/2006/main" noChangeArrowheads="1"/>
        </cdr:cNvSpPr>
      </cdr:nvSpPr>
      <cdr:spPr bwMode="auto">
        <a:xfrm xmlns:a="http://schemas.openxmlformats.org/drawingml/2006/main">
          <a:off x="4800009" y="1003215"/>
          <a:ext cx="960711" cy="138845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lnSpc>
              <a:spcPct val="115000"/>
            </a:lnSpc>
            <a:spcAft>
              <a:spcPts val="0"/>
            </a:spcAft>
          </a:pPr>
          <a:r>
            <a:rPr lang="cs-CZ" sz="800" i="1">
              <a:effectLst/>
              <a:latin typeface="+mn-lt"/>
              <a:ea typeface="Calibri"/>
              <a:cs typeface="Times New Roman"/>
            </a:rPr>
            <a:t>PZN:</a:t>
          </a:r>
          <a:endParaRPr lang="cs-CZ" sz="1200">
            <a:effectLst/>
            <a:latin typeface="+mn-lt"/>
            <a:ea typeface="Calibri"/>
            <a:cs typeface="Times New Roman"/>
          </a:endParaRPr>
        </a:p>
        <a:p xmlns:a="http://schemas.openxmlformats.org/drawingml/2006/main">
          <a:pPr algn="just">
            <a:lnSpc>
              <a:spcPct val="115000"/>
            </a:lnSpc>
            <a:spcAft>
              <a:spcPts val="0"/>
            </a:spcAft>
          </a:pPr>
          <a:r>
            <a:rPr lang="cs-CZ" sz="800" i="1">
              <a:effectLst/>
              <a:latin typeface="+mn-lt"/>
              <a:ea typeface="Calibri"/>
              <a:cs typeface="Times New Roman"/>
            </a:rPr>
            <a:t>sloupce – počet UoZ a VPM k 30. 6. 2017 (levá osa)</a:t>
          </a:r>
          <a:endParaRPr lang="cs-CZ" sz="1200">
            <a:effectLst/>
            <a:latin typeface="+mn-lt"/>
            <a:ea typeface="Calibri"/>
            <a:cs typeface="Times New Roman"/>
          </a:endParaRPr>
        </a:p>
        <a:p xmlns:a="http://schemas.openxmlformats.org/drawingml/2006/main">
          <a:pPr algn="just">
            <a:lnSpc>
              <a:spcPct val="115000"/>
            </a:lnSpc>
            <a:spcAft>
              <a:spcPts val="0"/>
            </a:spcAft>
          </a:pPr>
          <a:r>
            <a:rPr lang="cs-CZ" sz="800" i="1">
              <a:effectLst/>
              <a:latin typeface="+mn-lt"/>
              <a:ea typeface="Calibri"/>
              <a:cs typeface="Times New Roman"/>
            </a:rPr>
            <a:t> </a:t>
          </a:r>
          <a:endParaRPr lang="cs-CZ" sz="1200">
            <a:effectLst/>
            <a:latin typeface="+mn-lt"/>
            <a:ea typeface="Calibri"/>
            <a:cs typeface="Times New Roman"/>
          </a:endParaRPr>
        </a:p>
        <a:p xmlns:a="http://schemas.openxmlformats.org/drawingml/2006/main">
          <a:pPr algn="just">
            <a:lnSpc>
              <a:spcPct val="115000"/>
            </a:lnSpc>
            <a:spcAft>
              <a:spcPts val="0"/>
            </a:spcAft>
          </a:pPr>
          <a:r>
            <a:rPr lang="cs-CZ" sz="800" i="1">
              <a:effectLst/>
              <a:latin typeface="+mn-lt"/>
              <a:ea typeface="Calibri"/>
              <a:cs typeface="Times New Roman"/>
            </a:rPr>
            <a:t>trojúhelníky – UoZ/VPM k 30. 6. 2017 a 31. 12. 2016 (pravá osa)</a:t>
          </a:r>
          <a:endParaRPr lang="cs-CZ" sz="1200">
            <a:effectLst/>
            <a:latin typeface="+mn-lt"/>
            <a:ea typeface="Calibri"/>
            <a:cs typeface="Times New Roman"/>
          </a:endParaRPr>
        </a:p>
      </cdr:txBody>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A062-8497-49FF-99F1-86CB3BDA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13769</Words>
  <Characters>81242</Characters>
  <Application>Microsoft Office Word</Application>
  <DocSecurity>0</DocSecurity>
  <Lines>677</Lines>
  <Paragraphs>189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Dudek Pavel Mgr. (MPSV)</dc:creator>
  <cp:lastModifiedBy>Dudek Pavel Mgr. (MPSV)</cp:lastModifiedBy>
  <cp:revision>2</cp:revision>
  <cp:lastPrinted>2017-08-31T10:15:00Z</cp:lastPrinted>
  <dcterms:created xsi:type="dcterms:W3CDTF">2017-11-29T12:15:00Z</dcterms:created>
  <dcterms:modified xsi:type="dcterms:W3CDTF">2017-11-29T12:15:00Z</dcterms:modified>
</cp:coreProperties>
</file>